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Reliable and explainable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A common-cohort evaluation links mine-monitoring signals to explainable seismic warning decisions and quantifies the inspection workload those decisions create. Using 2,578 UCI Seismic Bumps mirror records, we assess logistic regression (LR), bagged CART and training-tuned XGBoost on the same 2,063 record-order test rows. Matching the test rows reduces the apparent random-versus-record-order average-precision gap by 89.7 percent for LR and 86.9 percent for CART, demonstrating the importance of evaluation-cohort composition. Training-prior correction improves LR expected calibration error from 0.2904 to 0.0271 and Brier score from 0.1462 to 0.0439. Nine engineering feature combinations assess the information in hazard ratings, geophone signals, seismic activity and shift type. Exact TreeSHAP identifies total seismic energy, low-energy event counts and pulse activity as recurring contributors to XGBoost predictions; importance-rank correlations across four test phases range from 0.712 to 0.941, with changing top-five membership. At training reference budgets of 10 and 20 percent, supplementary holdout XGBoost produces 30 and 81 alerts and detects 3 and 6 of 26 hazardous shifts. The resulting framework connects comparable validation, interpretable monitoring signals and measurable detection-workload tradeoffs. Record order supplies the forecasting proxy, and paired intervals quantify uncertainty conditional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combines measurements of rock-mass activity with assessments of dangerous conditions. Forecasts become useful for engineering review when measured signals can be traced through a model to a warning decision and its inspection demands. This requires evidence on the information supplied by each monitoring source, the consistency of its use across operating phases, and the hazardous shifts detected at a defined review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Their coexistence makes the additional predictive information in measured signals testable against the recorded assessments. The target is next-shift high-energy seismic occurrence; confirmed rockburst accidents are outside its label definition.</w:t>
      </w:r>
    </w:p>
    <w:p>
      <w:r>
        <w:t>Ranking metrics describe how well a model orders hazardous shifts, while engineering evaluation also needs to explain which signals shape that ordering and what a warning rule demands. Validation protocols can change both the training history and the test population [3,4], making a common test cohort essential for interpreting their difference. Model explanations reveal how monitoring inputs contribute to fitted predictions, and frozen thresholds connect those predictions to detection counts and inspection workload.</w:t>
      </w:r>
    </w:p>
    <w:p>
      <w:r>
        <w:t>This study integrates these assessments in one reproducible framework. A matched cohort establishes the comparison across three model families; nine prespecified feature combinations separate recorded hazard assessments from geophone, seismic-activity and operational information. Training-prior correction evaluates the probability scale, and exact TreeSHAP traces feature contributions across four test phases. Four fixed training reference budgets then express warning policies as detections, false alerts and missed hazardous shifts. The framework provides an engineering account of what monitoring information contributes, how a predictor uses it and what its warnings require.</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retained original row IDs are 88, 89, 971, 972, 1016 and 1017, respectively.</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6.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because it is the sum of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Full-feature XGBoost models explain their own outer-test predictions through native exact TreeSHAP, using the training-derived leaf covers as the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Training prior correction and probability assessment</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The correction improves the weighted LR probabilities on this cohort, while the negative skill score records their position relative to that retrospective reference.</w:t>
      </w: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5 reports the leading contributions and value associations. Read alongside the ablations, these explanations distinguish a model's reliance on a signal from the incremental value of its monitoring group.</w:t>
      </w:r>
    </w:p>
    <w:p>
      <w:pPr>
        <w:pStyle w:val="Caption"/>
        <w:keepNext/>
      </w:pPr>
      <w:r>
        <w:t>Table 5.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Correlations include all 17 features, including tied low-importance columns; top-five overlap supplies a complementary check focused on leading variables.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6 connects explanation changes to the phase outcomes. Positive prevalence and full-model AP vary across the record sequence. Computing AP within each block separates its observed discrimination from the cross-model score-scale differences that can affect pooled AP. Together, Tables 5 and 6 show why monitoring review benefits from examining feature use and phase outcomes side by side.</w:t>
      </w:r>
    </w:p>
    <w:p>
      <w:pPr>
        <w:pStyle w:val="Caption"/>
        <w:keepNext/>
      </w:pPr>
      <w:r>
        <w:t>Table 6.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7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7. All holdout warning policies on 774 records with 26 positive targets. Budget is the training reference fraction; alert rate is measured on holdout rows.</w:t>
      </w:r>
    </w:p>
    <w:tbl>
      <w:tblPr>
        <w:tblW w:type="auto" w:w="0"/>
        <w:jc w:val="center"/>
        <w:tblLayout w:type="fixed"/>
        <w:tblLook w:firstColumn="1" w:firstRow="1" w:lastColumn="0" w:lastRow="0" w:noHBand="0" w:noVBand="1" w:val="04A0"/>
      </w:tblPr>
      <w:tblGrid>
        <w:gridCol w:w="1321"/>
        <w:gridCol w:w="1148"/>
        <w:gridCol w:w="1148"/>
        <w:gridCol w:w="1148"/>
        <w:gridCol w:w="1148"/>
        <w:gridCol w:w="1148"/>
        <w:gridCol w:w="1148"/>
        <w:gridCol w:w="1148"/>
      </w:tblGrid>
      <w:tr>
        <w:trPr>
          <w:cantSplit/>
          <w:tblHeader/>
        </w:trPr>
        <w:tc>
          <w:tcPr>
            <w:tcW w:type="dxa" w:w="132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14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14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r>
      <w:tr>
        <w:trPr>
          <w:cantSplit/>
        </w:trPr>
        <w:tc>
          <w:tcPr>
            <w:tcW w:type="dxa" w:w="132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14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resulting policy curves provide evidence for selecting a budget once inspection capacity and the consequences of missed hazards are specified.</w:t>
      </w:r>
    </w:p>
    <w:p>
      <w:pPr>
        <w:pStyle w:val="Heading1"/>
      </w:pPr>
      <w:r>
        <w:t>7 Discussion</w:t>
      </w:r>
    </w:p>
    <w:p>
      <w:pPr>
        <w:pStyle w:val="Heading2"/>
      </w:pPr>
      <w:r>
        <w:t>7.1 Connecting monitoring evidence to warning decisions</w:t>
      </w:r>
    </w:p>
    <w:p>
      <w:r>
        <w:t>The engineering contribution is the connection between information sources, model explanations and warning workload. Recorded hazard ratings establish an assessment baseline, while geophone and seismic-activity comparisons measure what monitoring signals add within the tested designs. TreeSHAP then identifies recurring energy, event-count and pulse contributions and shows where their relative importance changes. A high contribution and an incremental AP gain answer different questions: the first describes model reliance, and the second measures the value of adding information to an existing predictor.</w:t>
      </w:r>
    </w:p>
    <w:p>
      <w:r>
        <w:t>Training-prior correction and frozen budgets complete this connection. Probability assessment establishes the effect of restoring the historical prior, and policy evaluation converts fitted scores into detected hazardous shifts, missed shifts and false-alert workload. For an engineer reviewing monitoring forecasts, these outputs support tracing an unusual prediction to its input signals and comparing warning rules against available inspection capacity.</w:t>
      </w:r>
    </w:p>
    <w:p>
      <w:pPr>
        <w:pStyle w:val="Heading2"/>
      </w:pPr>
      <w:r>
        <w:t>7.2 Scope and prospective validation</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Its signed values explain fitted associations rather than the causal effect of changing a monitoring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A subsequent study should preregister its feature and alert-policy choices, then test them on independent timestamped working-face data with defined inspection actions.</w:t>
      </w:r>
    </w:p>
    <w:p>
      <w:pPr>
        <w:pStyle w:val="Heading1"/>
      </w:pPr>
      <w:r>
        <w:t>8 Conclusions</w:t>
      </w:r>
    </w:p>
    <w:p>
      <w:r>
        <w:t>This study establishes a reproducible connection from mine-monitoring information to explainable seismic warning decisions. Matched test rows make validation gaps interpretable on a common population, and training-prior correction improves the LR probability scale using historical information. Engineering ablations quantify the contribution of monitoring groups, while TreeSHAP identifies recurring energy, event-count and pulse signals and traces changes in their use across phases. Frozen-budget evaluation translates forecasts into detection counts, missed hazardous shifts and inspection workload. The combined evidence provides a practical basis for reviewing which signals a forecasting model uses and what its warning policy requires.</w:t>
      </w:r>
    </w:p>
    <w:p>
      <w:pPr>
        <w:pStyle w:val="Heading1"/>
      </w:pPr>
      <w:r>
        <w:t>Data and computational reproducibility</w:t>
      </w:r>
    </w:p>
    <w:p>
      <w:r>
        <w:t>Source data are available from UCI [1] and the CSV mirror [2]. Saved evidence includes all feature-set predictions, inner-reference scores, fold audits, candidate-selection predictions and row-index manifests, bootstrap replicates, five random seeds, native XGBoost models, row-level TreeSHAP contributions and the predetermined case records. Each reported table is generated from these files. Source hashes and duplicate row mappings preserve the data version.</w:t>
      </w:r>
    </w:p>
    <w:p>
      <w:r>
        <w:t>The extended analysis uses Python 3.12.14, NumPy 2.3.5, pandas 3.0.1, XGBoost 3.1.3 and SciPy 1.18.1. The legacy LR/CART baselines use the original verified Python 3.7 environment and retain their saved full-model predictions. To reproduce the extensions, install requirements-research.txt in a separate Python 3.12 environment, run run_engineering.py followed by run_research.py, and execute verify_research.py --replay. Report generation uses generate_report.py --docx; export_report.ps1 exports the Word document to PDF. The original experiment and report consistency checks remain available through verify_results.py --reports.</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w:t>
      </w:r>
    </w:p>
    <w:p>
      <w:pPr>
        <w:ind w:left="317" w:hanging="317"/>
        <w:jc w:val="left"/>
      </w:pPr>
      <w:r>
        <w:rPr>
          <w:sz w:val="20"/>
        </w:rPr>
        <w:t>[4] Roberts DR et al. Cross-validation strategies for data with temporal, spatial, hierarchical, or phylogenetic structure. Ecography, 2017, 40:913-929.</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