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 and Capacity-Sensitive Seismic Warning: A Retrospective Study of Threshold Transfer</w:t>
      </w:r>
    </w:p>
    <w:p>
      <w:pPr>
        <w:jc w:val="center"/>
      </w:pPr>
      <w:r>
        <w:t>Junjie Yang</w:t>
        <w:br/>
        <w:t>Mining Engineering, Fuzhou University</w:t>
      </w:r>
    </w:p>
    <w:p>
      <w:pPr>
        <w:pStyle w:val="Heading1"/>
      </w:pPr>
      <w:r>
        <w:t>Abstract</w:t>
      </w:r>
    </w:p>
    <w:p>
      <w:pPr>
        <w:jc w:val="both"/>
      </w:pPr>
      <w:r>
        <w:t>Historical capacity feasibility does not ensure that a seismic warning rule retains its workload or decision value on later records. This study separates model fitting, policy selection and testing to evaluate budget-only, cost-only and cost-plus-capacity rules on the UCI Seismic Bumps data. Four subsequent record blocks provide 2,063 test records. XGBoost is the prespecified main model; logistic regression and bagged CART provide robustness checks. At missed-event cost r=10, pooled cost-plus-capacity loss exceeded or equaled the no-alarm reference by 0.00 to 0.82 units per 100 shifts. Despite all reference areas containing positive outcomes, its 40 no-alarm selections comprise 28 unconstrained cost optima and 12 capacity-induced changes. The budget rule exceeded later capacity in 13 of 16 phase–budget settings; cost-plus-capacity exceeded it in 2 of 64 phase–budget–cost settings. Matched-setting comparisons connect reduced capacity excess to changes in detections, missed events and loss. Refitting changes finite-cutoff decisions, while no-alarm rules remain invariant by construction. Paired block intervals and frozen-rule prevalence scenarios characterize decision value and workload under hypothetical costs. Recorded row order is a temporal proxy; the study is retrospective.</w:t>
      </w:r>
    </w:p>
    <w:p>
      <w:pPr>
        <w:jc w:val="both"/>
      </w:pPr>
      <w:r>
        <w:t>Keywords: seismic hazard; warning threshold; relative cost; inspection capacity; record-order validation.</w:t>
      </w:r>
    </w:p>
    <w:p>
      <w:pPr>
        <w:pStyle w:val="Heading1"/>
      </w:pPr>
      <w:r>
        <w:t>1 Research question and data</w:t>
      </w:r>
    </w:p>
    <w:p>
      <w:pPr>
        <w:jc w:val="both"/>
      </w:pPr>
      <w:r>
        <w:t>A warning score becomes an inspection decision through a threshold that trades missed hazardous shifts against false alerts. A cutoff selected under historical costs and capacity may trigger a different workload on later records. This study asks whether such rules reduce loss relative to no alarms, how their inspection demand transfers, and how model refitting changes decisions at the same cutoff. An alert identifies a candidate shift for inspection; the labels do not measure inspection effectiveness or avoided accidents.</w:t>
      </w:r>
    </w:p>
    <w:p>
      <w:pPr>
        <w:jc w:val="both"/>
      </w:pPr>
      <w:r>
        <w:t>UCI describes eight-hour shift summaries and a next-shift target indicating a seismic bump above 10⁴ J [1]. We retain the first-stage 2,578-row mirror, with 170 positives, and its full 17-column design. The official 2,584-row file contains six duplicate occurrences removed in the mirror; the first-stage source mapping identifies their retained first occurrences. Recorded row order is the temporal proxy because timestamps and operation identifiers are unavailable.</w:t>
      </w:r>
    </w:p>
    <w:p>
      <w:pPr>
        <w:jc w:val="both"/>
      </w:pPr>
      <w:r>
        <w:t>The analysis separates three questions: how cost and capacity determine historical selection, how the selected rules perform in later blocks, and how their decisions change after model refitting with the same cutoff. The protocol was locked before second-stage fitting. Because the cohort had already been inspected in stage one, the study is exploratory and retrospective. The previously viewed 774-row holdout provides supplementary evidence and overlaps part of the four-block cohort.</w:t>
      </w:r>
    </w:p>
    <w:p>
      <w:pPr>
        <w:pStyle w:val="Heading1"/>
        <w:pageBreakBefore/>
      </w:pPr>
      <w:r>
        <w:t>2 Historical selection and transfer design</w:t>
      </w:r>
    </w:p>
    <w:p>
      <w:pPr>
        <w:pStyle w:val="Caption"/>
      </w:pPr>
      <w:r>
        <w:t>Table 1. Disjoint areas, reference/test prevalence and training-only XGBoost choices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029"/>
        <w:gridCol w:w="1029"/>
        <w:gridCol w:w="1029"/>
        <w:gridCol w:w="1029"/>
        <w:gridCol w:w="1029"/>
        <w:gridCol w:w="1029"/>
        <w:gridCol w:w="1029"/>
        <w:gridCol w:w="1029"/>
        <w:gridCol w:w="1029"/>
      </w:tblGrid>
      <w:tr>
        <w:trPr>
          <w:tblHeader/>
          <w:cantSplit/>
        </w:trPr>
        <w:tc>
          <w:tcPr>
            <w:tcW w:type="dxa" w:w="1029"/>
            <w:shd w:fill="EEEEEE"/>
          </w:tcPr>
          <w:p>
            <w:pPr>
              <w:spacing w:after="60" w:before="60" w:line="240" w:lineRule="auto"/>
            </w:pPr>
            <w:r>
              <w:rPr>
                <w:b/>
                <w:sz w:val="18"/>
              </w:rPr>
              <w:t>Phase</w:t>
            </w:r>
          </w:p>
        </w:tc>
        <w:tc>
          <w:tcPr>
            <w:tcW w:type="dxa" w:w="1029"/>
            <w:shd w:fill="EEEEEE"/>
          </w:tcPr>
          <w:p>
            <w:pPr>
              <w:spacing w:after="60" w:before="60" w:line="240" w:lineRule="auto"/>
            </w:pPr>
            <w:r>
              <w:rPr>
                <w:b/>
                <w:sz w:val="18"/>
              </w:rPr>
              <w:t>Fit n</w:t>
            </w:r>
          </w:p>
        </w:tc>
        <w:tc>
          <w:tcPr>
            <w:tcW w:type="dxa" w:w="1029"/>
            <w:shd w:fill="EEEEEE"/>
          </w:tcPr>
          <w:p>
            <w:pPr>
              <w:spacing w:after="60" w:before="60" w:line="240" w:lineRule="auto"/>
            </w:pPr>
            <w:r>
              <w:rPr>
                <w:b/>
                <w:sz w:val="18"/>
              </w:rPr>
              <w:t>Ref n</w:t>
            </w:r>
          </w:p>
        </w:tc>
        <w:tc>
          <w:tcPr>
            <w:tcW w:type="dxa" w:w="1029"/>
            <w:shd w:fill="EEEEEE"/>
          </w:tcPr>
          <w:p>
            <w:pPr>
              <w:spacing w:after="60" w:before="60" w:line="240" w:lineRule="auto"/>
            </w:pPr>
            <w:r>
              <w:rPr>
                <w:b/>
                <w:sz w:val="18"/>
              </w:rPr>
              <w:t>Ref +</w:t>
            </w:r>
          </w:p>
        </w:tc>
        <w:tc>
          <w:tcPr>
            <w:tcW w:type="dxa" w:w="1029"/>
            <w:shd w:fill="EEEEEE"/>
          </w:tcPr>
          <w:p>
            <w:pPr>
              <w:spacing w:after="60" w:before="60" w:line="240" w:lineRule="auto"/>
            </w:pPr>
            <w:r>
              <w:rPr>
                <w:b/>
                <w:sz w:val="18"/>
              </w:rPr>
              <w:t>Ref %</w:t>
            </w:r>
          </w:p>
        </w:tc>
        <w:tc>
          <w:tcPr>
            <w:tcW w:type="dxa" w:w="1029"/>
            <w:shd w:fill="EEEEEE"/>
          </w:tcPr>
          <w:p>
            <w:pPr>
              <w:spacing w:after="60" w:before="60" w:line="240" w:lineRule="auto"/>
            </w:pPr>
            <w:r>
              <w:rPr>
                <w:b/>
                <w:sz w:val="18"/>
              </w:rPr>
              <w:t>Test n</w:t>
            </w:r>
          </w:p>
        </w:tc>
        <w:tc>
          <w:tcPr>
            <w:tcW w:type="dxa" w:w="1029"/>
            <w:shd w:fill="EEEEEE"/>
          </w:tcPr>
          <w:p>
            <w:pPr>
              <w:spacing w:after="60" w:before="60" w:line="240" w:lineRule="auto"/>
            </w:pPr>
            <w:r>
              <w:rPr>
                <w:b/>
                <w:sz w:val="18"/>
              </w:rPr>
              <w:t>Test +</w:t>
            </w:r>
          </w:p>
        </w:tc>
        <w:tc>
          <w:tcPr>
            <w:tcW w:type="dxa" w:w="1029"/>
            <w:shd w:fill="EEEEEE"/>
          </w:tcPr>
          <w:p>
            <w:pPr>
              <w:spacing w:after="60" w:before="60" w:line="240" w:lineRule="auto"/>
            </w:pPr>
            <w:r>
              <w:rPr>
                <w:b/>
                <w:sz w:val="18"/>
              </w:rPr>
              <w:t>Test %</w:t>
            </w:r>
          </w:p>
        </w:tc>
        <w:tc>
          <w:tcPr>
            <w:tcW w:type="dxa" w:w="1029"/>
            <w:shd w:fill="EEEEEE"/>
          </w:tcPr>
          <w:p>
            <w:pPr>
              <w:spacing w:after="60" w:before="60" w:line="240" w:lineRule="auto"/>
            </w:pPr>
            <w:r>
              <w:rPr>
                <w:b/>
                <w:sz w:val="18"/>
              </w:rPr>
              <w:t>Depth / rounds</w:t>
            </w:r>
          </w:p>
        </w:tc>
      </w:tr>
      <w:tr>
        <w:trPr>
          <w:cantSplit/>
        </w:trPr>
        <w:tc>
          <w:tcPr>
            <w:tcW w:type="dxa" w:w="1029"/>
          </w:tcPr>
          <w:p>
            <w:pPr>
              <w:spacing w:after="60" w:before="60" w:line="240" w:lineRule="auto"/>
            </w:pPr>
            <w:r>
              <w:rPr>
                <w:b w:val="0"/>
                <w:sz w:val="18"/>
              </w:rPr>
              <w:t>1</w:t>
            </w:r>
          </w:p>
        </w:tc>
        <w:tc>
          <w:tcPr>
            <w:tcW w:type="dxa" w:w="1029"/>
          </w:tcPr>
          <w:p>
            <w:pPr>
              <w:spacing w:after="60" w:before="60" w:line="240" w:lineRule="auto"/>
            </w:pPr>
            <w:r>
              <w:rPr>
                <w:b w:val="0"/>
                <w:sz w:val="18"/>
              </w:rPr>
              <w:t>412</w:t>
            </w:r>
          </w:p>
        </w:tc>
        <w:tc>
          <w:tcPr>
            <w:tcW w:type="dxa" w:w="1029"/>
          </w:tcPr>
          <w:p>
            <w:pPr>
              <w:spacing w:after="60" w:before="60" w:line="240" w:lineRule="auto"/>
            </w:pPr>
            <w:r>
              <w:rPr>
                <w:b w:val="0"/>
                <w:sz w:val="18"/>
              </w:rPr>
              <w:t>103</w:t>
            </w:r>
          </w:p>
        </w:tc>
        <w:tc>
          <w:tcPr>
            <w:tcW w:type="dxa" w:w="1029"/>
          </w:tcPr>
          <w:p>
            <w:pPr>
              <w:spacing w:after="60" w:before="60" w:line="240" w:lineRule="auto"/>
            </w:pPr>
            <w:r>
              <w:rPr>
                <w:b w:val="0"/>
                <w:sz w:val="18"/>
              </w:rPr>
              <w:t>21</w:t>
            </w:r>
          </w:p>
        </w:tc>
        <w:tc>
          <w:tcPr>
            <w:tcW w:type="dxa" w:w="1029"/>
          </w:tcPr>
          <w:p>
            <w:pPr>
              <w:spacing w:after="60" w:before="60" w:line="240" w:lineRule="auto"/>
            </w:pPr>
            <w:r>
              <w:rPr>
                <w:b w:val="0"/>
                <w:sz w:val="18"/>
              </w:rPr>
              <w:t>20.39%</w:t>
            </w:r>
          </w:p>
        </w:tc>
        <w:tc>
          <w:tcPr>
            <w:tcW w:type="dxa" w:w="1029"/>
          </w:tcPr>
          <w:p>
            <w:pPr>
              <w:spacing w:after="60" w:before="60" w:line="240" w:lineRule="auto"/>
            </w:pPr>
            <w:r>
              <w:rPr>
                <w:b w:val="0"/>
                <w:sz w:val="18"/>
              </w:rPr>
              <w:t>516</w:t>
            </w:r>
          </w:p>
        </w:tc>
        <w:tc>
          <w:tcPr>
            <w:tcW w:type="dxa" w:w="1029"/>
          </w:tcPr>
          <w:p>
            <w:pPr>
              <w:spacing w:after="60" w:before="60" w:line="240" w:lineRule="auto"/>
            </w:pPr>
            <w:r>
              <w:rPr>
                <w:b w:val="0"/>
                <w:sz w:val="18"/>
              </w:rPr>
              <w:t>36</w:t>
            </w:r>
          </w:p>
        </w:tc>
        <w:tc>
          <w:tcPr>
            <w:tcW w:type="dxa" w:w="1029"/>
          </w:tcPr>
          <w:p>
            <w:pPr>
              <w:spacing w:after="60" w:before="60" w:line="240" w:lineRule="auto"/>
            </w:pPr>
            <w:r>
              <w:rPr>
                <w:b w:val="0"/>
                <w:sz w:val="18"/>
              </w:rPr>
              <w:t>6.98%</w:t>
            </w:r>
          </w:p>
        </w:tc>
        <w:tc>
          <w:tcPr>
            <w:tcW w:type="dxa" w:w="1029"/>
          </w:tcPr>
          <w:p>
            <w:pPr>
              <w:spacing w:after="60" w:before="60" w:line="240" w:lineRule="auto"/>
            </w:pPr>
            <w:r>
              <w:rPr>
                <w:b w:val="0"/>
                <w:sz w:val="18"/>
              </w:rPr>
              <w:t>2 / 80</w:t>
            </w:r>
          </w:p>
        </w:tc>
      </w:tr>
      <w:tr>
        <w:trPr>
          <w:cantSplit/>
        </w:trPr>
        <w:tc>
          <w:tcPr>
            <w:tcW w:type="dxa" w:w="1029"/>
          </w:tcPr>
          <w:p>
            <w:pPr>
              <w:spacing w:after="60" w:before="60" w:line="240" w:lineRule="auto"/>
            </w:pPr>
            <w:r>
              <w:rPr>
                <w:b w:val="0"/>
                <w:sz w:val="18"/>
              </w:rPr>
              <w:t>2</w:t>
            </w:r>
          </w:p>
        </w:tc>
        <w:tc>
          <w:tcPr>
            <w:tcW w:type="dxa" w:w="1029"/>
          </w:tcPr>
          <w:p>
            <w:pPr>
              <w:spacing w:after="60" w:before="60" w:line="240" w:lineRule="auto"/>
            </w:pPr>
            <w:r>
              <w:rPr>
                <w:b w:val="0"/>
                <w:sz w:val="18"/>
              </w:rPr>
              <w:t>824</w:t>
            </w:r>
          </w:p>
        </w:tc>
        <w:tc>
          <w:tcPr>
            <w:tcW w:type="dxa" w:w="1029"/>
          </w:tcPr>
          <w:p>
            <w:pPr>
              <w:spacing w:after="60" w:before="60" w:line="240" w:lineRule="auto"/>
            </w:pPr>
            <w:r>
              <w:rPr>
                <w:b w:val="0"/>
                <w:sz w:val="18"/>
              </w:rPr>
              <w:t>207</w:t>
            </w:r>
          </w:p>
        </w:tc>
        <w:tc>
          <w:tcPr>
            <w:tcW w:type="dxa" w:w="1029"/>
          </w:tcPr>
          <w:p>
            <w:pPr>
              <w:spacing w:after="60" w:before="60" w:line="240" w:lineRule="auto"/>
            </w:pPr>
            <w:r>
              <w:rPr>
                <w:b w:val="0"/>
                <w:sz w:val="18"/>
              </w:rPr>
              <w:t>1</w:t>
            </w:r>
          </w:p>
        </w:tc>
        <w:tc>
          <w:tcPr>
            <w:tcW w:type="dxa" w:w="1029"/>
          </w:tcPr>
          <w:p>
            <w:pPr>
              <w:spacing w:after="60" w:before="60" w:line="240" w:lineRule="auto"/>
            </w:pPr>
            <w:r>
              <w:rPr>
                <w:b w:val="0"/>
                <w:sz w:val="18"/>
              </w:rPr>
              <w:t>0.48%</w:t>
            </w:r>
          </w:p>
        </w:tc>
        <w:tc>
          <w:tcPr>
            <w:tcW w:type="dxa" w:w="1029"/>
          </w:tcPr>
          <w:p>
            <w:pPr>
              <w:spacing w:after="60" w:before="60" w:line="240" w:lineRule="auto"/>
            </w:pPr>
            <w:r>
              <w:rPr>
                <w:b w:val="0"/>
                <w:sz w:val="18"/>
              </w:rPr>
              <w:t>515</w:t>
            </w:r>
          </w:p>
        </w:tc>
        <w:tc>
          <w:tcPr>
            <w:tcW w:type="dxa" w:w="1029"/>
          </w:tcPr>
          <w:p>
            <w:pPr>
              <w:spacing w:after="60" w:before="60" w:line="240" w:lineRule="auto"/>
            </w:pPr>
            <w:r>
              <w:rPr>
                <w:b w:val="0"/>
                <w:sz w:val="18"/>
              </w:rPr>
              <w:t>10</w:t>
            </w:r>
          </w:p>
        </w:tc>
        <w:tc>
          <w:tcPr>
            <w:tcW w:type="dxa" w:w="1029"/>
          </w:tcPr>
          <w:p>
            <w:pPr>
              <w:spacing w:after="60" w:before="60" w:line="240" w:lineRule="auto"/>
            </w:pPr>
            <w:r>
              <w:rPr>
                <w:b w:val="0"/>
                <w:sz w:val="18"/>
              </w:rPr>
              <w:t>1.94%</w:t>
            </w:r>
          </w:p>
        </w:tc>
        <w:tc>
          <w:tcPr>
            <w:tcW w:type="dxa" w:w="1029"/>
          </w:tcPr>
          <w:p>
            <w:pPr>
              <w:spacing w:after="60" w:before="60" w:line="240" w:lineRule="auto"/>
            </w:pPr>
            <w:r>
              <w:rPr>
                <w:b w:val="0"/>
                <w:sz w:val="18"/>
              </w:rPr>
              <w:t>2 / 160</w:t>
            </w:r>
          </w:p>
        </w:tc>
      </w:tr>
      <w:tr>
        <w:trPr>
          <w:cantSplit/>
        </w:trPr>
        <w:tc>
          <w:tcPr>
            <w:tcW w:type="dxa" w:w="1029"/>
          </w:tcPr>
          <w:p>
            <w:pPr>
              <w:spacing w:after="60" w:before="60" w:line="240" w:lineRule="auto"/>
            </w:pPr>
            <w:r>
              <w:rPr>
                <w:b w:val="0"/>
                <w:sz w:val="18"/>
              </w:rPr>
              <w:t>3</w:t>
            </w:r>
          </w:p>
        </w:tc>
        <w:tc>
          <w:tcPr>
            <w:tcW w:type="dxa" w:w="1029"/>
          </w:tcPr>
          <w:p>
            <w:pPr>
              <w:spacing w:after="60" w:before="60" w:line="240" w:lineRule="auto"/>
            </w:pPr>
            <w:r>
              <w:rPr>
                <w:b w:val="0"/>
                <w:sz w:val="18"/>
              </w:rPr>
              <w:t>1236</w:t>
            </w:r>
          </w:p>
        </w:tc>
        <w:tc>
          <w:tcPr>
            <w:tcW w:type="dxa" w:w="1029"/>
          </w:tcPr>
          <w:p>
            <w:pPr>
              <w:spacing w:after="60" w:before="60" w:line="240" w:lineRule="auto"/>
            </w:pPr>
            <w:r>
              <w:rPr>
                <w:b w:val="0"/>
                <w:sz w:val="18"/>
              </w:rPr>
              <w:t>310</w:t>
            </w:r>
          </w:p>
        </w:tc>
        <w:tc>
          <w:tcPr>
            <w:tcW w:type="dxa" w:w="1029"/>
          </w:tcPr>
          <w:p>
            <w:pPr>
              <w:spacing w:after="60" w:before="60" w:line="240" w:lineRule="auto"/>
            </w:pPr>
            <w:r>
              <w:rPr>
                <w:b w:val="0"/>
                <w:sz w:val="18"/>
              </w:rPr>
              <w:t>7</w:t>
            </w:r>
          </w:p>
        </w:tc>
        <w:tc>
          <w:tcPr>
            <w:tcW w:type="dxa" w:w="1029"/>
          </w:tcPr>
          <w:p>
            <w:pPr>
              <w:spacing w:after="60" w:before="60" w:line="240" w:lineRule="auto"/>
            </w:pPr>
            <w:r>
              <w:rPr>
                <w:b w:val="0"/>
                <w:sz w:val="18"/>
              </w:rPr>
              <w:t>2.26%</w:t>
            </w:r>
          </w:p>
        </w:tc>
        <w:tc>
          <w:tcPr>
            <w:tcW w:type="dxa" w:w="1029"/>
          </w:tcPr>
          <w:p>
            <w:pPr>
              <w:spacing w:after="60" w:before="60" w:line="240" w:lineRule="auto"/>
            </w:pPr>
            <w:r>
              <w:rPr>
                <w:b w:val="0"/>
                <w:sz w:val="18"/>
              </w:rPr>
              <w:t>516</w:t>
            </w:r>
          </w:p>
        </w:tc>
        <w:tc>
          <w:tcPr>
            <w:tcW w:type="dxa" w:w="1029"/>
          </w:tcPr>
          <w:p>
            <w:pPr>
              <w:spacing w:after="60" w:before="60" w:line="240" w:lineRule="auto"/>
            </w:pPr>
            <w:r>
              <w:rPr>
                <w:b w:val="0"/>
                <w:sz w:val="18"/>
              </w:rPr>
              <w:t>24</w:t>
            </w:r>
          </w:p>
        </w:tc>
        <w:tc>
          <w:tcPr>
            <w:tcW w:type="dxa" w:w="1029"/>
          </w:tcPr>
          <w:p>
            <w:pPr>
              <w:spacing w:after="60" w:before="60" w:line="240" w:lineRule="auto"/>
            </w:pPr>
            <w:r>
              <w:rPr>
                <w:b w:val="0"/>
                <w:sz w:val="18"/>
              </w:rPr>
              <w:t>4.65%</w:t>
            </w:r>
          </w:p>
        </w:tc>
        <w:tc>
          <w:tcPr>
            <w:tcW w:type="dxa" w:w="1029"/>
          </w:tcPr>
          <w:p>
            <w:pPr>
              <w:spacing w:after="60" w:before="60" w:line="240" w:lineRule="auto"/>
            </w:pPr>
            <w:r>
              <w:rPr>
                <w:b w:val="0"/>
                <w:sz w:val="18"/>
              </w:rPr>
              <w:t>3 / 80</w:t>
            </w:r>
          </w:p>
        </w:tc>
      </w:tr>
      <w:tr>
        <w:trPr>
          <w:cantSplit/>
        </w:trPr>
        <w:tc>
          <w:tcPr>
            <w:tcW w:type="dxa" w:w="1029"/>
          </w:tcPr>
          <w:p>
            <w:pPr>
              <w:spacing w:after="60" w:before="60" w:line="240" w:lineRule="auto"/>
            </w:pPr>
            <w:r>
              <w:rPr>
                <w:b w:val="0"/>
                <w:sz w:val="18"/>
              </w:rPr>
              <w:t>4</w:t>
            </w:r>
          </w:p>
        </w:tc>
        <w:tc>
          <w:tcPr>
            <w:tcW w:type="dxa" w:w="1029"/>
          </w:tcPr>
          <w:p>
            <w:pPr>
              <w:spacing w:after="60" w:before="60" w:line="240" w:lineRule="auto"/>
            </w:pPr>
            <w:r>
              <w:rPr>
                <w:b w:val="0"/>
                <w:sz w:val="18"/>
              </w:rPr>
              <w:t>1649</w:t>
            </w:r>
          </w:p>
        </w:tc>
        <w:tc>
          <w:tcPr>
            <w:tcW w:type="dxa" w:w="1029"/>
          </w:tcPr>
          <w:p>
            <w:pPr>
              <w:spacing w:after="60" w:before="60" w:line="240" w:lineRule="auto"/>
            </w:pPr>
            <w:r>
              <w:rPr>
                <w:b w:val="0"/>
                <w:sz w:val="18"/>
              </w:rPr>
              <w:t>413</w:t>
            </w:r>
          </w:p>
        </w:tc>
        <w:tc>
          <w:tcPr>
            <w:tcW w:type="dxa" w:w="1029"/>
          </w:tcPr>
          <w:p>
            <w:pPr>
              <w:spacing w:after="60" w:before="60" w:line="240" w:lineRule="auto"/>
            </w:pPr>
            <w:r>
              <w:rPr>
                <w:b w:val="0"/>
                <w:sz w:val="18"/>
              </w:rPr>
              <w:t>20</w:t>
            </w:r>
          </w:p>
        </w:tc>
        <w:tc>
          <w:tcPr>
            <w:tcW w:type="dxa" w:w="1029"/>
          </w:tcPr>
          <w:p>
            <w:pPr>
              <w:spacing w:after="60" w:before="60" w:line="240" w:lineRule="auto"/>
            </w:pPr>
            <w:r>
              <w:rPr>
                <w:b w:val="0"/>
                <w:sz w:val="18"/>
              </w:rPr>
              <w:t>4.84%</w:t>
            </w:r>
          </w:p>
        </w:tc>
        <w:tc>
          <w:tcPr>
            <w:tcW w:type="dxa" w:w="1029"/>
          </w:tcPr>
          <w:p>
            <w:pPr>
              <w:spacing w:after="60" w:before="60" w:line="240" w:lineRule="auto"/>
            </w:pPr>
            <w:r>
              <w:rPr>
                <w:b w:val="0"/>
                <w:sz w:val="18"/>
              </w:rPr>
              <w:t>516</w:t>
            </w:r>
          </w:p>
        </w:tc>
        <w:tc>
          <w:tcPr>
            <w:tcW w:type="dxa" w:w="1029"/>
          </w:tcPr>
          <w:p>
            <w:pPr>
              <w:spacing w:after="60" w:before="60" w:line="240" w:lineRule="auto"/>
            </w:pPr>
            <w:r>
              <w:rPr>
                <w:b w:val="0"/>
                <w:sz w:val="18"/>
              </w:rPr>
              <w:t>18</w:t>
            </w:r>
          </w:p>
        </w:tc>
        <w:tc>
          <w:tcPr>
            <w:tcW w:type="dxa" w:w="1029"/>
          </w:tcPr>
          <w:p>
            <w:pPr>
              <w:spacing w:after="60" w:before="60" w:line="240" w:lineRule="auto"/>
            </w:pPr>
            <w:r>
              <w:rPr>
                <w:b w:val="0"/>
                <w:sz w:val="18"/>
              </w:rPr>
              <w:t>3.49%</w:t>
            </w:r>
          </w:p>
        </w:tc>
        <w:tc>
          <w:tcPr>
            <w:tcW w:type="dxa" w:w="1029"/>
          </w:tcPr>
          <w:p>
            <w:pPr>
              <w:spacing w:after="60" w:before="60" w:line="240" w:lineRule="auto"/>
            </w:pPr>
            <w:r>
              <w:rPr>
                <w:b w:val="0"/>
                <w:sz w:val="18"/>
              </w:rPr>
              <w:t>3 / 80</w:t>
            </w:r>
          </w:p>
        </w:tc>
      </w:tr>
    </w:tbl>
    <w:p>
      <w:pPr>
        <w:jc w:val="both"/>
      </w:pPr>
      <w:r>
        <w:t>For each outer historical prefix, the first 80% is the model-fitting area and the final 20% is the policy-reference area. XGBoost [2] selects depth {2, 3} and rounds {80, 160} on a further record-order 80/20 split inside the fitting area, using average precision; exact ties select the first grid entry. Learning rate is 0.05, minimum child weight 10 and L2 penalty 5, with full row and column sampling, two threads and seed 7. If that internal reference has no positives, negative Brier score is used. LR uses balanced class weights and penalty 1; bagged CART uses 60 unweighted trees, depth 6, minimum leaf size 20 and seed 7. Configurations are intentionally asymmetric and retained from stage one.</w:t>
      </w:r>
    </w:p>
    <w:p>
      <w:pPr>
        <w:jc w:val="both"/>
      </w:pPr>
      <w:r>
        <w:t>The fixed model is trained on the fitting area. Reference scores and labels determine a cutoff, which is frozen for the next test block. The refitted comparison uses the already selected parameters to fit all outer historical rows, including the policy-reference area, then applies the identical numerical cutoff to the identical test rows. Thresholds are selected using fixed-model reference scores and applied to raw scores in both workflows. Test labels enter only the subsequent evaluation.</w:t>
      </w:r>
    </w:p>
    <w:p>
      <w:pPr>
        <w:jc w:val="both"/>
      </w:pPr>
      <w:r>
        <w:t>Stage one [3] transfers a reference cutoff to an outer model refitted on all history; here fixed-model transfer is primary and refitting is a separate comparison. Stage-one XGBoost reference models use a separate parameter search, and budget cutoffs exclude boundary ties. Stage two reuses fitting-area parameters and canonical whole-group cutoffs. Cross-report alert counts require matched models, parameter selection, workflows and threshold definitions.</w:t>
      </w:r>
    </w:p>
    <w:p>
      <w:pPr>
        <w:pStyle w:val="Caption"/>
      </w:pPr>
      <w:r>
        <w:t>Table 2. Rules on the historical reference area</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3086"/>
        <w:gridCol w:w="3086"/>
        <w:gridCol w:w="3086"/>
      </w:tblGrid>
      <w:tr>
        <w:trPr>
          <w:tblHeader/>
          <w:cantSplit/>
        </w:trPr>
        <w:tc>
          <w:tcPr>
            <w:tcW w:type="dxa" w:w="3086"/>
            <w:shd w:fill="EEEEEE"/>
          </w:tcPr>
          <w:p>
            <w:pPr>
              <w:spacing w:after="60" w:before="60" w:line="240" w:lineRule="auto"/>
            </w:pPr>
            <w:r>
              <w:rPr>
                <w:b/>
                <w:sz w:val="18"/>
              </w:rPr>
              <w:t>Rule</w:t>
            </w:r>
          </w:p>
        </w:tc>
        <w:tc>
          <w:tcPr>
            <w:tcW w:type="dxa" w:w="3086"/>
            <w:shd w:fill="EEEEEE"/>
          </w:tcPr>
          <w:p>
            <w:pPr>
              <w:spacing w:after="60" w:before="60" w:line="240" w:lineRule="auto"/>
            </w:pPr>
            <w:r>
              <w:rPr>
                <w:b/>
                <w:sz w:val="18"/>
              </w:rPr>
              <w:t>Objective</w:t>
            </w:r>
          </w:p>
        </w:tc>
        <w:tc>
          <w:tcPr>
            <w:tcW w:type="dxa" w:w="3086"/>
            <w:shd w:fill="EEEEEE"/>
          </w:tcPr>
          <w:p>
            <w:pPr>
              <w:spacing w:after="60" w:before="60" w:line="240" w:lineRule="auto"/>
            </w:pPr>
            <w:r>
              <w:rPr>
                <w:b/>
                <w:sz w:val="18"/>
              </w:rPr>
              <w:t>Constraint</w:t>
            </w:r>
          </w:p>
        </w:tc>
      </w:tr>
      <w:tr>
        <w:trPr>
          <w:cantSplit/>
        </w:trPr>
        <w:tc>
          <w:tcPr>
            <w:tcW w:type="dxa" w:w="3086"/>
          </w:tcPr>
          <w:p>
            <w:pPr>
              <w:spacing w:after="60" w:before="60" w:line="240" w:lineRule="auto"/>
            </w:pPr>
            <w:r>
              <w:rPr>
                <w:b w:val="0"/>
                <w:sz w:val="18"/>
              </w:rPr>
              <w:t>A budget</w:t>
            </w:r>
          </w:p>
        </w:tc>
        <w:tc>
          <w:tcPr>
            <w:tcW w:type="dxa" w:w="3086"/>
          </w:tcPr>
          <w:p>
            <w:pPr>
              <w:spacing w:after="60" w:before="60" w:line="240" w:lineRule="auto"/>
            </w:pPr>
            <w:r>
              <w:rPr>
                <w:b w:val="0"/>
                <w:sz w:val="18"/>
              </w:rPr>
              <w:t>Maximum whole-group alert count</w:t>
            </w:r>
          </w:p>
        </w:tc>
        <w:tc>
          <w:tcPr>
            <w:tcW w:type="dxa" w:w="3086"/>
          </w:tcPr>
          <w:p>
            <w:pPr>
              <w:spacing w:after="60" w:before="60" w:line="240" w:lineRule="auto"/>
            </w:pPr>
            <w:r>
              <w:rPr>
                <w:b w:val="0"/>
                <w:sz w:val="18"/>
              </w:rPr>
              <w:t>Alerts ≤ floor(B Nref)</w:t>
            </w:r>
          </w:p>
        </w:tc>
      </w:tr>
      <w:tr>
        <w:trPr>
          <w:cantSplit/>
        </w:trPr>
        <w:tc>
          <w:tcPr>
            <w:tcW w:type="dxa" w:w="3086"/>
          </w:tcPr>
          <w:p>
            <w:pPr>
              <w:spacing w:after="60" w:before="60" w:line="240" w:lineRule="auto"/>
            </w:pPr>
            <w:r>
              <w:rPr>
                <w:b w:val="0"/>
                <w:sz w:val="18"/>
              </w:rPr>
              <w:t>B cost</w:t>
            </w:r>
          </w:p>
        </w:tc>
        <w:tc>
          <w:tcPr>
            <w:tcW w:type="dxa" w:w="3086"/>
          </w:tcPr>
          <w:p>
            <w:pPr>
              <w:spacing w:after="60" w:before="60" w:line="240" w:lineRule="auto"/>
            </w:pPr>
            <w:r>
              <w:rPr>
                <w:b w:val="0"/>
                <w:sz w:val="18"/>
              </w:rPr>
              <w:t>Minimum r FN + FP</w:t>
            </w:r>
          </w:p>
        </w:tc>
        <w:tc>
          <w:tcPr>
            <w:tcW w:type="dxa" w:w="3086"/>
          </w:tcPr>
          <w:p>
            <w:pPr>
              <w:spacing w:after="60" w:before="60" w:line="240" w:lineRule="auto"/>
            </w:pPr>
            <w:r>
              <w:rPr>
                <w:b w:val="0"/>
                <w:sz w:val="18"/>
              </w:rPr>
              <w:t>None</w:t>
            </w:r>
          </w:p>
        </w:tc>
      </w:tr>
      <w:tr>
        <w:trPr>
          <w:cantSplit/>
        </w:trPr>
        <w:tc>
          <w:tcPr>
            <w:tcW w:type="dxa" w:w="3086"/>
          </w:tcPr>
          <w:p>
            <w:pPr>
              <w:spacing w:after="60" w:before="60" w:line="240" w:lineRule="auto"/>
            </w:pPr>
            <w:r>
              <w:rPr>
                <w:b w:val="0"/>
                <w:sz w:val="18"/>
              </w:rPr>
              <w:t>C cost plus capacity</w:t>
            </w:r>
          </w:p>
        </w:tc>
        <w:tc>
          <w:tcPr>
            <w:tcW w:type="dxa" w:w="3086"/>
          </w:tcPr>
          <w:p>
            <w:pPr>
              <w:spacing w:after="60" w:before="60" w:line="240" w:lineRule="auto"/>
            </w:pPr>
            <w:r>
              <w:rPr>
                <w:b w:val="0"/>
                <w:sz w:val="18"/>
              </w:rPr>
              <w:t>Minimum r FN + FP</w:t>
            </w:r>
          </w:p>
        </w:tc>
        <w:tc>
          <w:tcPr>
            <w:tcW w:type="dxa" w:w="3086"/>
          </w:tcPr>
          <w:p>
            <w:pPr>
              <w:spacing w:after="60" w:before="60" w:line="240" w:lineRule="auto"/>
            </w:pPr>
            <w:r>
              <w:rPr>
                <w:b w:val="0"/>
                <w:sz w:val="18"/>
              </w:rPr>
              <w:t>Alerts ≤ floor(B Nref)</w:t>
            </w:r>
          </w:p>
        </w:tc>
      </w:tr>
    </w:tbl>
    <w:p>
      <w:pPr>
        <w:jc w:val="both"/>
      </w:pPr>
      <w:r>
        <w:t>Budgets are 1%, 5%, 10% and 20%; relative missed-event costs r are 5, 10, 20 and 50, with false-alarm cost 1. A is selected once per budget, B once per cost, and C once per combination. Alerts satisfy s ≥ τ. Tied scores move together. The cutoff is the minimum included reference score, except +∞ for no alarms and −∞ for all alarms. Equal-loss B/C decisions select fewer alerts. Zero capacity slots force A/C to +∞; without reference positives B/C select no alarms, while A remains budget-only.</w:t>
      </w:r>
    </w:p>
    <w:p>
      <w:pPr>
        <w:jc w:val="both"/>
      </w:pPr>
      <w:r>
        <w:t>The no-alarm baseline is always evaluated. Batch Top-k selects the largest whole-tie test-score set within floor(B Ntest), without test labels, and can underfill capacity. This retrospective ranking reference requires scores for the complete test batch; its capacity is enforced on that batch rather than inherited from a historical cutoff.</w:t>
      </w:r>
    </w:p>
    <w:p>
      <w:pPr>
        <w:jc w:val="both"/>
      </w:pPr>
      <w:r>
        <w:t>Primary loss is L100 = 100(r FN + FP)/N. Counts, recall, precision, alert rate and excess max(0, Alerts − floor(B N)) accompany it. Costs are hypothetical relative weights, not monetary estimates. Pooled slots and excess sum phase-specific quantities without offsetting excess in one phase against spare capacity in another.</w:t>
      </w:r>
    </w:p>
    <w:p>
      <w:pPr>
        <w:pStyle w:val="Heading1"/>
        <w:pageBreakBefore/>
      </w:pPr>
      <w:r>
        <w:t>3 Decision value relative to no alarms</w:t>
      </w:r>
    </w:p>
    <w:p>
      <w:pPr>
        <w:pStyle w:val="Caption"/>
      </w:pPr>
      <w:r>
        <w:t>Table 3. Pooled fixed XGBoost decision value at r=10</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323"/>
        <w:gridCol w:w="1323"/>
        <w:gridCol w:w="1323"/>
        <w:gridCol w:w="1323"/>
        <w:gridCol w:w="1323"/>
        <w:gridCol w:w="1323"/>
        <w:gridCol w:w="1323"/>
      </w:tblGrid>
      <w:tr>
        <w:trPr>
          <w:tblHeader/>
          <w:cantSplit/>
        </w:trPr>
        <w:tc>
          <w:tcPr>
            <w:tcW w:type="dxa" w:w="1323"/>
            <w:shd w:fill="EEEEEE"/>
          </w:tcPr>
          <w:p>
            <w:pPr>
              <w:spacing w:after="60" w:before="60" w:line="240" w:lineRule="auto"/>
            </w:pPr>
            <w:r>
              <w:rPr>
                <w:b/>
                <w:sz w:val="18"/>
              </w:rPr>
              <w:t>Rule</w:t>
            </w:r>
          </w:p>
        </w:tc>
        <w:tc>
          <w:tcPr>
            <w:tcW w:type="dxa" w:w="1323"/>
            <w:shd w:fill="EEEEEE"/>
          </w:tcPr>
          <w:p>
            <w:pPr>
              <w:spacing w:after="60" w:before="60" w:line="240" w:lineRule="auto"/>
            </w:pPr>
            <w:r>
              <w:rPr>
                <w:b/>
                <w:sz w:val="18"/>
              </w:rPr>
              <w:t>Budget</w:t>
            </w:r>
          </w:p>
        </w:tc>
        <w:tc>
          <w:tcPr>
            <w:tcW w:type="dxa" w:w="1323"/>
            <w:shd w:fill="EEEEEE"/>
          </w:tcPr>
          <w:p>
            <w:pPr>
              <w:spacing w:after="60" w:before="60" w:line="240" w:lineRule="auto"/>
            </w:pPr>
            <w:r>
              <w:rPr>
                <w:b/>
                <w:sz w:val="18"/>
              </w:rPr>
              <w:t>L100</w:t>
            </w:r>
          </w:p>
        </w:tc>
        <w:tc>
          <w:tcPr>
            <w:tcW w:type="dxa" w:w="1323"/>
            <w:shd w:fill="EEEEEE"/>
          </w:tcPr>
          <w:p>
            <w:pPr>
              <w:spacing w:after="60" w:before="60" w:line="240" w:lineRule="auto"/>
            </w:pPr>
            <w:r>
              <w:rPr>
                <w:b/>
                <w:sz w:val="18"/>
              </w:rPr>
              <w:t>Δ vs none</w:t>
            </w:r>
          </w:p>
        </w:tc>
        <w:tc>
          <w:tcPr>
            <w:tcW w:type="dxa" w:w="1323"/>
            <w:shd w:fill="EEEEEE"/>
          </w:tcPr>
          <w:p>
            <w:pPr>
              <w:spacing w:after="60" w:before="60" w:line="240" w:lineRule="auto"/>
            </w:pPr>
            <w:r>
              <w:rPr>
                <w:b/>
                <w:sz w:val="18"/>
              </w:rPr>
              <w:t>Alerts</w:t>
            </w:r>
          </w:p>
        </w:tc>
        <w:tc>
          <w:tcPr>
            <w:tcW w:type="dxa" w:w="1323"/>
            <w:shd w:fill="EEEEEE"/>
          </w:tcPr>
          <w:p>
            <w:pPr>
              <w:spacing w:after="60" w:before="60" w:line="240" w:lineRule="auto"/>
            </w:pPr>
            <w:r>
              <w:rPr>
                <w:b/>
                <w:sz w:val="18"/>
              </w:rPr>
              <w:t>TP</w:t>
            </w:r>
          </w:p>
        </w:tc>
        <w:tc>
          <w:tcPr>
            <w:tcW w:type="dxa" w:w="1323"/>
            <w:shd w:fill="EEEEEE"/>
          </w:tcPr>
          <w:p>
            <w:pPr>
              <w:spacing w:after="60" w:before="60" w:line="240" w:lineRule="auto"/>
            </w:pPr>
            <w:r>
              <w:rPr>
                <w:b/>
                <w:sz w:val="18"/>
              </w:rPr>
              <w:t>FN</w:t>
            </w:r>
          </w:p>
        </w:tc>
      </w:tr>
      <w:tr>
        <w:trPr>
          <w:cantSplit/>
        </w:trPr>
        <w:tc>
          <w:tcPr>
            <w:tcW w:type="dxa" w:w="1323"/>
          </w:tcPr>
          <w:p>
            <w:pPr>
              <w:spacing w:after="60" w:before="60" w:line="240" w:lineRule="auto"/>
            </w:pPr>
            <w:r>
              <w:rPr>
                <w:b w:val="0"/>
                <w:sz w:val="18"/>
              </w:rPr>
              <w:t>none</w:t>
            </w:r>
          </w:p>
        </w:tc>
        <w:tc>
          <w:tcPr>
            <w:tcW w:type="dxa" w:w="1323"/>
          </w:tcPr>
          <w:p>
            <w:pPr>
              <w:spacing w:after="60" w:before="60" w:line="240" w:lineRule="auto"/>
            </w:pPr>
            <w:r>
              <w:rPr>
                <w:b w:val="0"/>
                <w:sz w:val="18"/>
              </w:rPr>
              <w:t>—</w:t>
            </w:r>
          </w:p>
        </w:tc>
        <w:tc>
          <w:tcPr>
            <w:tcW w:type="dxa" w:w="1323"/>
          </w:tcPr>
          <w:p>
            <w:pPr>
              <w:spacing w:after="60" w:before="60" w:line="240" w:lineRule="auto"/>
            </w:pPr>
            <w:r>
              <w:rPr>
                <w:b w:val="0"/>
                <w:sz w:val="18"/>
              </w:rPr>
              <w:t>42.66</w:t>
            </w:r>
          </w:p>
        </w:tc>
        <w:tc>
          <w:tcPr>
            <w:tcW w:type="dxa" w:w="1323"/>
          </w:tcPr>
          <w:p>
            <w:pPr>
              <w:spacing w:after="60" w:before="60" w:line="240" w:lineRule="auto"/>
            </w:pPr>
            <w:r>
              <w:rPr>
                <w:b w:val="0"/>
                <w:sz w:val="18"/>
              </w:rPr>
              <w:t>0.00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88</w:t>
            </w:r>
          </w:p>
        </w:tc>
      </w:tr>
      <w:tr>
        <w:trPr>
          <w:cantSplit/>
        </w:trPr>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45.52</w:t>
            </w:r>
          </w:p>
        </w:tc>
        <w:tc>
          <w:tcPr>
            <w:tcW w:type="dxa" w:w="1323"/>
          </w:tcPr>
          <w:p>
            <w:pPr>
              <w:spacing w:after="60" w:before="60" w:line="240" w:lineRule="auto"/>
            </w:pPr>
            <w:r>
              <w:rPr>
                <w:b w:val="0"/>
                <w:sz w:val="18"/>
              </w:rPr>
              <w:t>2.86</w:t>
            </w:r>
          </w:p>
        </w:tc>
        <w:tc>
          <w:tcPr>
            <w:tcW w:type="dxa" w:w="1323"/>
          </w:tcPr>
          <w:p>
            <w:pPr>
              <w:spacing w:after="60" w:before="60" w:line="240" w:lineRule="auto"/>
            </w:pPr>
            <w:r>
              <w:rPr>
                <w:b w:val="0"/>
                <w:sz w:val="18"/>
              </w:rPr>
              <w:t>59</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88</w:t>
            </w:r>
          </w:p>
        </w:tc>
      </w:tr>
      <w:tr>
        <w:trPr>
          <w:cantSplit/>
        </w:trPr>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45.90</w:t>
            </w:r>
          </w:p>
        </w:tc>
        <w:tc>
          <w:tcPr>
            <w:tcW w:type="dxa" w:w="1323"/>
          </w:tcPr>
          <w:p>
            <w:pPr>
              <w:spacing w:after="60" w:before="60" w:line="240" w:lineRule="auto"/>
            </w:pPr>
            <w:r>
              <w:rPr>
                <w:b w:val="0"/>
                <w:sz w:val="18"/>
              </w:rPr>
              <w:t>3.25</w:t>
            </w:r>
          </w:p>
        </w:tc>
        <w:tc>
          <w:tcPr>
            <w:tcW w:type="dxa" w:w="1323"/>
          </w:tcPr>
          <w:p>
            <w:pPr>
              <w:spacing w:after="60" w:before="60" w:line="240" w:lineRule="auto"/>
            </w:pPr>
            <w:r>
              <w:rPr>
                <w:b w:val="0"/>
                <w:sz w:val="18"/>
              </w:rPr>
              <w:t>166</w:t>
            </w:r>
          </w:p>
        </w:tc>
        <w:tc>
          <w:tcPr>
            <w:tcW w:type="dxa" w:w="1323"/>
          </w:tcPr>
          <w:p>
            <w:pPr>
              <w:spacing w:after="60" w:before="60" w:line="240" w:lineRule="auto"/>
            </w:pPr>
            <w:r>
              <w:rPr>
                <w:b w:val="0"/>
                <w:sz w:val="18"/>
              </w:rPr>
              <w:t>9</w:t>
            </w:r>
          </w:p>
        </w:tc>
        <w:tc>
          <w:tcPr>
            <w:tcW w:type="dxa" w:w="1323"/>
          </w:tcPr>
          <w:p>
            <w:pPr>
              <w:spacing w:after="60" w:before="60" w:line="240" w:lineRule="auto"/>
            </w:pPr>
            <w:r>
              <w:rPr>
                <w:b w:val="0"/>
                <w:sz w:val="18"/>
              </w:rPr>
              <w:t>79</w:t>
            </w:r>
          </w:p>
        </w:tc>
      </w:tr>
      <w:tr>
        <w:trPr>
          <w:cantSplit/>
        </w:trPr>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47.21</w:t>
            </w:r>
          </w:p>
        </w:tc>
        <w:tc>
          <w:tcPr>
            <w:tcW w:type="dxa" w:w="1323"/>
          </w:tcPr>
          <w:p>
            <w:pPr>
              <w:spacing w:after="60" w:before="60" w:line="240" w:lineRule="auto"/>
            </w:pPr>
            <w:r>
              <w:rPr>
                <w:b w:val="0"/>
                <w:sz w:val="18"/>
              </w:rPr>
              <w:t>4.56</w:t>
            </w:r>
          </w:p>
        </w:tc>
        <w:tc>
          <w:tcPr>
            <w:tcW w:type="dxa" w:w="1323"/>
          </w:tcPr>
          <w:p>
            <w:pPr>
              <w:spacing w:after="60" w:before="60" w:line="240" w:lineRule="auto"/>
            </w:pPr>
            <w:r>
              <w:rPr>
                <w:b w:val="0"/>
                <w:sz w:val="18"/>
              </w:rPr>
              <w:t>248</w:t>
            </w:r>
          </w:p>
        </w:tc>
        <w:tc>
          <w:tcPr>
            <w:tcW w:type="dxa" w:w="1323"/>
          </w:tcPr>
          <w:p>
            <w:pPr>
              <w:spacing w:after="60" w:before="60" w:line="240" w:lineRule="auto"/>
            </w:pPr>
            <w:r>
              <w:rPr>
                <w:b w:val="0"/>
                <w:sz w:val="18"/>
              </w:rPr>
              <w:t>14</w:t>
            </w:r>
          </w:p>
        </w:tc>
        <w:tc>
          <w:tcPr>
            <w:tcW w:type="dxa" w:w="1323"/>
          </w:tcPr>
          <w:p>
            <w:pPr>
              <w:spacing w:after="60" w:before="60" w:line="240" w:lineRule="auto"/>
            </w:pPr>
            <w:r>
              <w:rPr>
                <w:b w:val="0"/>
                <w:sz w:val="18"/>
              </w:rPr>
              <w:t>74</w:t>
            </w:r>
          </w:p>
        </w:tc>
      </w:tr>
      <w:tr>
        <w:trPr>
          <w:cantSplit/>
        </w:trPr>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56.33</w:t>
            </w:r>
          </w:p>
        </w:tc>
        <w:tc>
          <w:tcPr>
            <w:tcW w:type="dxa" w:w="1323"/>
          </w:tcPr>
          <w:p>
            <w:pPr>
              <w:spacing w:after="60" w:before="60" w:line="240" w:lineRule="auto"/>
            </w:pPr>
            <w:r>
              <w:rPr>
                <w:b w:val="0"/>
                <w:sz w:val="18"/>
              </w:rPr>
              <w:t>13.67</w:t>
            </w:r>
          </w:p>
        </w:tc>
        <w:tc>
          <w:tcPr>
            <w:tcW w:type="dxa" w:w="1323"/>
          </w:tcPr>
          <w:p>
            <w:pPr>
              <w:spacing w:after="60" w:before="60" w:line="240" w:lineRule="auto"/>
            </w:pPr>
            <w:r>
              <w:rPr>
                <w:b w:val="0"/>
                <w:sz w:val="18"/>
              </w:rPr>
              <w:t>557</w:t>
            </w:r>
          </w:p>
        </w:tc>
        <w:tc>
          <w:tcPr>
            <w:tcW w:type="dxa" w:w="1323"/>
          </w:tcPr>
          <w:p>
            <w:pPr>
              <w:spacing w:after="60" w:before="60" w:line="240" w:lineRule="auto"/>
            </w:pPr>
            <w:r>
              <w:rPr>
                <w:b w:val="0"/>
                <w:sz w:val="18"/>
              </w:rPr>
              <w:t>25</w:t>
            </w:r>
          </w:p>
        </w:tc>
        <w:tc>
          <w:tcPr>
            <w:tcW w:type="dxa" w:w="1323"/>
          </w:tcPr>
          <w:p>
            <w:pPr>
              <w:spacing w:after="60" w:before="60" w:line="240" w:lineRule="auto"/>
            </w:pPr>
            <w:r>
              <w:rPr>
                <w:b w:val="0"/>
                <w:sz w:val="18"/>
              </w:rPr>
              <w:t>63</w:t>
            </w:r>
          </w:p>
        </w:tc>
      </w:tr>
      <w:tr>
        <w:trPr>
          <w:cantSplit/>
        </w:trPr>
        <w:tc>
          <w:tcPr>
            <w:tcW w:type="dxa" w:w="1323"/>
          </w:tcPr>
          <w:p>
            <w:pPr>
              <w:spacing w:after="60" w:before="60" w:line="240" w:lineRule="auto"/>
            </w:pPr>
            <w:r>
              <w:rPr>
                <w:b w:val="0"/>
                <w:sz w:val="18"/>
              </w:rPr>
              <w:t>B</w:t>
            </w:r>
          </w:p>
        </w:tc>
        <w:tc>
          <w:tcPr>
            <w:tcW w:type="dxa" w:w="1323"/>
          </w:tcPr>
          <w:p>
            <w:pPr>
              <w:spacing w:after="60" w:before="60" w:line="240" w:lineRule="auto"/>
            </w:pPr>
            <w:r>
              <w:rPr>
                <w:b w:val="0"/>
                <w:sz w:val="18"/>
              </w:rPr>
              <w:t>—</w:t>
            </w:r>
          </w:p>
        </w:tc>
        <w:tc>
          <w:tcPr>
            <w:tcW w:type="dxa" w:w="1323"/>
          </w:tcPr>
          <w:p>
            <w:pPr>
              <w:spacing w:after="60" w:before="60" w:line="240" w:lineRule="auto"/>
            </w:pPr>
            <w:r>
              <w:rPr>
                <w:b w:val="0"/>
                <w:sz w:val="18"/>
              </w:rPr>
              <w:t>44.06</w:t>
            </w:r>
          </w:p>
        </w:tc>
        <w:tc>
          <w:tcPr>
            <w:tcW w:type="dxa" w:w="1323"/>
          </w:tcPr>
          <w:p>
            <w:pPr>
              <w:spacing w:after="60" w:before="60" w:line="240" w:lineRule="auto"/>
            </w:pPr>
            <w:r>
              <w:rPr>
                <w:b w:val="0"/>
                <w:sz w:val="18"/>
              </w:rPr>
              <w:t>1.41</w:t>
            </w:r>
          </w:p>
        </w:tc>
        <w:tc>
          <w:tcPr>
            <w:tcW w:type="dxa" w:w="1323"/>
          </w:tcPr>
          <w:p>
            <w:pPr>
              <w:spacing w:after="60" w:before="60" w:line="240" w:lineRule="auto"/>
            </w:pPr>
            <w:r>
              <w:rPr>
                <w:b w:val="0"/>
                <w:sz w:val="18"/>
              </w:rPr>
              <w:t>414</w:t>
            </w:r>
          </w:p>
        </w:tc>
        <w:tc>
          <w:tcPr>
            <w:tcW w:type="dxa" w:w="1323"/>
          </w:tcPr>
          <w:p>
            <w:pPr>
              <w:spacing w:after="60" w:before="60" w:line="240" w:lineRule="auto"/>
            </w:pPr>
            <w:r>
              <w:rPr>
                <w:b w:val="0"/>
                <w:sz w:val="18"/>
              </w:rPr>
              <w:t>35</w:t>
            </w:r>
          </w:p>
        </w:tc>
        <w:tc>
          <w:tcPr>
            <w:tcW w:type="dxa" w:w="1323"/>
          </w:tcPr>
          <w:p>
            <w:pPr>
              <w:spacing w:after="60" w:before="60" w:line="240" w:lineRule="auto"/>
            </w:pPr>
            <w:r>
              <w:rPr>
                <w:b w:val="0"/>
                <w:sz w:val="18"/>
              </w:rPr>
              <w:t>53</w:t>
            </w:r>
          </w:p>
        </w:tc>
      </w:tr>
      <w:tr>
        <w:trPr>
          <w:cantSplit/>
        </w:trPr>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42.66</w:t>
            </w:r>
          </w:p>
        </w:tc>
        <w:tc>
          <w:tcPr>
            <w:tcW w:type="dxa" w:w="1323"/>
          </w:tcPr>
          <w:p>
            <w:pPr>
              <w:spacing w:after="60" w:before="60" w:line="240" w:lineRule="auto"/>
            </w:pPr>
            <w:r>
              <w:rPr>
                <w:b w:val="0"/>
                <w:sz w:val="18"/>
              </w:rPr>
              <w:t>0.00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88</w:t>
            </w:r>
          </w:p>
        </w:tc>
      </w:tr>
      <w:tr>
        <w:trPr>
          <w:cantSplit/>
        </w:trPr>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43.33</w:t>
            </w:r>
          </w:p>
        </w:tc>
        <w:tc>
          <w:tcPr>
            <w:tcW w:type="dxa" w:w="1323"/>
          </w:tcPr>
          <w:p>
            <w:pPr>
              <w:spacing w:after="60" w:before="60" w:line="240" w:lineRule="auto"/>
            </w:pPr>
            <w:r>
              <w:rPr>
                <w:b w:val="0"/>
                <w:sz w:val="18"/>
              </w:rPr>
              <w:t>0.68</w:t>
            </w:r>
          </w:p>
        </w:tc>
        <w:tc>
          <w:tcPr>
            <w:tcW w:type="dxa" w:w="1323"/>
          </w:tcPr>
          <w:p>
            <w:pPr>
              <w:spacing w:after="60" w:before="60" w:line="240" w:lineRule="auto"/>
            </w:pPr>
            <w:r>
              <w:rPr>
                <w:b w:val="0"/>
                <w:sz w:val="18"/>
              </w:rPr>
              <w:t>25</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87</w:t>
            </w:r>
          </w:p>
        </w:tc>
      </w:tr>
      <w:tr>
        <w:trPr>
          <w:cantSplit/>
        </w:trPr>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43.48</w:t>
            </w:r>
          </w:p>
        </w:tc>
        <w:tc>
          <w:tcPr>
            <w:tcW w:type="dxa" w:w="1323"/>
          </w:tcPr>
          <w:p>
            <w:pPr>
              <w:spacing w:after="60" w:before="60" w:line="240" w:lineRule="auto"/>
            </w:pPr>
            <w:r>
              <w:rPr>
                <w:b w:val="0"/>
                <w:sz w:val="18"/>
              </w:rPr>
              <w:t>0.82</w:t>
            </w:r>
          </w:p>
        </w:tc>
        <w:tc>
          <w:tcPr>
            <w:tcW w:type="dxa" w:w="1323"/>
          </w:tcPr>
          <w:p>
            <w:pPr>
              <w:spacing w:after="60" w:before="60" w:line="240" w:lineRule="auto"/>
            </w:pPr>
            <w:r>
              <w:rPr>
                <w:b w:val="0"/>
                <w:sz w:val="18"/>
              </w:rPr>
              <w:t>28</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87</w:t>
            </w:r>
          </w:p>
        </w:tc>
      </w:tr>
      <w:tr>
        <w:trPr>
          <w:cantSplit/>
        </w:trPr>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43.24</w:t>
            </w:r>
          </w:p>
        </w:tc>
        <w:tc>
          <w:tcPr>
            <w:tcW w:type="dxa" w:w="1323"/>
          </w:tcPr>
          <w:p>
            <w:pPr>
              <w:spacing w:after="60" w:before="60" w:line="240" w:lineRule="auto"/>
            </w:pPr>
            <w:r>
              <w:rPr>
                <w:b w:val="0"/>
                <w:sz w:val="18"/>
              </w:rPr>
              <w:t>0.58</w:t>
            </w:r>
          </w:p>
        </w:tc>
        <w:tc>
          <w:tcPr>
            <w:tcW w:type="dxa" w:w="1323"/>
          </w:tcPr>
          <w:p>
            <w:pPr>
              <w:spacing w:after="60" w:before="60" w:line="240" w:lineRule="auto"/>
            </w:pPr>
            <w:r>
              <w:rPr>
                <w:b w:val="0"/>
                <w:sz w:val="18"/>
              </w:rPr>
              <w:t>34</w:t>
            </w:r>
          </w:p>
        </w:tc>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86</w:t>
            </w:r>
          </w:p>
        </w:tc>
      </w:tr>
    </w:tbl>
    <w:p>
      <w:pPr>
        <w:jc w:val="both"/>
      </w:pPr>
      <w:r>
        <w:t>The no-alarm rule provides an explicit decision reference: Lnone,100 = 100 r(TP + FN)/N. Relative loss is ΔLnone,100 = 100(FP − rTP)/N. Negative values indicate lower loss under the stated hypothetical cost. A and C budgets are historical selection limits; B has no capacity constraint. The cohort contains 2,063 shifts and 88 hazardous outcomes.</w:t>
      </w:r>
    </w:p>
    <w:p>
      <w:pPr>
        <w:pStyle w:val="Caption"/>
      </w:pPr>
      <w:r>
        <w:t>Table 4. Phase-specific loss relative to no alarms at r=10</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852"/>
        <w:gridCol w:w="1852"/>
        <w:gridCol w:w="1852"/>
        <w:gridCol w:w="1852"/>
        <w:gridCol w:w="1852"/>
      </w:tblGrid>
      <w:tr>
        <w:trPr>
          <w:tblHeader/>
          <w:cantSplit/>
        </w:trPr>
        <w:tc>
          <w:tcPr>
            <w:tcW w:type="dxa" w:w="1852"/>
            <w:shd w:fill="EEEEEE"/>
          </w:tcPr>
          <w:p>
            <w:pPr>
              <w:spacing w:after="60" w:before="60" w:line="240" w:lineRule="auto"/>
            </w:pPr>
            <w:r>
              <w:rPr>
                <w:b/>
                <w:sz w:val="18"/>
              </w:rPr>
              <w:t>Phase</w:t>
            </w:r>
          </w:p>
        </w:tc>
        <w:tc>
          <w:tcPr>
            <w:tcW w:type="dxa" w:w="1852"/>
            <w:shd w:fill="EEEEEE"/>
          </w:tcPr>
          <w:p>
            <w:pPr>
              <w:spacing w:after="60" w:before="60" w:line="240" w:lineRule="auto"/>
            </w:pPr>
            <w:r>
              <w:rPr>
                <w:b/>
                <w:sz w:val="18"/>
              </w:rPr>
              <w:t>No-alarm L100</w:t>
            </w:r>
          </w:p>
        </w:tc>
        <w:tc>
          <w:tcPr>
            <w:tcW w:type="dxa" w:w="1852"/>
            <w:shd w:fill="EEEEEE"/>
          </w:tcPr>
          <w:p>
            <w:pPr>
              <w:spacing w:after="60" w:before="60" w:line="240" w:lineRule="auto"/>
            </w:pPr>
            <w:r>
              <w:rPr>
                <w:b/>
                <w:sz w:val="18"/>
              </w:rPr>
              <w:t>A Δ range</w:t>
            </w:r>
          </w:p>
        </w:tc>
        <w:tc>
          <w:tcPr>
            <w:tcW w:type="dxa" w:w="1852"/>
            <w:shd w:fill="EEEEEE"/>
          </w:tcPr>
          <w:p>
            <w:pPr>
              <w:spacing w:after="60" w:before="60" w:line="240" w:lineRule="auto"/>
            </w:pPr>
            <w:r>
              <w:rPr>
                <w:b/>
                <w:sz w:val="18"/>
              </w:rPr>
              <w:t>B Δ</w:t>
            </w:r>
          </w:p>
        </w:tc>
        <w:tc>
          <w:tcPr>
            <w:tcW w:type="dxa" w:w="1852"/>
            <w:shd w:fill="EEEEEE"/>
          </w:tcPr>
          <w:p>
            <w:pPr>
              <w:spacing w:after="60" w:before="60" w:line="240" w:lineRule="auto"/>
            </w:pPr>
            <w:r>
              <w:rPr>
                <w:b/>
                <w:sz w:val="18"/>
              </w:rPr>
              <w:t>C Δ range</w:t>
            </w:r>
          </w:p>
        </w:tc>
      </w:tr>
      <w:tr>
        <w:trPr>
          <w:cantSplit/>
        </w:trPr>
        <w:tc>
          <w:tcPr>
            <w:tcW w:type="dxa" w:w="1852"/>
          </w:tcPr>
          <w:p>
            <w:pPr>
              <w:spacing w:after="60" w:before="60" w:line="240" w:lineRule="auto"/>
            </w:pPr>
            <w:r>
              <w:rPr>
                <w:b w:val="0"/>
                <w:sz w:val="18"/>
              </w:rPr>
              <w:t>1</w:t>
            </w:r>
          </w:p>
        </w:tc>
        <w:tc>
          <w:tcPr>
            <w:tcW w:type="dxa" w:w="1852"/>
          </w:tcPr>
          <w:p>
            <w:pPr>
              <w:spacing w:after="60" w:before="60" w:line="240" w:lineRule="auto"/>
            </w:pPr>
            <w:r>
              <w:rPr>
                <w:b w:val="0"/>
                <w:sz w:val="18"/>
              </w:rPr>
              <w:t>69.77</w:t>
            </w:r>
          </w:p>
        </w:tc>
        <w:tc>
          <w:tcPr>
            <w:tcW w:type="dxa" w:w="1852"/>
          </w:tcPr>
          <w:p>
            <w:pPr>
              <w:spacing w:after="60" w:before="60" w:line="240" w:lineRule="auto"/>
            </w:pPr>
            <w:r>
              <w:rPr>
                <w:b w:val="0"/>
                <w:sz w:val="18"/>
              </w:rPr>
              <w:t>-0.19 to 2.13</w:t>
            </w:r>
          </w:p>
        </w:tc>
        <w:tc>
          <w:tcPr>
            <w:tcW w:type="dxa" w:w="1852"/>
          </w:tcPr>
          <w:p>
            <w:pPr>
              <w:spacing w:after="60" w:before="60" w:line="240" w:lineRule="auto"/>
            </w:pPr>
            <w:r>
              <w:rPr>
                <w:b w:val="0"/>
                <w:sz w:val="18"/>
              </w:rPr>
              <w:t>4.46</w:t>
            </w:r>
          </w:p>
        </w:tc>
        <w:tc>
          <w:tcPr>
            <w:tcW w:type="dxa" w:w="1852"/>
          </w:tcPr>
          <w:p>
            <w:pPr>
              <w:spacing w:after="60" w:before="60" w:line="240" w:lineRule="auto"/>
            </w:pPr>
            <w:r>
              <w:rPr>
                <w:b w:val="0"/>
                <w:sz w:val="18"/>
              </w:rPr>
              <w:t>0.00 to 2.13</w:t>
            </w:r>
          </w:p>
        </w:tc>
      </w:tr>
      <w:tr>
        <w:trPr>
          <w:cantSplit/>
        </w:trPr>
        <w:tc>
          <w:tcPr>
            <w:tcW w:type="dxa" w:w="1852"/>
          </w:tcPr>
          <w:p>
            <w:pPr>
              <w:spacing w:after="60" w:before="60" w:line="240" w:lineRule="auto"/>
            </w:pPr>
            <w:r>
              <w:rPr>
                <w:b w:val="0"/>
                <w:sz w:val="18"/>
              </w:rPr>
              <w:t>2</w:t>
            </w:r>
          </w:p>
        </w:tc>
        <w:tc>
          <w:tcPr>
            <w:tcW w:type="dxa" w:w="1852"/>
          </w:tcPr>
          <w:p>
            <w:pPr>
              <w:spacing w:after="60" w:before="60" w:line="240" w:lineRule="auto"/>
            </w:pPr>
            <w:r>
              <w:rPr>
                <w:b w:val="0"/>
                <w:sz w:val="18"/>
              </w:rPr>
              <w:t>19.42</w:t>
            </w:r>
          </w:p>
        </w:tc>
        <w:tc>
          <w:tcPr>
            <w:tcW w:type="dxa" w:w="1852"/>
          </w:tcPr>
          <w:p>
            <w:pPr>
              <w:spacing w:after="60" w:before="60" w:line="240" w:lineRule="auto"/>
            </w:pPr>
            <w:r>
              <w:rPr>
                <w:b w:val="0"/>
                <w:sz w:val="18"/>
              </w:rPr>
              <w:t>7.18 to 36.50</w:t>
            </w:r>
          </w:p>
        </w:tc>
        <w:tc>
          <w:tcPr>
            <w:tcW w:type="dxa" w:w="1852"/>
          </w:tcPr>
          <w:p>
            <w:pPr>
              <w:spacing w:after="60" w:before="60" w:line="240" w:lineRule="auto"/>
            </w:pPr>
            <w:r>
              <w:rPr>
                <w:b w:val="0"/>
                <w:sz w:val="18"/>
              </w:rPr>
              <w:t>0.00</w:t>
            </w:r>
          </w:p>
        </w:tc>
        <w:tc>
          <w:tcPr>
            <w:tcW w:type="dxa" w:w="1852"/>
          </w:tcPr>
          <w:p>
            <w:pPr>
              <w:spacing w:after="60" w:before="60" w:line="240" w:lineRule="auto"/>
            </w:pPr>
            <w:r>
              <w:rPr>
                <w:b w:val="0"/>
                <w:sz w:val="18"/>
              </w:rPr>
              <w:t>0.00</w:t>
            </w:r>
          </w:p>
        </w:tc>
      </w:tr>
      <w:tr>
        <w:trPr>
          <w:cantSplit/>
        </w:trPr>
        <w:tc>
          <w:tcPr>
            <w:tcW w:type="dxa" w:w="1852"/>
          </w:tcPr>
          <w:p>
            <w:pPr>
              <w:spacing w:after="60" w:before="60" w:line="240" w:lineRule="auto"/>
            </w:pPr>
            <w:r>
              <w:rPr>
                <w:b w:val="0"/>
                <w:sz w:val="18"/>
              </w:rPr>
              <w:t>3</w:t>
            </w:r>
          </w:p>
        </w:tc>
        <w:tc>
          <w:tcPr>
            <w:tcW w:type="dxa" w:w="1852"/>
          </w:tcPr>
          <w:p>
            <w:pPr>
              <w:spacing w:after="60" w:before="60" w:line="240" w:lineRule="auto"/>
            </w:pPr>
            <w:r>
              <w:rPr>
                <w:b w:val="0"/>
                <w:sz w:val="18"/>
              </w:rPr>
              <w:t>46.51</w:t>
            </w:r>
          </w:p>
        </w:tc>
        <w:tc>
          <w:tcPr>
            <w:tcW w:type="dxa" w:w="1852"/>
          </w:tcPr>
          <w:p>
            <w:pPr>
              <w:spacing w:after="60" w:before="60" w:line="240" w:lineRule="auto"/>
            </w:pPr>
            <w:r>
              <w:rPr>
                <w:b w:val="0"/>
                <w:sz w:val="18"/>
              </w:rPr>
              <w:t>-2.13 to 11.63</w:t>
            </w:r>
          </w:p>
        </w:tc>
        <w:tc>
          <w:tcPr>
            <w:tcW w:type="dxa" w:w="1852"/>
          </w:tcPr>
          <w:p>
            <w:pPr>
              <w:spacing w:after="60" w:before="60" w:line="240" w:lineRule="auto"/>
            </w:pPr>
            <w:r>
              <w:rPr>
                <w:b w:val="0"/>
                <w:sz w:val="18"/>
              </w:rPr>
              <w:t>0.00</w:t>
            </w:r>
          </w:p>
        </w:tc>
        <w:tc>
          <w:tcPr>
            <w:tcW w:type="dxa" w:w="1852"/>
          </w:tcPr>
          <w:p>
            <w:pPr>
              <w:spacing w:after="60" w:before="60" w:line="240" w:lineRule="auto"/>
            </w:pPr>
            <w:r>
              <w:rPr>
                <w:b w:val="0"/>
                <w:sz w:val="18"/>
              </w:rPr>
              <w:t>0.00</w:t>
            </w:r>
          </w:p>
        </w:tc>
      </w:tr>
      <w:tr>
        <w:trPr>
          <w:cantSplit/>
        </w:trPr>
        <w:tc>
          <w:tcPr>
            <w:tcW w:type="dxa" w:w="1852"/>
          </w:tcPr>
          <w:p>
            <w:pPr>
              <w:spacing w:after="60" w:before="60" w:line="240" w:lineRule="auto"/>
            </w:pPr>
            <w:r>
              <w:rPr>
                <w:b w:val="0"/>
                <w:sz w:val="18"/>
              </w:rPr>
              <w:t>4</w:t>
            </w:r>
          </w:p>
        </w:tc>
        <w:tc>
          <w:tcPr>
            <w:tcW w:type="dxa" w:w="1852"/>
          </w:tcPr>
          <w:p>
            <w:pPr>
              <w:spacing w:after="60" w:before="60" w:line="240" w:lineRule="auto"/>
            </w:pPr>
            <w:r>
              <w:rPr>
                <w:b w:val="0"/>
                <w:sz w:val="18"/>
              </w:rPr>
              <w:t>34.88</w:t>
            </w:r>
          </w:p>
        </w:tc>
        <w:tc>
          <w:tcPr>
            <w:tcW w:type="dxa" w:w="1852"/>
          </w:tcPr>
          <w:p>
            <w:pPr>
              <w:spacing w:after="60" w:before="60" w:line="240" w:lineRule="auto"/>
            </w:pPr>
            <w:r>
              <w:rPr>
                <w:b w:val="0"/>
                <w:sz w:val="18"/>
              </w:rPr>
              <w:t>0.19 to 6.78</w:t>
            </w:r>
          </w:p>
        </w:tc>
        <w:tc>
          <w:tcPr>
            <w:tcW w:type="dxa" w:w="1852"/>
          </w:tcPr>
          <w:p>
            <w:pPr>
              <w:spacing w:after="60" w:before="60" w:line="240" w:lineRule="auto"/>
            </w:pPr>
            <w:r>
              <w:rPr>
                <w:b w:val="0"/>
                <w:sz w:val="18"/>
              </w:rPr>
              <w:t>1.16</w:t>
            </w:r>
          </w:p>
        </w:tc>
        <w:tc>
          <w:tcPr>
            <w:tcW w:type="dxa" w:w="1852"/>
          </w:tcPr>
          <w:p>
            <w:pPr>
              <w:spacing w:after="60" w:before="60" w:line="240" w:lineRule="auto"/>
            </w:pPr>
            <w:r>
              <w:rPr>
                <w:b w:val="0"/>
                <w:sz w:val="18"/>
              </w:rPr>
              <w:t>0.00 to 1.16</w:t>
            </w:r>
          </w:p>
        </w:tc>
      </w:tr>
    </w:tbl>
    <w:p>
      <w:pPr>
        <w:jc w:val="both"/>
      </w:pPr>
      <w:r>
        <w:t>At this cost, pooled C loss equals the no-alarm loss at the 1% budget and is higher at the remaining budgets. Historical optimization is compatible with this outcome: reference labels determine the optimum, whereas later false alarms and detected hazards determine transferred value. At the 5%, 10% and 20% budgets, pooled C produces 24, 27 and 32 false alarms for 1, 1 and 2 detections, respectively; each exceeds the corresponding rTP benefit at r=10. Phase-specific results show where these contributions arise rather than attributing the pooled result to every stage.</w:t>
      </w:r>
    </w:p>
    <w:p>
      <w:pPr>
        <w:jc w:val="both"/>
      </w:pPr>
      <w:r>
        <w:t>This comparison separates relative advantage over another warning rule from value over no alarms. A capacity constraint can reduce inspection demand and improve loss relative to A while still producing positive ΔLnone,100. The complete decision-value files retain all costs, models, workflows and the descriptive holdout; r=10 is the common display scale used throughout the report.</w:t>
      </w:r>
    </w:p>
    <w:p>
      <w:pPr>
        <w:pStyle w:val="Heading1"/>
        <w:pageBreakBefore/>
      </w:pPr>
      <w:r>
        <w:t>4 Budget thresholds and future capacity</w:t>
      </w:r>
    </w:p>
    <w:p>
      <w:pPr>
        <w:pStyle w:val="Caption"/>
      </w:pPr>
      <w:r>
        <w:t>Table 5. Fixed XGBoost budget rule A across all phases and budgets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157"/>
        <w:gridCol w:w="1157"/>
        <w:gridCol w:w="1157"/>
        <w:gridCol w:w="1157"/>
        <w:gridCol w:w="1157"/>
        <w:gridCol w:w="1157"/>
        <w:gridCol w:w="1157"/>
        <w:gridCol w:w="1157"/>
      </w:tblGrid>
      <w:tr>
        <w:trPr>
          <w:tblHeader/>
          <w:cantSplit/>
        </w:trPr>
        <w:tc>
          <w:tcPr>
            <w:tcW w:type="dxa" w:w="1157"/>
            <w:shd w:fill="EEEEEE"/>
          </w:tcPr>
          <w:p>
            <w:pPr>
              <w:spacing w:after="60" w:before="60" w:line="240" w:lineRule="auto"/>
            </w:pPr>
            <w:r>
              <w:rPr>
                <w:b/>
                <w:sz w:val="18"/>
              </w:rPr>
              <w:t>Phase</w:t>
            </w:r>
          </w:p>
        </w:tc>
        <w:tc>
          <w:tcPr>
            <w:tcW w:type="dxa" w:w="1157"/>
            <w:shd w:fill="EEEEEE"/>
          </w:tcPr>
          <w:p>
            <w:pPr>
              <w:spacing w:after="60" w:before="60" w:line="240" w:lineRule="auto"/>
            </w:pPr>
            <w:r>
              <w:rPr>
                <w:b/>
                <w:sz w:val="18"/>
              </w:rPr>
              <w:t>Budget</w:t>
            </w:r>
          </w:p>
        </w:tc>
        <w:tc>
          <w:tcPr>
            <w:tcW w:type="dxa" w:w="1157"/>
            <w:shd w:fill="EEEEEE"/>
          </w:tcPr>
          <w:p>
            <w:pPr>
              <w:spacing w:after="60" w:before="60" w:line="240" w:lineRule="auto"/>
            </w:pPr>
            <w:r>
              <w:rPr>
                <w:b/>
                <w:sz w:val="18"/>
              </w:rPr>
              <w:t>Ref alerts</w:t>
            </w:r>
          </w:p>
        </w:tc>
        <w:tc>
          <w:tcPr>
            <w:tcW w:type="dxa" w:w="1157"/>
            <w:shd w:fill="EEEEEE"/>
          </w:tcPr>
          <w:p>
            <w:pPr>
              <w:spacing w:after="60" w:before="60" w:line="240" w:lineRule="auto"/>
            </w:pPr>
            <w:r>
              <w:rPr>
                <w:b/>
                <w:sz w:val="18"/>
              </w:rPr>
              <w:t>Test alerts</w:t>
            </w:r>
          </w:p>
        </w:tc>
        <w:tc>
          <w:tcPr>
            <w:tcW w:type="dxa" w:w="1157"/>
            <w:shd w:fill="EEEEEE"/>
          </w:tcPr>
          <w:p>
            <w:pPr>
              <w:spacing w:after="60" w:before="60" w:line="240" w:lineRule="auto"/>
            </w:pPr>
            <w:r>
              <w:rPr>
                <w:b/>
                <w:sz w:val="18"/>
              </w:rPr>
              <w:t>TP</w:t>
            </w:r>
          </w:p>
        </w:tc>
        <w:tc>
          <w:tcPr>
            <w:tcW w:type="dxa" w:w="1157"/>
            <w:shd w:fill="EEEEEE"/>
          </w:tcPr>
          <w:p>
            <w:pPr>
              <w:spacing w:after="60" w:before="60" w:line="240" w:lineRule="auto"/>
            </w:pPr>
            <w:r>
              <w:rPr>
                <w:b/>
                <w:sz w:val="18"/>
              </w:rPr>
              <w:t>FN</w:t>
            </w:r>
          </w:p>
        </w:tc>
        <w:tc>
          <w:tcPr>
            <w:tcW w:type="dxa" w:w="1157"/>
            <w:shd w:fill="EEEEEE"/>
          </w:tcPr>
          <w:p>
            <w:pPr>
              <w:spacing w:after="60" w:before="60" w:line="240" w:lineRule="auto"/>
            </w:pPr>
            <w:r>
              <w:rPr>
                <w:b/>
                <w:sz w:val="18"/>
              </w:rPr>
              <w:t>Excess</w:t>
            </w:r>
          </w:p>
        </w:tc>
        <w:tc>
          <w:tcPr>
            <w:tcW w:type="dxa" w:w="1157"/>
            <w:shd w:fill="EEEEEE"/>
          </w:tcPr>
          <w:p>
            <w:pPr>
              <w:spacing w:after="60" w:before="60" w:line="240" w:lineRule="auto"/>
            </w:pPr>
            <w:r>
              <w:rPr>
                <w:b/>
                <w:sz w:val="18"/>
              </w:rPr>
              <w:t>L100 r=10</w:t>
            </w:r>
          </w:p>
        </w:tc>
      </w:tr>
      <w:tr>
        <w:trPr>
          <w:cantSplit/>
        </w:trPr>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8</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36</w:t>
            </w:r>
          </w:p>
        </w:tc>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71.32</w:t>
            </w:r>
          </w:p>
        </w:tc>
      </w:tr>
      <w:tr>
        <w:trPr>
          <w:cantSplit/>
        </w:trPr>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36</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71.71</w:t>
            </w:r>
          </w:p>
        </w:tc>
      </w:tr>
      <w:tr>
        <w:trPr>
          <w:cantSplit/>
        </w:trPr>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11</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36</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71.90</w:t>
            </w:r>
          </w:p>
        </w:tc>
      </w:tr>
      <w:tr>
        <w:trPr>
          <w:cantSplit/>
        </w:trPr>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21</w:t>
            </w:r>
          </w:p>
        </w:tc>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34</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69.57</w:t>
            </w:r>
          </w:p>
        </w:tc>
      </w:tr>
      <w:tr>
        <w:trPr>
          <w:cantSplit/>
        </w:trPr>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37</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32</w:t>
            </w:r>
          </w:p>
        </w:tc>
        <w:tc>
          <w:tcPr>
            <w:tcW w:type="dxa" w:w="1157"/>
          </w:tcPr>
          <w:p>
            <w:pPr>
              <w:spacing w:after="60" w:before="60" w:line="240" w:lineRule="auto"/>
            </w:pPr>
            <w:r>
              <w:rPr>
                <w:b w:val="0"/>
                <w:sz w:val="18"/>
              </w:rPr>
              <w:t>26.60</w:t>
            </w:r>
          </w:p>
        </w:tc>
      </w:tr>
      <w:tr>
        <w:trPr>
          <w:cantSplit/>
        </w:trPr>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67</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42</w:t>
            </w:r>
          </w:p>
        </w:tc>
        <w:tc>
          <w:tcPr>
            <w:tcW w:type="dxa" w:w="1157"/>
          </w:tcPr>
          <w:p>
            <w:pPr>
              <w:spacing w:after="60" w:before="60" w:line="240" w:lineRule="auto"/>
            </w:pPr>
            <w:r>
              <w:rPr>
                <w:b w:val="0"/>
                <w:sz w:val="18"/>
              </w:rPr>
              <w:t>32.43</w:t>
            </w:r>
          </w:p>
        </w:tc>
      </w:tr>
      <w:tr>
        <w:trPr>
          <w:cantSplit/>
        </w:trPr>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113</w:t>
            </w:r>
          </w:p>
        </w:tc>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7</w:t>
            </w:r>
          </w:p>
        </w:tc>
        <w:tc>
          <w:tcPr>
            <w:tcW w:type="dxa" w:w="1157"/>
          </w:tcPr>
          <w:p>
            <w:pPr>
              <w:spacing w:after="60" w:before="60" w:line="240" w:lineRule="auto"/>
            </w:pPr>
            <w:r>
              <w:rPr>
                <w:b w:val="0"/>
                <w:sz w:val="18"/>
              </w:rPr>
              <w:t>62</w:t>
            </w:r>
          </w:p>
        </w:tc>
        <w:tc>
          <w:tcPr>
            <w:tcW w:type="dxa" w:w="1157"/>
          </w:tcPr>
          <w:p>
            <w:pPr>
              <w:spacing w:after="60" w:before="60" w:line="240" w:lineRule="auto"/>
            </w:pPr>
            <w:r>
              <w:rPr>
                <w:b w:val="0"/>
                <w:sz w:val="18"/>
              </w:rPr>
              <w:t>34.95</w:t>
            </w:r>
          </w:p>
        </w:tc>
      </w:tr>
      <w:tr>
        <w:trPr>
          <w:cantSplit/>
        </w:trPr>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41</w:t>
            </w:r>
          </w:p>
        </w:tc>
        <w:tc>
          <w:tcPr>
            <w:tcW w:type="dxa" w:w="1157"/>
          </w:tcPr>
          <w:p>
            <w:pPr>
              <w:spacing w:after="60" w:before="60" w:line="240" w:lineRule="auto"/>
            </w:pPr>
            <w:r>
              <w:rPr>
                <w:b w:val="0"/>
                <w:sz w:val="18"/>
              </w:rPr>
              <w:t>254</w:t>
            </w:r>
          </w:p>
        </w:tc>
        <w:tc>
          <w:tcPr>
            <w:tcW w:type="dxa" w:w="1157"/>
          </w:tcPr>
          <w:p>
            <w:pPr>
              <w:spacing w:after="60" w:before="60" w:line="240" w:lineRule="auto"/>
            </w:pPr>
            <w:r>
              <w:rPr>
                <w:b w:val="0"/>
                <w:sz w:val="18"/>
              </w:rPr>
              <w:t>6</w:t>
            </w:r>
          </w:p>
        </w:tc>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151</w:t>
            </w:r>
          </w:p>
        </w:tc>
        <w:tc>
          <w:tcPr>
            <w:tcW w:type="dxa" w:w="1157"/>
          </w:tcPr>
          <w:p>
            <w:pPr>
              <w:spacing w:after="60" w:before="60" w:line="240" w:lineRule="auto"/>
            </w:pPr>
            <w:r>
              <w:rPr>
                <w:b w:val="0"/>
                <w:sz w:val="18"/>
              </w:rPr>
              <w:t>55.92</w:t>
            </w:r>
          </w:p>
        </w:tc>
      </w:tr>
      <w:tr>
        <w:trPr>
          <w:cantSplit/>
        </w:trPr>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8</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24</w:t>
            </w:r>
          </w:p>
        </w:tc>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48.06</w:t>
            </w:r>
          </w:p>
        </w:tc>
      </w:tr>
      <w:tr>
        <w:trPr>
          <w:cantSplit/>
        </w:trPr>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15</w:t>
            </w:r>
          </w:p>
        </w:tc>
        <w:tc>
          <w:tcPr>
            <w:tcW w:type="dxa" w:w="1157"/>
          </w:tcPr>
          <w:p>
            <w:pPr>
              <w:spacing w:after="60" w:before="60" w:line="240" w:lineRule="auto"/>
            </w:pPr>
            <w:r>
              <w:rPr>
                <w:b w:val="0"/>
                <w:sz w:val="18"/>
              </w:rPr>
              <w:t>55</w:t>
            </w:r>
          </w:p>
        </w:tc>
        <w:tc>
          <w:tcPr>
            <w:tcW w:type="dxa" w:w="1157"/>
          </w:tcPr>
          <w:p>
            <w:pPr>
              <w:spacing w:after="60" w:before="60" w:line="240" w:lineRule="auto"/>
            </w:pPr>
            <w:r>
              <w:rPr>
                <w:b w:val="0"/>
                <w:sz w:val="18"/>
              </w:rPr>
              <w:t>6</w:t>
            </w:r>
          </w:p>
        </w:tc>
        <w:tc>
          <w:tcPr>
            <w:tcW w:type="dxa" w:w="1157"/>
          </w:tcPr>
          <w:p>
            <w:pPr>
              <w:spacing w:after="60" w:before="60" w:line="240" w:lineRule="auto"/>
            </w:pPr>
            <w:r>
              <w:rPr>
                <w:b w:val="0"/>
                <w:sz w:val="18"/>
              </w:rPr>
              <w:t>18</w:t>
            </w:r>
          </w:p>
        </w:tc>
        <w:tc>
          <w:tcPr>
            <w:tcW w:type="dxa" w:w="1157"/>
          </w:tcPr>
          <w:p>
            <w:pPr>
              <w:spacing w:after="60" w:before="60" w:line="240" w:lineRule="auto"/>
            </w:pPr>
            <w:r>
              <w:rPr>
                <w:b w:val="0"/>
                <w:sz w:val="18"/>
              </w:rPr>
              <w:t>30</w:t>
            </w:r>
          </w:p>
        </w:tc>
        <w:tc>
          <w:tcPr>
            <w:tcW w:type="dxa" w:w="1157"/>
          </w:tcPr>
          <w:p>
            <w:pPr>
              <w:spacing w:after="60" w:before="60" w:line="240" w:lineRule="auto"/>
            </w:pPr>
            <w:r>
              <w:rPr>
                <w:b w:val="0"/>
                <w:sz w:val="18"/>
              </w:rPr>
              <w:t>44.38</w:t>
            </w:r>
          </w:p>
        </w:tc>
      </w:tr>
      <w:tr>
        <w:trPr>
          <w:cantSplit/>
        </w:trPr>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31</w:t>
            </w:r>
          </w:p>
        </w:tc>
        <w:tc>
          <w:tcPr>
            <w:tcW w:type="dxa" w:w="1157"/>
          </w:tcPr>
          <w:p>
            <w:pPr>
              <w:spacing w:after="60" w:before="60" w:line="240" w:lineRule="auto"/>
            </w:pPr>
            <w:r>
              <w:rPr>
                <w:b w:val="0"/>
                <w:sz w:val="18"/>
              </w:rPr>
              <w:t>71</w:t>
            </w:r>
          </w:p>
        </w:tc>
        <w:tc>
          <w:tcPr>
            <w:tcW w:type="dxa" w:w="1157"/>
          </w:tcPr>
          <w:p>
            <w:pPr>
              <w:spacing w:after="60" w:before="60" w:line="240" w:lineRule="auto"/>
            </w:pPr>
            <w:r>
              <w:rPr>
                <w:b w:val="0"/>
                <w:sz w:val="18"/>
              </w:rPr>
              <w:t>7</w:t>
            </w:r>
          </w:p>
        </w:tc>
        <w:tc>
          <w:tcPr>
            <w:tcW w:type="dxa" w:w="1157"/>
          </w:tcPr>
          <w:p>
            <w:pPr>
              <w:spacing w:after="60" w:before="60" w:line="240" w:lineRule="auto"/>
            </w:pPr>
            <w:r>
              <w:rPr>
                <w:b w:val="0"/>
                <w:sz w:val="18"/>
              </w:rPr>
              <w:t>17</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45.35</w:t>
            </w:r>
          </w:p>
        </w:tc>
      </w:tr>
      <w:tr>
        <w:trPr>
          <w:cantSplit/>
        </w:trPr>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62</w:t>
            </w:r>
          </w:p>
        </w:tc>
        <w:tc>
          <w:tcPr>
            <w:tcW w:type="dxa" w:w="1157"/>
          </w:tcPr>
          <w:p>
            <w:pPr>
              <w:spacing w:after="60" w:before="60" w:line="240" w:lineRule="auto"/>
            </w:pPr>
            <w:r>
              <w:rPr>
                <w:b w:val="0"/>
                <w:sz w:val="18"/>
              </w:rPr>
              <w:t>170</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14</w:t>
            </w:r>
          </w:p>
        </w:tc>
        <w:tc>
          <w:tcPr>
            <w:tcW w:type="dxa" w:w="1157"/>
          </w:tcPr>
          <w:p>
            <w:pPr>
              <w:spacing w:after="60" w:before="60" w:line="240" w:lineRule="auto"/>
            </w:pPr>
            <w:r>
              <w:rPr>
                <w:b w:val="0"/>
                <w:sz w:val="18"/>
              </w:rPr>
              <w:t>67</w:t>
            </w:r>
          </w:p>
        </w:tc>
        <w:tc>
          <w:tcPr>
            <w:tcW w:type="dxa" w:w="1157"/>
          </w:tcPr>
          <w:p>
            <w:pPr>
              <w:spacing w:after="60" w:before="60" w:line="240" w:lineRule="auto"/>
            </w:pPr>
            <w:r>
              <w:rPr>
                <w:b w:val="0"/>
                <w:sz w:val="18"/>
              </w:rPr>
              <w:t>58.14</w:t>
            </w:r>
          </w:p>
        </w:tc>
      </w:tr>
      <w:tr>
        <w:trPr>
          <w:cantSplit/>
        </w:trPr>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6</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18</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36.05</w:t>
            </w:r>
          </w:p>
        </w:tc>
      </w:tr>
      <w:tr>
        <w:trPr>
          <w:cantSplit/>
        </w:trPr>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34</w:t>
            </w:r>
          </w:p>
        </w:tc>
        <w:tc>
          <w:tcPr>
            <w:tcW w:type="dxa" w:w="1157"/>
          </w:tcPr>
          <w:p>
            <w:pPr>
              <w:spacing w:after="60" w:before="60" w:line="240" w:lineRule="auto"/>
            </w:pPr>
            <w:r>
              <w:rPr>
                <w:b w:val="0"/>
                <w:sz w:val="18"/>
              </w:rPr>
              <w:t>3</w:t>
            </w:r>
          </w:p>
        </w:tc>
        <w:tc>
          <w:tcPr>
            <w:tcW w:type="dxa" w:w="1157"/>
          </w:tcPr>
          <w:p>
            <w:pPr>
              <w:spacing w:after="60" w:before="60" w:line="240" w:lineRule="auto"/>
            </w:pPr>
            <w:r>
              <w:rPr>
                <w:b w:val="0"/>
                <w:sz w:val="18"/>
              </w:rPr>
              <w:t>15</w:t>
            </w:r>
          </w:p>
        </w:tc>
        <w:tc>
          <w:tcPr>
            <w:tcW w:type="dxa" w:w="1157"/>
          </w:tcPr>
          <w:p>
            <w:pPr>
              <w:spacing w:after="60" w:before="60" w:line="240" w:lineRule="auto"/>
            </w:pPr>
            <w:r>
              <w:rPr>
                <w:b w:val="0"/>
                <w:sz w:val="18"/>
              </w:rPr>
              <w:t>9</w:t>
            </w:r>
          </w:p>
        </w:tc>
        <w:tc>
          <w:tcPr>
            <w:tcW w:type="dxa" w:w="1157"/>
          </w:tcPr>
          <w:p>
            <w:pPr>
              <w:spacing w:after="60" w:before="60" w:line="240" w:lineRule="auto"/>
            </w:pPr>
            <w:r>
              <w:rPr>
                <w:b w:val="0"/>
                <w:sz w:val="18"/>
              </w:rPr>
              <w:t>35.08</w:t>
            </w:r>
          </w:p>
        </w:tc>
      </w:tr>
      <w:tr>
        <w:trPr>
          <w:cantSplit/>
        </w:trPr>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41</w:t>
            </w:r>
          </w:p>
        </w:tc>
        <w:tc>
          <w:tcPr>
            <w:tcW w:type="dxa" w:w="1157"/>
          </w:tcPr>
          <w:p>
            <w:pPr>
              <w:spacing w:after="60" w:before="60" w:line="240" w:lineRule="auto"/>
            </w:pPr>
            <w:r>
              <w:rPr>
                <w:b w:val="0"/>
                <w:sz w:val="18"/>
              </w:rPr>
              <w:t>53</w:t>
            </w:r>
          </w:p>
        </w:tc>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14</w:t>
            </w:r>
          </w:p>
        </w:tc>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36.63</w:t>
            </w:r>
          </w:p>
        </w:tc>
      </w:tr>
      <w:tr>
        <w:trPr>
          <w:cantSplit/>
        </w:trPr>
        <w:tc>
          <w:tcPr>
            <w:tcW w:type="dxa" w:w="1157"/>
          </w:tcPr>
          <w:p>
            <w:pPr>
              <w:spacing w:after="60" w:before="60" w:line="240" w:lineRule="auto"/>
            </w:pPr>
            <w:r>
              <w:rPr>
                <w:b w:val="0"/>
                <w:sz w:val="18"/>
              </w:rPr>
              <w:t>4</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82</w:t>
            </w:r>
          </w:p>
        </w:tc>
        <w:tc>
          <w:tcPr>
            <w:tcW w:type="dxa" w:w="1157"/>
          </w:tcPr>
          <w:p>
            <w:pPr>
              <w:spacing w:after="60" w:before="60" w:line="240" w:lineRule="auto"/>
            </w:pPr>
            <w:r>
              <w:rPr>
                <w:b w:val="0"/>
                <w:sz w:val="18"/>
              </w:rPr>
              <w:t>112</w:t>
            </w:r>
          </w:p>
        </w:tc>
        <w:tc>
          <w:tcPr>
            <w:tcW w:type="dxa" w:w="1157"/>
          </w:tcPr>
          <w:p>
            <w:pPr>
              <w:spacing w:after="60" w:before="60" w:line="240" w:lineRule="auto"/>
            </w:pPr>
            <w:r>
              <w:rPr>
                <w:b w:val="0"/>
                <w:sz w:val="18"/>
              </w:rPr>
              <w:t>7</w:t>
            </w:r>
          </w:p>
        </w:tc>
        <w:tc>
          <w:tcPr>
            <w:tcW w:type="dxa" w:w="1157"/>
          </w:tcPr>
          <w:p>
            <w:pPr>
              <w:spacing w:after="60" w:before="60" w:line="240" w:lineRule="auto"/>
            </w:pPr>
            <w:r>
              <w:rPr>
                <w:b w:val="0"/>
                <w:sz w:val="18"/>
              </w:rPr>
              <w:t>11</w:t>
            </w:r>
          </w:p>
        </w:tc>
        <w:tc>
          <w:tcPr>
            <w:tcW w:type="dxa" w:w="1157"/>
          </w:tcPr>
          <w:p>
            <w:pPr>
              <w:spacing w:after="60" w:before="60" w:line="240" w:lineRule="auto"/>
            </w:pPr>
            <w:r>
              <w:rPr>
                <w:b w:val="0"/>
                <w:sz w:val="18"/>
              </w:rPr>
              <w:t>9</w:t>
            </w:r>
          </w:p>
        </w:tc>
        <w:tc>
          <w:tcPr>
            <w:tcW w:type="dxa" w:w="1157"/>
          </w:tcPr>
          <w:p>
            <w:pPr>
              <w:spacing w:after="60" w:before="60" w:line="240" w:lineRule="auto"/>
            </w:pPr>
            <w:r>
              <w:rPr>
                <w:b w:val="0"/>
                <w:sz w:val="18"/>
              </w:rPr>
              <w:t>41.67</w:t>
            </w:r>
          </w:p>
        </w:tc>
      </w:tr>
    </w:tbl>
    <w:p>
      <w:pPr>
        <w:jc w:val="both"/>
      </w:pPr>
      <w:r>
        <w:t>The loss column uses r=10 as a common display scale; A itself never uses the cost ratio or labels to choose a cutoff. Each phase contains 515 or 516 test shifts. All 16 reference choices satisfied their own historical capacity limits.</w:t>
      </w:r>
    </w:p>
    <w:p>
      <w:pPr>
        <w:jc w:val="both"/>
      </w:pPr>
      <w:r>
        <w:t>Future capacity was exceeded in 13 of the 16 combinations. In phase 2, the 20% historical budget transferred to 254 alerts among 515 shifts, with 151 alerts beyond the 103 available slots. In phase 1, that same budget produced 21 alerts among 516 shifts, below the 103-slot limit. A budget therefore constrains historical selection rather than subsequent workload. Tied-score exclusions and changes in the score distribution can both separate the intended budget from its realized rate.</w:t>
      </w:r>
    </w:p>
    <w:p>
      <w:pPr>
        <w:jc w:val="both"/>
      </w:pPr>
      <w:r>
        <w:t>The workload difference accompanies a detection tradeoff. Phase 2 at the 20% budget detected 6 of 10 hazardous shifts and produced 248 false alarms; phase 1 detected 2 of 36 hazardous shifts with 19 false alarms. Reading these counts together shows how the same historical budget can yield both underused inspection capacity and substantial capacity excess in later stages.</w:t>
      </w:r>
    </w:p>
    <w:p>
      <w:pPr>
        <w:jc w:val="both"/>
      </w:pPr>
      <w:r>
        <w:t>The electronic evaluation table reports recall, precision and alert rate for every cost and workflow. Batch Top-k supplies a complementary reference: it enforces capacity using the observed test-batch scores, while the frozen threshold carries forward a historical selection. Their workload difference therefore reflects the information available when each rule is applied.</w:t>
      </w:r>
    </w:p>
    <w:p>
      <w:pPr>
        <w:pStyle w:val="Heading1"/>
        <w:pageBreakBefore/>
      </w:pPr>
      <w:r>
        <w:t>5 Cost and capacity change the selected decision</w:t>
      </w:r>
    </w:p>
    <w:p>
      <w:pPr>
        <w:jc w:val="center"/>
      </w:pPr>
      <w:r>
        <w:drawing>
          <wp:inline xmlns:a="http://schemas.openxmlformats.org/drawingml/2006/main" xmlns:pic="http://schemas.openxmlformats.org/drawingml/2006/picture">
            <wp:extent cx="5394960" cy="3520440"/>
            <wp:docPr id="1" name="Picture 1"/>
            <wp:cNvGraphicFramePr>
              <a:graphicFrameLocks noChangeAspect="1"/>
            </wp:cNvGraphicFramePr>
            <a:graphic>
              <a:graphicData uri="http://schemas.openxmlformats.org/drawingml/2006/picture">
                <pic:pic>
                  <pic:nvPicPr>
                    <pic:cNvPr id="0" name="loss_contrasts.png"/>
                    <pic:cNvPicPr/>
                  </pic:nvPicPr>
                  <pic:blipFill>
                    <a:blip r:embed="rId10"/>
                    <a:stretch>
                      <a:fillRect/>
                    </a:stretch>
                  </pic:blipFill>
                  <pic:spPr>
                    <a:xfrm>
                      <a:off x="0" y="0"/>
                      <a:ext cx="5394960" cy="3520440"/>
                    </a:xfrm>
                    <a:prstGeom prst="rect"/>
                  </pic:spPr>
                </pic:pic>
              </a:graphicData>
            </a:graphic>
          </wp:inline>
        </w:drawing>
      </w:r>
    </w:p>
    <w:p>
      <w:pPr>
        <w:pStyle w:val="Caption"/>
      </w:pPr>
      <w:r>
        <w:t>Figure 1. Fixed XGBoost loss contrasts for every phase, cost and capacity budget. Negative values favor C on the stated relative loss. Panels use separate color scales; cell values are rounded to one decimal.</w:t>
      </w:r>
    </w:p>
    <w:p>
      <w:pPr>
        <w:jc w:val="both"/>
      </w:pPr>
      <w:r>
        <w:t>Across the 64 phase–budget–cost combinations, C−A ranged from -42.33 to 65.89 relative loss units per 100 shifts and C−B from -19.19 to 261.24. Strategy preference depends on the record stage and assumed missed-event cost: the same capacity-constrained rule can reduce loss in one setting and increase it in another.</w:t>
      </w:r>
    </w:p>
    <w:p>
      <w:pPr>
        <w:jc w:val="both"/>
      </w:pPr>
      <w:r>
        <w:t>In phase 2, both B and C selected no alarms for every cost, so C−B is zero. The same decision can lower loss relative to A when r is modest and increase it when missed events carry a higher assumed cost. In phase 1, C reduces inspection work compared with the large alert set chosen by B at higher costs, while accepting more missed hazardous shifts. The positive C−B difference is the observed loss tradeoff after transferring the capacity-constrained rule, not a guaranteed penalty of capacity constraints.</w:t>
      </w:r>
    </w:p>
    <w:p>
      <w:pPr>
        <w:jc w:val="both"/>
      </w:pPr>
      <w:r>
        <w:t>At r=10 and the 20% reference budget, pooled C−A reduced excess by 227 alerts but also reduced detections from 25 to 2, increasing misses from 63 to 86. Relative loss fell by 13.09 per 100 shifts. This is a workload–detection tradeoff; Table A1 presents each phase and budget, and Section 3 gives the separate no-alarm comparison.</w:t>
      </w:r>
    </w:p>
    <w:p>
      <w:pPr>
        <w:jc w:val="both"/>
      </w:pPr>
      <w:r>
        <w:t>On the reference area, C has loss at least as large as B because its feasible candidate set is a subset; every saved selection satisfies this ordering. After transfer, the ordering can reverse. Historical optimization and subsequent evaluation thus answer distinct questions: the first identifies the best feasible reference decision, and the second measures how that decision performs on later records.</w:t>
      </w:r>
    </w:p>
    <w:p>
      <w:pPr>
        <w:pStyle w:val="Heading1"/>
        <w:pageBreakBefore/>
      </w:pPr>
      <w:r>
        <w:t>6 Workload and historical no-alarm selection</w:t>
      </w:r>
    </w:p>
    <w:p>
      <w:pPr>
        <w:jc w:val="center"/>
      </w:pPr>
      <w:r>
        <w:drawing>
          <wp:inline xmlns:a="http://schemas.openxmlformats.org/drawingml/2006/main" xmlns:pic="http://schemas.openxmlformats.org/drawingml/2006/picture">
            <wp:extent cx="5394960" cy="3520440"/>
            <wp:docPr id="2" name="Picture 2"/>
            <wp:cNvGraphicFramePr>
              <a:graphicFrameLocks noChangeAspect="1"/>
            </wp:cNvGraphicFramePr>
            <a:graphic>
              <a:graphicData uri="http://schemas.openxmlformats.org/drawingml/2006/picture">
                <pic:pic>
                  <pic:nvPicPr>
                    <pic:cNvPr id="0" name="workload.png"/>
                    <pic:cNvPicPr/>
                  </pic:nvPicPr>
                  <pic:blipFill>
                    <a:blip r:embed="rId11"/>
                    <a:stretch>
                      <a:fillRect/>
                    </a:stretch>
                  </pic:blipFill>
                  <pic:spPr>
                    <a:xfrm>
                      <a:off x="0" y="0"/>
                      <a:ext cx="5394960" cy="3520440"/>
                    </a:xfrm>
                    <a:prstGeom prst="rect"/>
                  </pic:spPr>
                </pic:pic>
              </a:graphicData>
            </a:graphic>
          </wp:inline>
        </w:drawing>
      </w:r>
    </w:p>
    <w:p>
      <w:pPr>
        <w:pStyle w:val="Caption"/>
      </w:pPr>
      <w:r>
        <w:t>Figure 2. Workload and capacity excess for the same fixed XGBoost C policies shown in Figure 1. Zero alerts and zero excess are distinct outcomes. Counts refer to whole test blocks, not rates.</w:t>
      </w:r>
    </w:p>
    <w:p>
      <w:pPr>
        <w:jc w:val="both"/>
      </w:pPr>
      <w:r>
        <w:t>C produced no alarms in 40 of 64 settings, all following a historical no-alarm selection. Its 2 excess-capacity settings and A’s 13 use different denominators; these are grid summaries, not directly comparable independent violation rates. The matched C−A table in the appendix pairs capacity excess with detection and loss.</w:t>
      </w:r>
    </w:p>
    <w:p>
      <w:pPr>
        <w:pStyle w:val="Caption"/>
      </w:pPr>
      <w:r>
        <w:t>Table 6. Historical reasons for all 40 fixed XGBoost C no-alarm settings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543"/>
        <w:gridCol w:w="1543"/>
        <w:gridCol w:w="1543"/>
        <w:gridCol w:w="1543"/>
        <w:gridCol w:w="1543"/>
        <w:gridCol w:w="1543"/>
      </w:tblGrid>
      <w:tr>
        <w:trPr>
          <w:tblHeader/>
          <w:cantSplit/>
        </w:trPr>
        <w:tc>
          <w:tcPr>
            <w:tcW w:type="dxa" w:w="1543"/>
            <w:shd w:fill="EEEEEE"/>
          </w:tcPr>
          <w:p>
            <w:pPr>
              <w:spacing w:after="60" w:before="60" w:line="240" w:lineRule="auto"/>
            </w:pPr>
            <w:r>
              <w:rPr>
                <w:b/>
                <w:sz w:val="18"/>
              </w:rPr>
              <w:t>Phase</w:t>
            </w:r>
          </w:p>
        </w:tc>
        <w:tc>
          <w:tcPr>
            <w:tcW w:type="dxa" w:w="1543"/>
            <w:shd w:fill="EEEEEE"/>
          </w:tcPr>
          <w:p>
            <w:pPr>
              <w:spacing w:after="60" w:before="60" w:line="240" w:lineRule="auto"/>
            </w:pPr>
            <w:r>
              <w:rPr>
                <w:b/>
                <w:sz w:val="18"/>
              </w:rPr>
              <w:t>No ref +</w:t>
            </w:r>
          </w:p>
        </w:tc>
        <w:tc>
          <w:tcPr>
            <w:tcW w:type="dxa" w:w="1543"/>
            <w:shd w:fill="EEEEEE"/>
          </w:tcPr>
          <w:p>
            <w:pPr>
              <w:spacing w:after="60" w:before="60" w:line="240" w:lineRule="auto"/>
            </w:pPr>
            <w:r>
              <w:rPr>
                <w:b/>
                <w:sz w:val="18"/>
              </w:rPr>
              <w:t>Cost optimum</w:t>
            </w:r>
          </w:p>
        </w:tc>
        <w:tc>
          <w:tcPr>
            <w:tcW w:type="dxa" w:w="1543"/>
            <w:shd w:fill="EEEEEE"/>
          </w:tcPr>
          <w:p>
            <w:pPr>
              <w:spacing w:after="60" w:before="60" w:line="240" w:lineRule="auto"/>
            </w:pPr>
            <w:r>
              <w:rPr>
                <w:b/>
                <w:sz w:val="18"/>
              </w:rPr>
              <w:t>Capacity change</w:t>
            </w:r>
          </w:p>
        </w:tc>
        <w:tc>
          <w:tcPr>
            <w:tcW w:type="dxa" w:w="1543"/>
            <w:shd w:fill="EEEEEE"/>
          </w:tcPr>
          <w:p>
            <w:pPr>
              <w:spacing w:after="60" w:before="60" w:line="240" w:lineRule="auto"/>
            </w:pPr>
            <w:r>
              <w:rPr>
                <w:b/>
                <w:sz w:val="18"/>
              </w:rPr>
              <w:t>Zero slots</w:t>
            </w:r>
          </w:p>
        </w:tc>
        <w:tc>
          <w:tcPr>
            <w:tcW w:type="dxa" w:w="1543"/>
            <w:shd w:fill="EEEEEE"/>
          </w:tcPr>
          <w:p>
            <w:pPr>
              <w:spacing w:after="60" w:before="60" w:line="240" w:lineRule="auto"/>
            </w:pPr>
            <w:r>
              <w:rPr>
                <w:b/>
                <w:sz w:val="18"/>
              </w:rPr>
              <w:t>Other optimal tie</w:t>
            </w:r>
          </w:p>
        </w:tc>
      </w:tr>
      <w:tr>
        <w:trPr>
          <w:cantSplit/>
        </w:trPr>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r>
      <w:tr>
        <w:trPr>
          <w:cantSplit/>
        </w:trPr>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r>
      <w:tr>
        <w:trPr>
          <w:cantSplit/>
        </w:trPr>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12</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r>
      <w:tr>
        <w:trPr>
          <w:cantSplit/>
        </w:trPr>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r>
    </w:tbl>
    <w:p>
      <w:pPr>
        <w:jc w:val="both"/>
      </w:pPr>
      <w:r>
        <w:t>All reference areas contain hazardous shifts: 28 no-alarm settings are cost optima and 12 are capacity-induced changes; none has zero slots or an optimal tie. In phase 3 at r=50, B selects alarms while C selects none at every budget. Reasons use reference records only.</w:t>
      </w:r>
    </w:p>
    <w:p>
      <w:pPr>
        <w:pStyle w:val="Caption"/>
      </w:pPr>
      <w:r>
        <w:t>Table 7. Reference capacity and standardized selection margin</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3086"/>
        <w:gridCol w:w="3086"/>
        <w:gridCol w:w="3086"/>
      </w:tblGrid>
      <w:tr>
        <w:trPr>
          <w:tblHeader/>
          <w:cantSplit/>
        </w:trPr>
        <w:tc>
          <w:tcPr>
            <w:tcW w:type="dxa" w:w="3086"/>
            <w:shd w:fill="EEEEEE"/>
          </w:tcPr>
          <w:p>
            <w:pPr>
              <w:spacing w:after="60" w:before="60" w:line="240" w:lineRule="auto"/>
            </w:pPr>
            <w:r>
              <w:rPr>
                <w:b/>
                <w:sz w:val="18"/>
              </w:rPr>
              <w:t>Phase</w:t>
            </w:r>
          </w:p>
        </w:tc>
        <w:tc>
          <w:tcPr>
            <w:tcW w:type="dxa" w:w="3086"/>
            <w:shd w:fill="EEEEEE"/>
          </w:tcPr>
          <w:p>
            <w:pPr>
              <w:spacing w:after="60" w:before="60" w:line="240" w:lineRule="auto"/>
            </w:pPr>
            <w:r>
              <w:rPr>
                <w:b/>
                <w:sz w:val="18"/>
              </w:rPr>
              <w:t>Unconstrained cost optimum exceeds reference capacity</w:t>
            </w:r>
          </w:p>
        </w:tc>
        <w:tc>
          <w:tcPr>
            <w:tcW w:type="dxa" w:w="3086"/>
            <w:shd w:fill="EEEEEE"/>
          </w:tcPr>
          <w:p>
            <w:pPr>
              <w:spacing w:after="60" w:before="60" w:line="240" w:lineRule="auto"/>
            </w:pPr>
            <w:r>
              <w:rPr>
                <w:b/>
                <w:sz w:val="18"/>
              </w:rPr>
              <w:t>Next-decision ΔL100 range</w:t>
            </w:r>
          </w:p>
        </w:tc>
      </w:tr>
      <w:tr>
        <w:trPr>
          <w:cantSplit/>
        </w:trPr>
        <w:tc>
          <w:tcPr>
            <w:tcW w:type="dxa" w:w="3086"/>
          </w:tcPr>
          <w:p>
            <w:pPr>
              <w:spacing w:after="60" w:before="60" w:line="240" w:lineRule="auto"/>
            </w:pPr>
            <w:r>
              <w:rPr>
                <w:b w:val="0"/>
                <w:sz w:val="18"/>
              </w:rPr>
              <w:t>1</w:t>
            </w:r>
          </w:p>
        </w:tc>
        <w:tc>
          <w:tcPr>
            <w:tcW w:type="dxa" w:w="3086"/>
          </w:tcPr>
          <w:p>
            <w:pPr>
              <w:spacing w:after="60" w:before="60" w:line="240" w:lineRule="auto"/>
            </w:pPr>
            <w:r>
              <w:rPr>
                <w:b w:val="0"/>
                <w:sz w:val="18"/>
              </w:rPr>
              <w:t>16</w:t>
            </w:r>
          </w:p>
        </w:tc>
        <w:tc>
          <w:tcPr>
            <w:tcW w:type="dxa" w:w="3086"/>
          </w:tcPr>
          <w:p>
            <w:pPr>
              <w:spacing w:after="60" w:before="60" w:line="240" w:lineRule="auto"/>
            </w:pPr>
            <w:r>
              <w:rPr>
                <w:b w:val="0"/>
                <w:sz w:val="18"/>
              </w:rPr>
              <w:t>0.97 to 42.72</w:t>
            </w:r>
          </w:p>
        </w:tc>
      </w:tr>
      <w:tr>
        <w:trPr>
          <w:cantSplit/>
        </w:trPr>
        <w:tc>
          <w:tcPr>
            <w:tcW w:type="dxa" w:w="3086"/>
          </w:tcPr>
          <w:p>
            <w:pPr>
              <w:spacing w:after="60" w:before="60" w:line="240" w:lineRule="auto"/>
            </w:pPr>
            <w:r>
              <w:rPr>
                <w:b w:val="0"/>
                <w:sz w:val="18"/>
              </w:rPr>
              <w:t>2</w:t>
            </w:r>
          </w:p>
        </w:tc>
        <w:tc>
          <w:tcPr>
            <w:tcW w:type="dxa" w:w="3086"/>
          </w:tcPr>
          <w:p>
            <w:pPr>
              <w:spacing w:after="60" w:before="60" w:line="240" w:lineRule="auto"/>
            </w:pPr>
            <w:r>
              <w:rPr>
                <w:b w:val="0"/>
                <w:sz w:val="18"/>
              </w:rPr>
              <w:t>0</w:t>
            </w:r>
          </w:p>
        </w:tc>
        <w:tc>
          <w:tcPr>
            <w:tcW w:type="dxa" w:w="3086"/>
          </w:tcPr>
          <w:p>
            <w:pPr>
              <w:spacing w:after="60" w:before="60" w:line="240" w:lineRule="auto"/>
            </w:pPr>
            <w:r>
              <w:rPr>
                <w:b w:val="0"/>
                <w:sz w:val="18"/>
              </w:rPr>
              <w:t>0.48</w:t>
            </w:r>
          </w:p>
        </w:tc>
      </w:tr>
      <w:tr>
        <w:trPr>
          <w:cantSplit/>
        </w:trPr>
        <w:tc>
          <w:tcPr>
            <w:tcW w:type="dxa" w:w="3086"/>
          </w:tcPr>
          <w:p>
            <w:pPr>
              <w:spacing w:after="60" w:before="60" w:line="240" w:lineRule="auto"/>
            </w:pPr>
            <w:r>
              <w:rPr>
                <w:b w:val="0"/>
                <w:sz w:val="18"/>
              </w:rPr>
              <w:t>3</w:t>
            </w:r>
          </w:p>
        </w:tc>
        <w:tc>
          <w:tcPr>
            <w:tcW w:type="dxa" w:w="3086"/>
          </w:tcPr>
          <w:p>
            <w:pPr>
              <w:spacing w:after="60" w:before="60" w:line="240" w:lineRule="auto"/>
            </w:pPr>
            <w:r>
              <w:rPr>
                <w:b w:val="0"/>
                <w:sz w:val="18"/>
              </w:rPr>
              <w:t>4</w:t>
            </w:r>
          </w:p>
        </w:tc>
        <w:tc>
          <w:tcPr>
            <w:tcW w:type="dxa" w:w="3086"/>
          </w:tcPr>
          <w:p>
            <w:pPr>
              <w:spacing w:after="60" w:before="60" w:line="240" w:lineRule="auto"/>
            </w:pPr>
            <w:r>
              <w:rPr>
                <w:b w:val="0"/>
                <w:sz w:val="18"/>
              </w:rPr>
              <w:t>0.32</w:t>
            </w:r>
          </w:p>
        </w:tc>
      </w:tr>
      <w:tr>
        <w:trPr>
          <w:cantSplit/>
        </w:trPr>
        <w:tc>
          <w:tcPr>
            <w:tcW w:type="dxa" w:w="3086"/>
          </w:tcPr>
          <w:p>
            <w:pPr>
              <w:spacing w:after="60" w:before="60" w:line="240" w:lineRule="auto"/>
            </w:pPr>
            <w:r>
              <w:rPr>
                <w:b w:val="0"/>
                <w:sz w:val="18"/>
              </w:rPr>
              <w:t>4</w:t>
            </w:r>
          </w:p>
        </w:tc>
        <w:tc>
          <w:tcPr>
            <w:tcW w:type="dxa" w:w="3086"/>
          </w:tcPr>
          <w:p>
            <w:pPr>
              <w:spacing w:after="60" w:before="60" w:line="240" w:lineRule="auto"/>
            </w:pPr>
            <w:r>
              <w:rPr>
                <w:b w:val="0"/>
                <w:sz w:val="18"/>
              </w:rPr>
              <w:t>10</w:t>
            </w:r>
          </w:p>
        </w:tc>
        <w:tc>
          <w:tcPr>
            <w:tcW w:type="dxa" w:w="3086"/>
          </w:tcPr>
          <w:p>
            <w:pPr>
              <w:spacing w:after="60" w:before="60" w:line="240" w:lineRule="auto"/>
            </w:pPr>
            <w:r>
              <w:rPr>
                <w:b w:val="0"/>
                <w:sz w:val="18"/>
              </w:rPr>
              <w:t>0.24 to 9.69</w:t>
            </w:r>
          </w:p>
        </w:tc>
      </w:tr>
    </w:tbl>
    <w:p>
      <w:pPr>
        <w:jc w:val="both"/>
      </w:pPr>
      <w:r>
        <w:t>The capacity column counts infeasible B optima; C utilization is stored separately. The margin is 100(Lnext − Lbest)/Nref for a second distinct feasible alarm set, undefined if absent and zero for ties. A small margin indicates weak reference advantage, not threshold instability. The enriched audit retains alerts and slots.</w:t>
      </w:r>
    </w:p>
    <w:p>
      <w:pPr>
        <w:pStyle w:val="Heading1"/>
        <w:pageBreakBefore/>
      </w:pPr>
      <w:r>
        <w:t>7 Transferring the same cutoff to a refitted model</w:t>
      </w:r>
    </w:p>
    <w:p>
      <w:pPr>
        <w:jc w:val="center"/>
      </w:pPr>
      <w:r>
        <w:drawing>
          <wp:inline xmlns:a="http://schemas.openxmlformats.org/drawingml/2006/main" xmlns:pic="http://schemas.openxmlformats.org/drawingml/2006/picture">
            <wp:extent cx="5394960" cy="3520440"/>
            <wp:docPr id="3" name="Picture 3"/>
            <wp:cNvGraphicFramePr>
              <a:graphicFrameLocks noChangeAspect="1"/>
            </wp:cNvGraphicFramePr>
            <a:graphic>
              <a:graphicData uri="http://schemas.openxmlformats.org/drawingml/2006/picture">
                <pic:pic>
                  <pic:nvPicPr>
                    <pic:cNvPr id="0" name="refit_contrasts.png"/>
                    <pic:cNvPicPr/>
                  </pic:nvPicPr>
                  <pic:blipFill>
                    <a:blip r:embed="rId12"/>
                    <a:stretch>
                      <a:fillRect/>
                    </a:stretch>
                  </pic:blipFill>
                  <pic:spPr>
                    <a:xfrm>
                      <a:off x="0" y="0"/>
                      <a:ext cx="5394960" cy="3520440"/>
                    </a:xfrm>
                    <a:prstGeom prst="rect"/>
                  </pic:spPr>
                </pic:pic>
              </a:graphicData>
            </a:graphic>
          </wp:inline>
        </w:drawing>
      </w:r>
    </w:p>
    <w:p>
      <w:pPr>
        <w:pStyle w:val="Caption"/>
      </w:pPr>
      <w:r>
        <w:t>Figure 3. C policy changes after fitting on all outer history, with parameters and numerical thresholds held fixed. Negative loss differences favor refitting; negative alert differences mean fewer inspections. Alert-count changes in the second panel are labelled as integers.</w:t>
      </w:r>
    </w:p>
    <w:p>
      <w:pPr>
        <w:jc w:val="both"/>
      </w:pPr>
      <w:r>
        <w:t>For C, refitted-minus-fixed loss ranged from -11.05 to 7.75 per 100 shifts and alert changes from -11 to 2 per test block. Phase 2 and phase 3 C decisions remained no-alarm under both workflows. Phase 1 and phase 4 show that the same numerical cutoff can produce different workloads and loss after additional model fitting.</w:t>
      </w:r>
    </w:p>
    <w:p>
      <w:pPr>
        <w:pStyle w:val="Caption"/>
      </w:pPr>
      <w:r>
        <w:t>Table 8. XGBoost refitting across all historically finite and extreme rules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543"/>
        <w:gridCol w:w="1543"/>
        <w:gridCol w:w="1543"/>
        <w:gridCol w:w="1543"/>
        <w:gridCol w:w="1543"/>
        <w:gridCol w:w="1543"/>
      </w:tblGrid>
      <w:tr>
        <w:trPr>
          <w:tblHeader/>
          <w:cantSplit/>
        </w:trPr>
        <w:tc>
          <w:tcPr>
            <w:tcW w:type="dxa" w:w="1543"/>
            <w:shd w:fill="EEEEEE"/>
          </w:tcPr>
          <w:p>
            <w:pPr>
              <w:spacing w:after="60" w:before="60" w:line="240" w:lineRule="auto"/>
            </w:pPr>
            <w:r>
              <w:rPr>
                <w:b/>
                <w:sz w:val="18"/>
              </w:rPr>
              <w:t>Rule</w:t>
            </w:r>
          </w:p>
        </w:tc>
        <w:tc>
          <w:tcPr>
            <w:tcW w:type="dxa" w:w="1543"/>
            <w:shd w:fill="EEEEEE"/>
          </w:tcPr>
          <w:p>
            <w:pPr>
              <w:spacing w:after="60" w:before="60" w:line="240" w:lineRule="auto"/>
            </w:pPr>
            <w:r>
              <w:rPr>
                <w:b/>
                <w:sz w:val="18"/>
              </w:rPr>
              <w:t>Finite</w:t>
            </w:r>
          </w:p>
        </w:tc>
        <w:tc>
          <w:tcPr>
            <w:tcW w:type="dxa" w:w="1543"/>
            <w:shd w:fill="EEEEEE"/>
          </w:tcPr>
          <w:p>
            <w:pPr>
              <w:spacing w:after="60" w:before="60" w:line="240" w:lineRule="auto"/>
            </w:pPr>
            <w:r>
              <w:rPr>
                <w:b/>
                <w:sz w:val="18"/>
              </w:rPr>
              <w:t>+∞</w:t>
            </w:r>
          </w:p>
        </w:tc>
        <w:tc>
          <w:tcPr>
            <w:tcW w:type="dxa" w:w="1543"/>
            <w:shd w:fill="EEEEEE"/>
          </w:tcPr>
          <w:p>
            <w:pPr>
              <w:spacing w:after="60" w:before="60" w:line="240" w:lineRule="auto"/>
            </w:pPr>
            <w:r>
              <w:rPr>
                <w:b/>
                <w:sz w:val="18"/>
              </w:rPr>
              <w:t>−∞</w:t>
            </w:r>
          </w:p>
        </w:tc>
        <w:tc>
          <w:tcPr>
            <w:tcW w:type="dxa" w:w="1543"/>
            <w:shd w:fill="EEEEEE"/>
          </w:tcPr>
          <w:p>
            <w:pPr>
              <w:spacing w:after="60" w:before="60" w:line="240" w:lineRule="auto"/>
            </w:pPr>
            <w:r>
              <w:rPr>
                <w:b/>
                <w:sz w:val="18"/>
              </w:rPr>
              <w:t>Finite ΔL100 range</w:t>
            </w:r>
          </w:p>
        </w:tc>
        <w:tc>
          <w:tcPr>
            <w:tcW w:type="dxa" w:w="1543"/>
            <w:shd w:fill="EEEEEE"/>
          </w:tcPr>
          <w:p>
            <w:pPr>
              <w:spacing w:after="60" w:before="60" w:line="240" w:lineRule="auto"/>
            </w:pPr>
            <w:r>
              <w:rPr>
                <w:b/>
                <w:sz w:val="18"/>
              </w:rPr>
              <w:t>Finite Δ alerts</w:t>
            </w:r>
          </w:p>
        </w:tc>
      </w:tr>
      <w:tr>
        <w:trPr>
          <w:cantSplit/>
        </w:trPr>
        <w:tc>
          <w:tcPr>
            <w:tcW w:type="dxa" w:w="1543"/>
          </w:tcPr>
          <w:p>
            <w:pPr>
              <w:spacing w:after="60" w:before="60" w:line="240" w:lineRule="auto"/>
            </w:pPr>
            <w:r>
              <w:rPr>
                <w:b w:val="0"/>
                <w:sz w:val="18"/>
              </w:rPr>
              <w:t>A</w:t>
            </w:r>
          </w:p>
        </w:tc>
        <w:tc>
          <w:tcPr>
            <w:tcW w:type="dxa" w:w="1543"/>
          </w:tcPr>
          <w:p>
            <w:pPr>
              <w:spacing w:after="60" w:before="60" w:line="240" w:lineRule="auto"/>
            </w:pPr>
            <w:r>
              <w:rPr>
                <w:b w:val="0"/>
                <w:sz w:val="18"/>
              </w:rPr>
              <w:t>16</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-18.83 to 18.22</w:t>
            </w:r>
          </w:p>
        </w:tc>
        <w:tc>
          <w:tcPr>
            <w:tcW w:type="dxa" w:w="1543"/>
          </w:tcPr>
          <w:p>
            <w:pPr>
              <w:spacing w:after="60" w:before="60" w:line="240" w:lineRule="auto"/>
            </w:pPr>
            <w:r>
              <w:rPr>
                <w:b w:val="0"/>
                <w:sz w:val="18"/>
              </w:rPr>
              <w:t>-97 to 82</w:t>
            </w:r>
          </w:p>
        </w:tc>
      </w:tr>
      <w:tr>
        <w:trPr>
          <w:cantSplit/>
        </w:trPr>
        <w:tc>
          <w:tcPr>
            <w:tcW w:type="dxa" w:w="1543"/>
          </w:tcPr>
          <w:p>
            <w:pPr>
              <w:spacing w:after="60" w:before="60" w:line="240" w:lineRule="auto"/>
            </w:pPr>
            <w:r>
              <w:rPr>
                <w:b w:val="0"/>
                <w:sz w:val="18"/>
              </w:rPr>
              <w:t>B</w:t>
            </w:r>
          </w:p>
        </w:tc>
        <w:tc>
          <w:tcPr>
            <w:tcW w:type="dxa" w:w="1543"/>
          </w:tcPr>
          <w:p>
            <w:pPr>
              <w:spacing w:after="60" w:before="60" w:line="240" w:lineRule="auto"/>
            </w:pPr>
            <w:r>
              <w:rPr>
                <w:b w:val="0"/>
                <w:sz w:val="18"/>
              </w:rPr>
              <w:t>9</w:t>
            </w:r>
          </w:p>
        </w:tc>
        <w:tc>
          <w:tcPr>
            <w:tcW w:type="dxa" w:w="1543"/>
          </w:tcPr>
          <w:p>
            <w:pPr>
              <w:spacing w:after="60" w:before="60" w:line="240" w:lineRule="auto"/>
            </w:pPr>
            <w:r>
              <w:rPr>
                <w:b w:val="0"/>
                <w:sz w:val="18"/>
              </w:rPr>
              <w:t>7</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-17.64 to 18.80</w:t>
            </w:r>
          </w:p>
        </w:tc>
        <w:tc>
          <w:tcPr>
            <w:tcW w:type="dxa" w:w="1543"/>
          </w:tcPr>
          <w:p>
            <w:pPr>
              <w:spacing w:after="60" w:before="60" w:line="240" w:lineRule="auto"/>
            </w:pPr>
            <w:r>
              <w:rPr>
                <w:b w:val="0"/>
                <w:sz w:val="18"/>
              </w:rPr>
              <w:t>-25 to 119</w:t>
            </w:r>
          </w:p>
        </w:tc>
      </w:tr>
      <w:tr>
        <w:trPr>
          <w:cantSplit/>
        </w:trPr>
        <w:tc>
          <w:tcPr>
            <w:tcW w:type="dxa" w:w="1543"/>
          </w:tcPr>
          <w:p>
            <w:pPr>
              <w:spacing w:after="60" w:before="60" w:line="240" w:lineRule="auto"/>
            </w:pPr>
            <w:r>
              <w:rPr>
                <w:b w:val="0"/>
                <w:sz w:val="18"/>
              </w:rPr>
              <w:t>C</w:t>
            </w:r>
          </w:p>
        </w:tc>
        <w:tc>
          <w:tcPr>
            <w:tcW w:type="dxa" w:w="1543"/>
          </w:tcPr>
          <w:p>
            <w:pPr>
              <w:spacing w:after="60" w:before="60" w:line="240" w:lineRule="auto"/>
            </w:pPr>
            <w:r>
              <w:rPr>
                <w:b w:val="0"/>
                <w:sz w:val="18"/>
              </w:rPr>
              <w:t>24</w:t>
            </w:r>
          </w:p>
        </w:tc>
        <w:tc>
          <w:tcPr>
            <w:tcW w:type="dxa" w:w="1543"/>
          </w:tcPr>
          <w:p>
            <w:pPr>
              <w:spacing w:after="60" w:before="60" w:line="240" w:lineRule="auto"/>
            </w:pPr>
            <w:r>
              <w:rPr>
                <w:b w:val="0"/>
                <w:sz w:val="18"/>
              </w:rPr>
              <w:t>40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-11.05 to 7.75</w:t>
            </w:r>
          </w:p>
        </w:tc>
        <w:tc>
          <w:tcPr>
            <w:tcW w:type="dxa" w:w="1543"/>
          </w:tcPr>
          <w:p>
            <w:pPr>
              <w:spacing w:after="60" w:before="60" w:line="240" w:lineRule="auto"/>
            </w:pPr>
            <w:r>
              <w:rPr>
                <w:b w:val="0"/>
                <w:sz w:val="18"/>
              </w:rPr>
              <w:t>-11 to 2</w:t>
            </w:r>
          </w:p>
        </w:tc>
      </w:tr>
    </w:tbl>
    <w:p>
      <w:pPr>
        <w:jc w:val="both"/>
      </w:pPr>
      <w:r>
        <w:t>Counts are distinct phase–rule settings: A = phase × budget (4 × 4 = 16); B = phase × cost (4 × 4 = 16); C = phase × budget × cost (4 × 4 × 4 = 64). A is reused across costs. Ranges evaluate finite settings at all four costs. Extreme rules stay unchanged by construction, providing no evidence of finite-cutoff robustness. The appendix retains every A/B/C contrast.</w:t>
      </w:r>
    </w:p>
    <w:p>
      <w:pPr>
        <w:jc w:val="both"/>
      </w:pPr>
      <w:r>
        <w:t>Refitting changes the model to which the historical rule is applied. Adding historical records, including the former policy-reference area, can alter both the fitted decision function and its score scale. The comparison measures their combined workflow difference rather than isolating a causal contribution. Since selection and application use raw scores throughout, the results specifically describe numerical-cutoff transfer across fitted models.</w:t>
      </w:r>
    </w:p>
    <w:p>
      <w:pPr>
        <w:jc w:val="both"/>
      </w:pPr>
      <w:r>
        <w:t>Within the observed settings, C exhibited a narrower finite-threshold alert-change range. This describes the tested rule grids. Batch Top-k remains outside the same-cutoff comparison because each complete test-score batch determines its own threshold.</w:t>
      </w:r>
    </w:p>
    <w:p>
      <w:pPr>
        <w:pStyle w:val="Heading1"/>
        <w:pageBreakBefore/>
      </w:pPr>
      <w:r>
        <w:t>8 Paired uncertainty and model robustness</w:t>
      </w:r>
    </w:p>
    <w:p>
      <w:pPr>
        <w:jc w:val="both"/>
      </w:pPr>
      <w:r>
        <w:t>For each prespecified loss contrast, 2,000 paired moving-block samples use block length 32 separately within phases [4], without cross-phase or circular blocks. Both policies use the same sampled rows, and pooled resampling preserves phase sizes. Percentile 95% intervals condition on the fitted models, chosen thresholds and observed cohort, excluding tuning, fitting and policy-selection uncertainty. Identical paired decisions yield degenerate zero intervals.</w:t>
      </w:r>
    </w:p>
    <w:p>
      <w:pPr>
        <w:pStyle w:val="Caption"/>
      </w:pPr>
      <w:r>
        <w:t>Table 9. Phase-specific interval directions across all 16 settings per contrast</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543"/>
        <w:gridCol w:w="1543"/>
        <w:gridCol w:w="1543"/>
        <w:gridCol w:w="1543"/>
        <w:gridCol w:w="1543"/>
        <w:gridCol w:w="1543"/>
      </w:tblGrid>
      <w:tr>
        <w:trPr>
          <w:tblHeader/>
          <w:cantSplit/>
        </w:trPr>
        <w:tc>
          <w:tcPr>
            <w:tcW w:type="dxa" w:w="1543"/>
            <w:shd w:fill="EEEEEE"/>
          </w:tcPr>
          <w:p>
            <w:pPr>
              <w:spacing w:after="60" w:before="60" w:line="240" w:lineRule="auto"/>
            </w:pPr>
            <w:r>
              <w:rPr>
                <w:b/>
                <w:sz w:val="18"/>
              </w:rPr>
              <w:t>Contrast</w:t>
            </w:r>
          </w:p>
        </w:tc>
        <w:tc>
          <w:tcPr>
            <w:tcW w:type="dxa" w:w="1543"/>
            <w:shd w:fill="EEEEEE"/>
          </w:tcPr>
          <w:p>
            <w:pPr>
              <w:spacing w:after="60" w:before="60" w:line="240" w:lineRule="auto"/>
            </w:pPr>
            <w:r>
              <w:rPr>
                <w:b/>
                <w:sz w:val="18"/>
              </w:rPr>
              <w:t>Phase</w:t>
            </w:r>
          </w:p>
        </w:tc>
        <w:tc>
          <w:tcPr>
            <w:tcW w:type="dxa" w:w="1543"/>
            <w:shd w:fill="EEEEEE"/>
          </w:tcPr>
          <w:p>
            <w:pPr>
              <w:spacing w:after="60" w:before="60" w:line="240" w:lineRule="auto"/>
            </w:pPr>
            <w:r>
              <w:rPr>
                <w:b/>
                <w:sz w:val="18"/>
              </w:rPr>
              <w:t>Point range</w:t>
            </w:r>
          </w:p>
        </w:tc>
        <w:tc>
          <w:tcPr>
            <w:tcW w:type="dxa" w:w="1543"/>
            <w:shd w:fill="EEEEEE"/>
          </w:tcPr>
          <w:p>
            <w:pPr>
              <w:spacing w:after="60" w:before="60" w:line="240" w:lineRule="auto"/>
            </w:pPr>
            <w:r>
              <w:rPr>
                <w:b/>
                <w:sz w:val="18"/>
              </w:rPr>
              <w:t>CI below 0</w:t>
            </w:r>
          </w:p>
        </w:tc>
        <w:tc>
          <w:tcPr>
            <w:tcW w:type="dxa" w:w="1543"/>
            <w:shd w:fill="EEEEEE"/>
          </w:tcPr>
          <w:p>
            <w:pPr>
              <w:spacing w:after="60" w:before="60" w:line="240" w:lineRule="auto"/>
            </w:pPr>
            <w:r>
              <w:rPr>
                <w:b/>
                <w:sz w:val="18"/>
              </w:rPr>
              <w:t>CI above 0</w:t>
            </w:r>
          </w:p>
        </w:tc>
        <w:tc>
          <w:tcPr>
            <w:tcW w:type="dxa" w:w="1543"/>
            <w:shd w:fill="EEEEEE"/>
          </w:tcPr>
          <w:p>
            <w:pPr>
              <w:spacing w:after="60" w:before="60" w:line="240" w:lineRule="auto"/>
            </w:pPr>
            <w:r>
              <w:rPr>
                <w:b/>
                <w:sz w:val="18"/>
              </w:rPr>
              <w:t>CI contains 0</w:t>
            </w:r>
          </w:p>
        </w:tc>
      </w:tr>
      <w:tr>
        <w:trPr>
          <w:cantSplit/>
        </w:trPr>
        <w:tc>
          <w:tcPr>
            <w:tcW w:type="dxa" w:w="1543"/>
          </w:tcPr>
          <w:p>
            <w:pPr>
              <w:spacing w:after="60" w:before="60" w:line="240" w:lineRule="auto"/>
            </w:pPr>
            <w:r>
              <w:rPr>
                <w:b w:val="0"/>
                <w:sz w:val="18"/>
              </w:rPr>
              <w:t>C−A</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-1.55 to 9.11</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12</w:t>
            </w:r>
          </w:p>
        </w:tc>
      </w:tr>
      <w:tr>
        <w:trPr>
          <w:cantSplit/>
        </w:trPr>
        <w:tc>
          <w:tcPr>
            <w:tcW w:type="dxa" w:w="1543"/>
          </w:tcPr>
          <w:p>
            <w:pPr>
              <w:spacing w:after="60" w:before="60" w:line="240" w:lineRule="auto"/>
            </w:pPr>
            <w:r>
              <w:rPr>
                <w:b w:val="0"/>
                <w:sz w:val="18"/>
              </w:rPr>
              <w:t>C−A</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-42.33 to 10.10</w:t>
            </w:r>
          </w:p>
        </w:tc>
        <w:tc>
          <w:tcPr>
            <w:tcW w:type="dxa" w:w="1543"/>
          </w:tcPr>
          <w:p>
            <w:pPr>
              <w:spacing w:after="60" w:before="60" w:line="240" w:lineRule="auto"/>
            </w:pPr>
            <w:r>
              <w:rPr>
                <w:b w:val="0"/>
                <w:sz w:val="18"/>
              </w:rPr>
              <w:t>13</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3</w:t>
            </w:r>
          </w:p>
        </w:tc>
      </w:tr>
      <w:tr>
        <w:trPr>
          <w:cantSplit/>
        </w:trPr>
        <w:tc>
          <w:tcPr>
            <w:tcW w:type="dxa" w:w="1543"/>
          </w:tcPr>
          <w:p>
            <w:pPr>
              <w:spacing w:after="60" w:before="60" w:line="240" w:lineRule="auto"/>
            </w:pPr>
            <w:r>
              <w:rPr>
                <w:b w:val="0"/>
                <w:sz w:val="18"/>
              </w:rPr>
              <w:t>C−A</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-21.32 to 65.89</w:t>
            </w:r>
          </w:p>
        </w:tc>
        <w:tc>
          <w:tcPr>
            <w:tcW w:type="dxa" w:w="1543"/>
          </w:tcPr>
          <w:p>
            <w:pPr>
              <w:spacing w:after="60" w:before="60" w:line="240" w:lineRule="auto"/>
            </w:pPr>
            <w:r>
              <w:rPr>
                <w:b w:val="0"/>
                <w:sz w:val="18"/>
              </w:rPr>
              <w:t>6</w:t>
            </w:r>
          </w:p>
        </w:tc>
        <w:tc>
          <w:tcPr>
            <w:tcW w:type="dxa" w:w="1543"/>
          </w:tcPr>
          <w:p>
            <w:pPr>
              <w:spacing w:after="60" w:before="60" w:line="240" w:lineRule="auto"/>
            </w:pPr>
            <w:r>
              <w:rPr>
                <w:b w:val="0"/>
                <w:sz w:val="18"/>
              </w:rPr>
              <w:t>5</w:t>
            </w:r>
          </w:p>
        </w:tc>
        <w:tc>
          <w:tcPr>
            <w:tcW w:type="dxa" w:w="1543"/>
          </w:tcPr>
          <w:p>
            <w:pPr>
              <w:spacing w:after="60" w:before="60" w:line="240" w:lineRule="auto"/>
            </w:pPr>
            <w:r>
              <w:rPr>
                <w:b w:val="0"/>
                <w:sz w:val="18"/>
              </w:rPr>
              <w:t>5</w:t>
            </w:r>
          </w:p>
        </w:tc>
      </w:tr>
      <w:tr>
        <w:trPr>
          <w:cantSplit/>
        </w:trPr>
        <w:tc>
          <w:tcPr>
            <w:tcW w:type="dxa" w:w="1543"/>
          </w:tcPr>
          <w:p>
            <w:pPr>
              <w:spacing w:after="60" w:before="60" w:line="240" w:lineRule="auto"/>
            </w:pPr>
            <w:r>
              <w:rPr>
                <w:b w:val="0"/>
                <w:sz w:val="18"/>
              </w:rPr>
              <w:t>C−A</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-11.43 to 16.47</w:t>
            </w:r>
          </w:p>
        </w:tc>
        <w:tc>
          <w:tcPr>
            <w:tcW w:type="dxa" w:w="1543"/>
          </w:tcPr>
          <w:p>
            <w:pPr>
              <w:spacing w:after="60" w:before="60" w:line="240" w:lineRule="auto"/>
            </w:pPr>
            <w:r>
              <w:rPr>
                <w:b w:val="0"/>
                <w:sz w:val="18"/>
              </w:rPr>
              <w:t>5</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11</w:t>
            </w:r>
          </w:p>
        </w:tc>
      </w:tr>
      <w:tr>
        <w:trPr>
          <w:cantSplit/>
        </w:trPr>
        <w:tc>
          <w:tcPr>
            <w:tcW w:type="dxa" w:w="1543"/>
          </w:tcPr>
          <w:p>
            <w:pPr>
              <w:spacing w:after="60" w:before="60" w:line="240" w:lineRule="auto"/>
            </w:pPr>
            <w:r>
              <w:rPr>
                <w:b w:val="0"/>
                <w:sz w:val="18"/>
              </w:rPr>
              <w:t>C−B</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-4.46 to 261.24</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12</w:t>
            </w:r>
          </w:p>
        </w:tc>
      </w:tr>
      <w:tr>
        <w:trPr>
          <w:cantSplit/>
        </w:trPr>
        <w:tc>
          <w:tcPr>
            <w:tcW w:type="dxa" w:w="1543"/>
          </w:tcPr>
          <w:p>
            <w:pPr>
              <w:spacing w:after="60" w:before="60" w:line="240" w:lineRule="auto"/>
            </w:pPr>
            <w:r>
              <w:rPr>
                <w:b w:val="0"/>
                <w:sz w:val="18"/>
              </w:rPr>
              <w:t>C−B</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0.00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C−B</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0.00 to 90.31</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12</w:t>
            </w:r>
          </w:p>
        </w:tc>
      </w:tr>
      <w:tr>
        <w:trPr>
          <w:cantSplit/>
        </w:trPr>
        <w:tc>
          <w:tcPr>
            <w:tcW w:type="dxa" w:w="1543"/>
          </w:tcPr>
          <w:p>
            <w:pPr>
              <w:spacing w:after="60" w:before="60" w:line="240" w:lineRule="auto"/>
            </w:pPr>
            <w:r>
              <w:rPr>
                <w:b w:val="0"/>
                <w:sz w:val="18"/>
              </w:rPr>
              <w:t>C−B</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-19.19 to 72.09</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14</w:t>
            </w:r>
          </w:p>
        </w:tc>
      </w:tr>
      <w:tr>
        <w:trPr>
          <w:cantSplit/>
        </w:trPr>
        <w:tc>
          <w:tcPr>
            <w:tcW w:type="dxa" w:w="1543"/>
          </w:tcPr>
          <w:p>
            <w:pPr>
              <w:spacing w:after="60" w:before="60" w:line="240" w:lineRule="auto"/>
            </w:pPr>
            <w:r>
              <w:rPr>
                <w:b w:val="0"/>
                <w:sz w:val="18"/>
              </w:rPr>
              <w:t>Refitted−Fixed C</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-1.16 to 7.75</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13</w:t>
            </w:r>
          </w:p>
        </w:tc>
      </w:tr>
      <w:tr>
        <w:trPr>
          <w:cantSplit/>
        </w:trPr>
        <w:tc>
          <w:tcPr>
            <w:tcW w:type="dxa" w:w="1543"/>
          </w:tcPr>
          <w:p>
            <w:pPr>
              <w:spacing w:after="60" w:before="60" w:line="240" w:lineRule="auto"/>
            </w:pPr>
            <w:r>
              <w:rPr>
                <w:b w:val="0"/>
                <w:sz w:val="18"/>
              </w:rPr>
              <w:t>Refitted−Fixed C</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0.00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Refitted−Fixed C</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0.00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Refitted−Fixed C</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-11.05 to 0.39</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bl>
    <w:p>
      <w:pPr>
        <w:jc w:val="both"/>
      </w:pPr>
      <w:r>
        <w:t>The full file reports the point and both interval endpoints for each individual setting, alongside alert and excess differences. Table 9 summarizes the grid rather than averaging unlike costs; interval counts are descriptive and have no multiple-comparison adjustment. B−A is retained as a secondary contrast.</w:t>
      </w:r>
    </w:p>
    <w:p>
      <w:pPr>
        <w:jc w:val="both"/>
      </w:pPr>
      <w:r>
        <w:t>For illustration, hold XGBoost, r=10 and budget 20% fixed. Phase 1 C−A is +1.36 per 100 shifts (95% CI [-0.97, 5.43]); phase 2 is -36.50 ([-49.13, -27.18]). The positive phase-1 point estimate has an interval containing zero; the phase-2 interval is entirely negative. These existing intervals illustrate stage-specific uncertainty without selecting an operating rule.</w:t>
      </w:r>
    </w:p>
    <w:p>
      <w:pPr>
        <w:pStyle w:val="Caption"/>
      </w:pPr>
      <w:r>
        <w:t>Table 10. Robustness models across the same 16 C settings in each phase</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543"/>
        <w:gridCol w:w="1543"/>
        <w:gridCol w:w="1543"/>
        <w:gridCol w:w="1543"/>
        <w:gridCol w:w="1543"/>
        <w:gridCol w:w="1543"/>
      </w:tblGrid>
      <w:tr>
        <w:trPr>
          <w:tblHeader/>
          <w:cantSplit/>
        </w:trPr>
        <w:tc>
          <w:tcPr>
            <w:tcW w:type="dxa" w:w="1543"/>
            <w:shd w:fill="EEEEEE"/>
          </w:tcPr>
          <w:p>
            <w:pPr>
              <w:spacing w:after="60" w:before="60" w:line="240" w:lineRule="auto"/>
            </w:pPr>
            <w:r>
              <w:rPr>
                <w:b/>
                <w:sz w:val="18"/>
              </w:rPr>
              <w:t>Model</w:t>
            </w:r>
          </w:p>
        </w:tc>
        <w:tc>
          <w:tcPr>
            <w:tcW w:type="dxa" w:w="1543"/>
            <w:shd w:fill="EEEEEE"/>
          </w:tcPr>
          <w:p>
            <w:pPr>
              <w:spacing w:after="60" w:before="60" w:line="240" w:lineRule="auto"/>
            </w:pPr>
            <w:r>
              <w:rPr>
                <w:b/>
                <w:sz w:val="18"/>
              </w:rPr>
              <w:t>Phase</w:t>
            </w:r>
          </w:p>
        </w:tc>
        <w:tc>
          <w:tcPr>
            <w:tcW w:type="dxa" w:w="1543"/>
            <w:shd w:fill="EEEEEE"/>
          </w:tcPr>
          <w:p>
            <w:pPr>
              <w:spacing w:after="60" w:before="60" w:line="240" w:lineRule="auto"/>
            </w:pPr>
            <w:r>
              <w:rPr>
                <w:b/>
                <w:sz w:val="18"/>
              </w:rPr>
              <w:t>C−A L100 range</w:t>
            </w:r>
          </w:p>
        </w:tc>
        <w:tc>
          <w:tcPr>
            <w:tcW w:type="dxa" w:w="1543"/>
            <w:shd w:fill="EEEEEE"/>
          </w:tcPr>
          <w:p>
            <w:pPr>
              <w:spacing w:after="60" w:before="60" w:line="240" w:lineRule="auto"/>
            </w:pPr>
            <w:r>
              <w:rPr>
                <w:b/>
                <w:sz w:val="18"/>
              </w:rPr>
              <w:t>Alert range</w:t>
            </w:r>
          </w:p>
        </w:tc>
        <w:tc>
          <w:tcPr>
            <w:tcW w:type="dxa" w:w="1543"/>
            <w:shd w:fill="EEEEEE"/>
          </w:tcPr>
          <w:p>
            <w:pPr>
              <w:spacing w:after="60" w:before="60" w:line="240" w:lineRule="auto"/>
            </w:pPr>
            <w:r>
              <w:rPr>
                <w:b/>
                <w:sz w:val="18"/>
              </w:rPr>
              <w:t>Excess policies</w:t>
            </w:r>
          </w:p>
        </w:tc>
        <w:tc>
          <w:tcPr>
            <w:tcW w:type="dxa" w:w="1543"/>
            <w:shd w:fill="EEEEEE"/>
          </w:tcPr>
          <w:p>
            <w:pPr>
              <w:spacing w:after="60" w:before="60" w:line="240" w:lineRule="auto"/>
            </w:pPr>
            <w:r>
              <w:rPr>
                <w:b/>
                <w:sz w:val="18"/>
              </w:rPr>
              <w:t>No-alarm policies</w:t>
            </w:r>
          </w:p>
        </w:tc>
      </w:tr>
      <w:tr>
        <w:trPr>
          <w:cantSplit/>
        </w:trPr>
        <w:tc>
          <w:tcPr>
            <w:tcW w:type="dxa" w:w="1543"/>
          </w:tcPr>
          <w:p>
            <w:pPr>
              <w:spacing w:after="60" w:before="60" w:line="240" w:lineRule="auto"/>
            </w:pPr>
            <w:r>
              <w:rPr>
                <w:b w:val="0"/>
                <w:sz w:val="18"/>
              </w:rPr>
              <w:t>LR</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-3.29 to 0.00</w:t>
            </w:r>
          </w:p>
        </w:tc>
        <w:tc>
          <w:tcPr>
            <w:tcW w:type="dxa" w:w="1543"/>
          </w:tcPr>
          <w:p>
            <w:pPr>
              <w:spacing w:after="60" w:before="60" w:line="240" w:lineRule="auto"/>
            </w:pPr>
            <w:r>
              <w:rPr>
                <w:b w:val="0"/>
                <w:sz w:val="18"/>
              </w:rPr>
              <w:t>2–30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0</w:t>
            </w:r>
          </w:p>
        </w:tc>
      </w:tr>
      <w:tr>
        <w:trPr>
          <w:cantSplit/>
        </w:trPr>
        <w:tc>
          <w:tcPr>
            <w:tcW w:type="dxa" w:w="1543"/>
          </w:tcPr>
          <w:p>
            <w:pPr>
              <w:spacing w:after="60" w:before="60" w:line="240" w:lineRule="auto"/>
            </w:pPr>
            <w:r>
              <w:rPr>
                <w:b w:val="0"/>
                <w:sz w:val="18"/>
              </w:rPr>
              <w:t>LR</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-47.38 to 22.52</w:t>
            </w:r>
          </w:p>
        </w:tc>
        <w:tc>
          <w:tcPr>
            <w:tcW w:type="dxa" w:w="1543"/>
          </w:tcPr>
          <w:p>
            <w:pPr>
              <w:spacing w:after="60" w:before="60" w:line="240" w:lineRule="auto"/>
            </w:pPr>
            <w:r>
              <w:rPr>
                <w:b w:val="0"/>
                <w:sz w:val="18"/>
              </w:rPr>
              <w:t>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LR</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-20.93 to 92.44</w:t>
            </w:r>
          </w:p>
        </w:tc>
        <w:tc>
          <w:tcPr>
            <w:tcW w:type="dxa" w:w="1543"/>
          </w:tcPr>
          <w:p>
            <w:pPr>
              <w:spacing w:after="60" w:before="60" w:line="240" w:lineRule="auto"/>
            </w:pPr>
            <w:r>
              <w:rPr>
                <w:b w:val="0"/>
                <w:sz w:val="18"/>
              </w:rPr>
              <w:t>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LR</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-18.60 to 9.11</w:t>
            </w:r>
          </w:p>
        </w:tc>
        <w:tc>
          <w:tcPr>
            <w:tcW w:type="dxa" w:w="1543"/>
          </w:tcPr>
          <w:p>
            <w:pPr>
              <w:spacing w:after="60" w:before="60" w:line="240" w:lineRule="auto"/>
            </w:pPr>
            <w:r>
              <w:rPr>
                <w:b w:val="0"/>
                <w:sz w:val="18"/>
              </w:rPr>
              <w:t>4–81</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0</w:t>
            </w:r>
          </w:p>
        </w:tc>
      </w:tr>
      <w:tr>
        <w:trPr>
          <w:cantSplit/>
        </w:trPr>
        <w:tc>
          <w:tcPr>
            <w:tcW w:type="dxa" w:w="1543"/>
          </w:tcPr>
          <w:p>
            <w:pPr>
              <w:spacing w:after="60" w:before="60" w:line="240" w:lineRule="auto"/>
            </w:pPr>
            <w:r>
              <w:rPr>
                <w:b w:val="0"/>
                <w:sz w:val="18"/>
              </w:rPr>
              <w:t>CART</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-0.19 to 9.11</w:t>
            </w:r>
          </w:p>
        </w:tc>
        <w:tc>
          <w:tcPr>
            <w:tcW w:type="dxa" w:w="1543"/>
          </w:tcPr>
          <w:p>
            <w:pPr>
              <w:spacing w:after="60" w:before="60" w:line="240" w:lineRule="auto"/>
            </w:pPr>
            <w:r>
              <w:rPr>
                <w:b w:val="0"/>
                <w:sz w:val="18"/>
              </w:rPr>
              <w:t>0–26</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4</w:t>
            </w:r>
          </w:p>
        </w:tc>
      </w:tr>
      <w:tr>
        <w:trPr>
          <w:cantSplit/>
        </w:trPr>
        <w:tc>
          <w:tcPr>
            <w:tcW w:type="dxa" w:w="1543"/>
          </w:tcPr>
          <w:p>
            <w:pPr>
              <w:spacing w:after="60" w:before="60" w:line="240" w:lineRule="auto"/>
            </w:pPr>
            <w:r>
              <w:rPr>
                <w:b w:val="0"/>
                <w:sz w:val="18"/>
              </w:rPr>
              <w:t>CART</w:t>
            </w:r>
          </w:p>
        </w:tc>
        <w:tc>
          <w:tcPr>
            <w:tcW w:type="dxa" w:w="1543"/>
          </w:tcPr>
          <w:p>
            <w:pPr>
              <w:spacing w:after="60" w:before="60" w:line="240" w:lineRule="auto"/>
            </w:pPr>
            <w:r>
              <w:rPr>
                <w:b w:val="0"/>
                <w:sz w:val="18"/>
              </w:rPr>
              <w:t>2</w:t>
            </w:r>
          </w:p>
        </w:tc>
        <w:tc>
          <w:tcPr>
            <w:tcW w:type="dxa" w:w="1543"/>
          </w:tcPr>
          <w:p>
            <w:pPr>
              <w:spacing w:after="60" w:before="60" w:line="240" w:lineRule="auto"/>
            </w:pPr>
            <w:r>
              <w:rPr>
                <w:b w:val="0"/>
                <w:sz w:val="18"/>
              </w:rPr>
              <w:t>-37.09 to 15.34</w:t>
            </w:r>
          </w:p>
        </w:tc>
        <w:tc>
          <w:tcPr>
            <w:tcW w:type="dxa" w:w="1543"/>
          </w:tcPr>
          <w:p>
            <w:pPr>
              <w:spacing w:after="60" w:before="60" w:line="240" w:lineRule="auto"/>
            </w:pPr>
            <w:r>
              <w:rPr>
                <w:b w:val="0"/>
                <w:sz w:val="18"/>
              </w:rPr>
              <w:t>0–0</w:t>
            </w:r>
          </w:p>
        </w:tc>
        <w:tc>
          <w:tcPr>
            <w:tcW w:type="dxa" w:w="1543"/>
          </w:tcPr>
          <w:p>
            <w:pPr>
              <w:spacing w:after="60" w:before="60" w:line="240" w:lineRule="auto"/>
            </w:pPr>
            <w:r>
              <w:rPr>
                <w:b w:val="0"/>
                <w:sz w:val="18"/>
              </w:rPr>
              <w:t>0</w:t>
            </w:r>
          </w:p>
        </w:tc>
        <w:tc>
          <w:tcPr>
            <w:tcW w:type="dxa" w:w="1543"/>
          </w:tcPr>
          <w:p>
            <w:pPr>
              <w:spacing w:after="60" w:before="60" w:line="240" w:lineRule="auto"/>
            </w:pPr>
            <w:r>
              <w:rPr>
                <w:b w:val="0"/>
                <w:sz w:val="18"/>
              </w:rPr>
              <w:t>16</w:t>
            </w:r>
          </w:p>
        </w:tc>
      </w:tr>
      <w:tr>
        <w:trPr>
          <w:cantSplit/>
        </w:trPr>
        <w:tc>
          <w:tcPr>
            <w:tcW w:type="dxa" w:w="1543"/>
          </w:tcPr>
          <w:p>
            <w:pPr>
              <w:spacing w:after="60" w:before="60" w:line="240" w:lineRule="auto"/>
            </w:pPr>
            <w:r>
              <w:rPr>
                <w:b w:val="0"/>
                <w:sz w:val="18"/>
              </w:rPr>
              <w:t>CART</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-14.92 to 34.69</w:t>
            </w:r>
          </w:p>
        </w:tc>
        <w:tc>
          <w:tcPr>
            <w:tcW w:type="dxa" w:w="1543"/>
          </w:tcPr>
          <w:p>
            <w:pPr>
              <w:spacing w:after="60" w:before="60" w:line="240" w:lineRule="auto"/>
            </w:pPr>
            <w:r>
              <w:rPr>
                <w:b w:val="0"/>
                <w:sz w:val="18"/>
              </w:rPr>
              <w:t>0–55</w:t>
            </w:r>
          </w:p>
        </w:tc>
        <w:tc>
          <w:tcPr>
            <w:tcW w:type="dxa" w:w="1543"/>
          </w:tcPr>
          <w:p>
            <w:pPr>
              <w:spacing w:after="60" w:before="60" w:line="240" w:lineRule="auto"/>
            </w:pPr>
            <w:r>
              <w:rPr>
                <w:b w:val="0"/>
                <w:sz w:val="18"/>
              </w:rPr>
              <w:t>1</w:t>
            </w:r>
          </w:p>
        </w:tc>
        <w:tc>
          <w:tcPr>
            <w:tcW w:type="dxa" w:w="1543"/>
          </w:tcPr>
          <w:p>
            <w:pPr>
              <w:spacing w:after="60" w:before="60" w:line="240" w:lineRule="auto"/>
            </w:pPr>
            <w:r>
              <w:rPr>
                <w:b w:val="0"/>
                <w:sz w:val="18"/>
              </w:rPr>
              <w:t>14</w:t>
            </w:r>
          </w:p>
        </w:tc>
      </w:tr>
      <w:tr>
        <w:trPr>
          <w:cantSplit/>
        </w:trPr>
        <w:tc>
          <w:tcPr>
            <w:tcW w:type="dxa" w:w="1543"/>
          </w:tcPr>
          <w:p>
            <w:pPr>
              <w:spacing w:after="60" w:before="60" w:line="240" w:lineRule="auto"/>
            </w:pPr>
            <w:r>
              <w:rPr>
                <w:b w:val="0"/>
                <w:sz w:val="18"/>
              </w:rPr>
              <w:t>CART</w:t>
            </w:r>
          </w:p>
        </w:tc>
        <w:tc>
          <w:tcPr>
            <w:tcW w:type="dxa" w:w="1543"/>
          </w:tcPr>
          <w:p>
            <w:pPr>
              <w:spacing w:after="60" w:before="60" w:line="240" w:lineRule="auto"/>
            </w:pPr>
            <w:r>
              <w:rPr>
                <w:b w:val="0"/>
                <w:sz w:val="18"/>
              </w:rPr>
              <w:t>4</w:t>
            </w:r>
          </w:p>
        </w:tc>
        <w:tc>
          <w:tcPr>
            <w:tcW w:type="dxa" w:w="1543"/>
          </w:tcPr>
          <w:p>
            <w:pPr>
              <w:spacing w:after="60" w:before="60" w:line="240" w:lineRule="auto"/>
            </w:pPr>
            <w:r>
              <w:rPr>
                <w:b w:val="0"/>
                <w:sz w:val="18"/>
              </w:rPr>
              <w:t>-13.95 to 7.17</w:t>
            </w:r>
          </w:p>
        </w:tc>
        <w:tc>
          <w:tcPr>
            <w:tcW w:type="dxa" w:w="1543"/>
          </w:tcPr>
          <w:p>
            <w:pPr>
              <w:spacing w:after="60" w:before="60" w:line="240" w:lineRule="auto"/>
            </w:pPr>
            <w:r>
              <w:rPr>
                <w:b w:val="0"/>
                <w:sz w:val="18"/>
              </w:rPr>
              <w:t>0–92</w:t>
            </w:r>
          </w:p>
        </w:tc>
        <w:tc>
          <w:tcPr>
            <w:tcW w:type="dxa" w:w="1543"/>
          </w:tcPr>
          <w:p>
            <w:pPr>
              <w:spacing w:after="60" w:before="60" w:line="240" w:lineRule="auto"/>
            </w:pPr>
            <w:r>
              <w:rPr>
                <w:b w:val="0"/>
                <w:sz w:val="18"/>
              </w:rPr>
              <w:t>3</w:t>
            </w:r>
          </w:p>
        </w:tc>
        <w:tc>
          <w:tcPr>
            <w:tcW w:type="dxa" w:w="1543"/>
          </w:tcPr>
          <w:p>
            <w:pPr>
              <w:spacing w:after="60" w:before="60" w:line="240" w:lineRule="auto"/>
            </w:pPr>
            <w:r>
              <w:rPr>
                <w:b w:val="0"/>
                <w:sz w:val="18"/>
              </w:rPr>
              <w:t>7</w:t>
            </w:r>
          </w:p>
        </w:tc>
      </w:tr>
    </w:tbl>
    <w:p>
      <w:pPr>
        <w:jc w:val="both"/>
      </w:pPr>
      <w:r>
        <w:t>LR and CART extend the policy comparison across retained baseline models using identical reference boundaries, selection rules and test rows. Their stage-dependent loss and workload ranges show how the tradeoffs vary across fitted score distributions. Model configurations follow the asymmetric first-stage design described in Section 2. Full fixed/refitted and no-alarm comparisons appear in the electronic appendix.</w:t>
      </w:r>
    </w:p>
    <w:p>
      <w:pPr>
        <w:pStyle w:val="Heading1"/>
        <w:pageBreakBefore/>
      </w:pPr>
      <w:r>
        <w:t>9 Frozen prevalence scenarios and decision implications</w:t>
      </w:r>
    </w:p>
    <w:p>
      <w:pPr>
        <w:jc w:val="both"/>
      </w:pPr>
      <w:r>
        <w:t>The scenario changes hazardous-shift prevalence π to 2%, 5%, 10% or 15%, holding policies and empirical class-conditional error rates fixed. Expected loss is L100(π) = 100[r π FNR + (1 − π) FPR]; expected alert rate is π(1 − FNR) + (1 − π)FPR. Cutoffs remain frozen. These prevalence-only expectations exclude within-class changes and do not estimate capacity-exceedance probability.</w:t>
      </w:r>
    </w:p>
    <w:p>
      <w:pPr>
        <w:pStyle w:val="Caption"/>
      </w:pPr>
      <w:r>
        <w:t>Table 11. Pooled prior-shift sensitivity: relative C loss and expected workload</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852"/>
        <w:gridCol w:w="1852"/>
        <w:gridCol w:w="1852"/>
        <w:gridCol w:w="1852"/>
        <w:gridCol w:w="1852"/>
      </w:tblGrid>
      <w:tr>
        <w:trPr>
          <w:tblHeader/>
          <w:cantSplit/>
        </w:trPr>
        <w:tc>
          <w:tcPr>
            <w:tcW w:type="dxa" w:w="1852"/>
            <w:shd w:fill="EEEEEE"/>
          </w:tcPr>
          <w:p>
            <w:pPr>
              <w:spacing w:after="60" w:before="60" w:line="240" w:lineRule="auto"/>
            </w:pPr>
            <w:r>
              <w:rPr>
                <w:b/>
                <w:sz w:val="18"/>
              </w:rPr>
              <w:t>Cost r</w:t>
            </w:r>
          </w:p>
        </w:tc>
        <w:tc>
          <w:tcPr>
            <w:tcW w:type="dxa" w:w="1852"/>
            <w:shd w:fill="EEEEEE"/>
          </w:tcPr>
          <w:p>
            <w:pPr>
              <w:spacing w:after="60" w:before="60" w:line="240" w:lineRule="auto"/>
            </w:pPr>
            <w:r>
              <w:rPr>
                <w:b/>
                <w:sz w:val="18"/>
              </w:rPr>
              <w:t>π 2%</w:t>
            </w:r>
          </w:p>
        </w:tc>
        <w:tc>
          <w:tcPr>
            <w:tcW w:type="dxa" w:w="1852"/>
            <w:shd w:fill="EEEEEE"/>
          </w:tcPr>
          <w:p>
            <w:pPr>
              <w:spacing w:after="60" w:before="60" w:line="240" w:lineRule="auto"/>
            </w:pPr>
            <w:r>
              <w:rPr>
                <w:b/>
                <w:sz w:val="18"/>
              </w:rPr>
              <w:t>π 5%</w:t>
            </w:r>
          </w:p>
        </w:tc>
        <w:tc>
          <w:tcPr>
            <w:tcW w:type="dxa" w:w="1852"/>
            <w:shd w:fill="EEEEEE"/>
          </w:tcPr>
          <w:p>
            <w:pPr>
              <w:spacing w:after="60" w:before="60" w:line="240" w:lineRule="auto"/>
            </w:pPr>
            <w:r>
              <w:rPr>
                <w:b/>
                <w:sz w:val="18"/>
              </w:rPr>
              <w:t>π 10%</w:t>
            </w:r>
          </w:p>
        </w:tc>
        <w:tc>
          <w:tcPr>
            <w:tcW w:type="dxa" w:w="1852"/>
            <w:shd w:fill="EEEEEE"/>
          </w:tcPr>
          <w:p>
            <w:pPr>
              <w:spacing w:after="60" w:before="60" w:line="240" w:lineRule="auto"/>
            </w:pPr>
            <w:r>
              <w:rPr>
                <w:b/>
                <w:sz w:val="18"/>
              </w:rPr>
              <w:t>π 15%</w:t>
            </w:r>
          </w:p>
        </w:tc>
      </w:tr>
      <w:tr>
        <w:trPr>
          <w:cantSplit/>
        </w:trPr>
        <w:tc>
          <w:tcPr>
            <w:tcW w:type="dxa" w:w="1852"/>
          </w:tcPr>
          <w:p>
            <w:pPr>
              <w:spacing w:after="60" w:before="60" w:line="240" w:lineRule="auto"/>
            </w:pPr>
            <w:r>
              <w:rPr>
                <w:b w:val="0"/>
                <w:sz w:val="18"/>
              </w:rPr>
              <w:t>5</w:t>
            </w:r>
          </w:p>
        </w:tc>
        <w:tc>
          <w:tcPr>
            <w:tcW w:type="dxa" w:w="1852"/>
          </w:tcPr>
          <w:p>
            <w:pPr>
              <w:spacing w:after="60" w:before="60" w:line="240" w:lineRule="auto"/>
            </w:pPr>
            <w:r>
              <w:rPr>
                <w:b w:val="0"/>
                <w:sz w:val="18"/>
              </w:rPr>
              <w:t>0.00 to 1.36</w:t>
              <w:br/>
              <w:t>0.00 to 1.63%</w:t>
            </w:r>
          </w:p>
        </w:tc>
        <w:tc>
          <w:tcPr>
            <w:tcW w:type="dxa" w:w="1852"/>
          </w:tcPr>
          <w:p>
            <w:pPr>
              <w:spacing w:after="60" w:before="60" w:line="240" w:lineRule="auto"/>
            </w:pPr>
            <w:r>
              <w:rPr>
                <w:b w:val="0"/>
                <w:sz w:val="18"/>
              </w:rPr>
              <w:t>0.00 to 0.97</w:t>
              <w:br/>
              <w:t>0.00 to 1.65%</w:t>
            </w:r>
          </w:p>
        </w:tc>
        <w:tc>
          <w:tcPr>
            <w:tcW w:type="dxa" w:w="1852"/>
          </w:tcPr>
          <w:p>
            <w:pPr>
              <w:spacing w:after="60" w:before="60" w:line="240" w:lineRule="auto"/>
            </w:pPr>
            <w:r>
              <w:rPr>
                <w:b w:val="0"/>
                <w:sz w:val="18"/>
              </w:rPr>
              <w:t>0.00 to 0.53</w:t>
              <w:br/>
              <w:t>0.00 to 1.69%</w:t>
            </w:r>
          </w:p>
        </w:tc>
        <w:tc>
          <w:tcPr>
            <w:tcW w:type="dxa" w:w="1852"/>
          </w:tcPr>
          <w:p>
            <w:pPr>
              <w:spacing w:after="60" w:before="60" w:line="240" w:lineRule="auto"/>
            </w:pPr>
            <w:r>
              <w:rPr>
                <w:b w:val="0"/>
                <w:sz w:val="18"/>
              </w:rPr>
              <w:t>-0.33 to 0.18</w:t>
              <w:br/>
              <w:t>0.00 to 1.72%</w:t>
            </w:r>
          </w:p>
        </w:tc>
      </w:tr>
      <w:tr>
        <w:trPr>
          <w:cantSplit/>
        </w:trPr>
        <w:tc>
          <w:tcPr>
            <w:tcW w:type="dxa" w:w="1852"/>
          </w:tcPr>
          <w:p>
            <w:pPr>
              <w:spacing w:after="60" w:before="60" w:line="240" w:lineRule="auto"/>
            </w:pPr>
            <w:r>
              <w:rPr>
                <w:b w:val="0"/>
                <w:sz w:val="18"/>
              </w:rPr>
              <w:t>10</w:t>
            </w:r>
          </w:p>
        </w:tc>
        <w:tc>
          <w:tcPr>
            <w:tcW w:type="dxa" w:w="1852"/>
          </w:tcPr>
          <w:p>
            <w:pPr>
              <w:spacing w:after="60" w:before="60" w:line="240" w:lineRule="auto"/>
            </w:pPr>
            <w:r>
              <w:rPr>
                <w:b w:val="0"/>
                <w:sz w:val="18"/>
              </w:rPr>
              <w:t>0.00 to 1.13</w:t>
              <w:br/>
              <w:t>0.00 to 1.63%</w:t>
            </w:r>
          </w:p>
        </w:tc>
        <w:tc>
          <w:tcPr>
            <w:tcW w:type="dxa" w:w="1852"/>
          </w:tcPr>
          <w:p>
            <w:pPr>
              <w:spacing w:after="60" w:before="60" w:line="240" w:lineRule="auto"/>
            </w:pPr>
            <w:r>
              <w:rPr>
                <w:b w:val="0"/>
                <w:sz w:val="18"/>
              </w:rPr>
              <w:t>0.00 to 0.73</w:t>
              <w:br/>
              <w:t>0.00 to 1.65%</w:t>
            </w:r>
          </w:p>
        </w:tc>
        <w:tc>
          <w:tcPr>
            <w:tcW w:type="dxa" w:w="1852"/>
          </w:tcPr>
          <w:p>
            <w:pPr>
              <w:spacing w:after="60" w:before="60" w:line="240" w:lineRule="auto"/>
            </w:pPr>
            <w:r>
              <w:rPr>
                <w:b w:val="0"/>
                <w:sz w:val="18"/>
              </w:rPr>
              <w:t>-0.81 to 0.09</w:t>
              <w:br/>
              <w:t>0.00 to 1.69%</w:t>
            </w:r>
          </w:p>
        </w:tc>
        <w:tc>
          <w:tcPr>
            <w:tcW w:type="dxa" w:w="1852"/>
          </w:tcPr>
          <w:p>
            <w:pPr>
              <w:spacing w:after="60" w:before="60" w:line="240" w:lineRule="auto"/>
            </w:pPr>
            <w:r>
              <w:rPr>
                <w:b w:val="0"/>
                <w:sz w:val="18"/>
              </w:rPr>
              <w:t>-2.03 to 0.00</w:t>
              <w:br/>
              <w:t>0.00 to 1.72%</w:t>
            </w:r>
          </w:p>
        </w:tc>
      </w:tr>
      <w:tr>
        <w:trPr>
          <w:cantSplit/>
        </w:trPr>
        <w:tc>
          <w:tcPr>
            <w:tcW w:type="dxa" w:w="1852"/>
          </w:tcPr>
          <w:p>
            <w:pPr>
              <w:spacing w:after="60" w:before="60" w:line="240" w:lineRule="auto"/>
            </w:pPr>
            <w:r>
              <w:rPr>
                <w:b w:val="0"/>
                <w:sz w:val="18"/>
              </w:rPr>
              <w:t>20</w:t>
            </w:r>
          </w:p>
        </w:tc>
        <w:tc>
          <w:tcPr>
            <w:tcW w:type="dxa" w:w="1852"/>
          </w:tcPr>
          <w:p>
            <w:pPr>
              <w:spacing w:after="60" w:before="60" w:line="240" w:lineRule="auto"/>
            </w:pPr>
            <w:r>
              <w:rPr>
                <w:b w:val="0"/>
                <w:sz w:val="18"/>
              </w:rPr>
              <w:t>0.00 to 1.16</w:t>
              <w:br/>
              <w:t>0.00 to 3.34%</w:t>
            </w:r>
          </w:p>
        </w:tc>
        <w:tc>
          <w:tcPr>
            <w:tcW w:type="dxa" w:w="1852"/>
          </w:tcPr>
          <w:p>
            <w:pPr>
              <w:spacing w:after="60" w:before="60" w:line="240" w:lineRule="auto"/>
            </w:pPr>
            <w:r>
              <w:rPr>
                <w:b w:val="0"/>
                <w:sz w:val="18"/>
              </w:rPr>
              <w:t>-2.56 to 0.02</w:t>
              <w:br/>
              <w:t>0.00 to 3.41%</w:t>
            </w:r>
          </w:p>
        </w:tc>
        <w:tc>
          <w:tcPr>
            <w:tcW w:type="dxa" w:w="1852"/>
          </w:tcPr>
          <w:p>
            <w:pPr>
              <w:spacing w:after="60" w:before="60" w:line="240" w:lineRule="auto"/>
            </w:pPr>
            <w:r>
              <w:rPr>
                <w:b w:val="0"/>
                <w:sz w:val="18"/>
              </w:rPr>
              <w:t>-8.40 to 0.00</w:t>
              <w:br/>
              <w:t>0.00 to 3.53%</w:t>
            </w:r>
          </w:p>
        </w:tc>
        <w:tc>
          <w:tcPr>
            <w:tcW w:type="dxa" w:w="1852"/>
          </w:tcPr>
          <w:p>
            <w:pPr>
              <w:spacing w:after="60" w:before="60" w:line="240" w:lineRule="auto"/>
            </w:pPr>
            <w:r>
              <w:rPr>
                <w:b w:val="0"/>
                <w:sz w:val="18"/>
              </w:rPr>
              <w:t>-14.25 to 0.00</w:t>
              <w:br/>
              <w:t>0.00 to 3.65%</w:t>
            </w:r>
          </w:p>
        </w:tc>
      </w:tr>
      <w:tr>
        <w:trPr>
          <w:cantSplit/>
        </w:trPr>
        <w:tc>
          <w:tcPr>
            <w:tcW w:type="dxa" w:w="1852"/>
          </w:tcPr>
          <w:p>
            <w:pPr>
              <w:spacing w:after="60" w:before="60" w:line="240" w:lineRule="auto"/>
            </w:pPr>
            <w:r>
              <w:rPr>
                <w:b w:val="0"/>
                <w:sz w:val="18"/>
              </w:rPr>
              <w:t>50</w:t>
            </w:r>
          </w:p>
        </w:tc>
        <w:tc>
          <w:tcPr>
            <w:tcW w:type="dxa" w:w="1852"/>
          </w:tcPr>
          <w:p>
            <w:pPr>
              <w:spacing w:after="60" w:before="60" w:line="240" w:lineRule="auto"/>
            </w:pPr>
            <w:r>
              <w:rPr>
                <w:b w:val="0"/>
                <w:sz w:val="18"/>
              </w:rPr>
              <w:t>-1.66 to 0.05</w:t>
              <w:br/>
              <w:t>0.00 to 5.30%</w:t>
            </w:r>
          </w:p>
        </w:tc>
        <w:tc>
          <w:tcPr>
            <w:tcW w:type="dxa" w:w="1852"/>
          </w:tcPr>
          <w:p>
            <w:pPr>
              <w:spacing w:after="60" w:before="60" w:line="240" w:lineRule="auto"/>
            </w:pPr>
            <w:r>
              <w:rPr>
                <w:b w:val="0"/>
                <w:sz w:val="18"/>
              </w:rPr>
              <w:t>-12.04 to 0.00</w:t>
              <w:br/>
              <w:t>0.00 to 5.34%</w:t>
            </w:r>
          </w:p>
        </w:tc>
        <w:tc>
          <w:tcPr>
            <w:tcW w:type="dxa" w:w="1852"/>
          </w:tcPr>
          <w:p>
            <w:pPr>
              <w:spacing w:after="60" w:before="60" w:line="240" w:lineRule="auto"/>
            </w:pPr>
            <w:r>
              <w:rPr>
                <w:b w:val="0"/>
                <w:sz w:val="18"/>
              </w:rPr>
              <w:t>-29.35 to 0.00</w:t>
              <w:br/>
              <w:t>0.00 to 5.42%</w:t>
            </w:r>
          </w:p>
        </w:tc>
        <w:tc>
          <w:tcPr>
            <w:tcW w:type="dxa" w:w="1852"/>
          </w:tcPr>
          <w:p>
            <w:pPr>
              <w:spacing w:after="60" w:before="60" w:line="240" w:lineRule="auto"/>
            </w:pPr>
            <w:r>
              <w:rPr>
                <w:b w:val="0"/>
                <w:sz w:val="18"/>
              </w:rPr>
              <w:t>-46.66 to 0.00</w:t>
              <w:br/>
              <w:t>0.00 to 5.50%</w:t>
            </w:r>
          </w:p>
        </w:tc>
      </w:tr>
    </w:tbl>
    <w:p>
      <w:pPr>
        <w:jc w:val="both"/>
      </w:pPr>
      <w:r>
        <w:t>Each cell ranges across four budgets: first ΔLnone,100(π) = Lpolicy,100(π) − 100rπ, then expected alert percentage. Negative differences mean lower hypothetical loss. These marginal endpoints need not share a budget; Table A5 pairs values by budget at r=10. Absolute losses and per-phase expectations remain in the appendices.</w:t>
      </w:r>
    </w:p>
    <w:p>
      <w:pPr>
        <w:pStyle w:val="Caption"/>
      </w:pPr>
      <w:r>
        <w:t>Table 12. Previously viewed holdout and all 16 C settings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852"/>
        <w:gridCol w:w="1852"/>
        <w:gridCol w:w="1852"/>
        <w:gridCol w:w="1852"/>
        <w:gridCol w:w="1852"/>
      </w:tblGrid>
      <w:tr>
        <w:trPr>
          <w:tblHeader/>
          <w:cantSplit/>
        </w:trPr>
        <w:tc>
          <w:tcPr>
            <w:tcW w:type="dxa" w:w="1852"/>
            <w:shd w:fill="EEEEEE"/>
          </w:tcPr>
          <w:p>
            <w:pPr>
              <w:spacing w:after="60" w:before="60" w:line="240" w:lineRule="auto"/>
            </w:pPr>
            <w:r>
              <w:rPr>
                <w:b/>
                <w:sz w:val="18"/>
              </w:rPr>
              <w:t>Model</w:t>
            </w:r>
          </w:p>
        </w:tc>
        <w:tc>
          <w:tcPr>
            <w:tcW w:type="dxa" w:w="1852"/>
            <w:shd w:fill="EEEEEE"/>
          </w:tcPr>
          <w:p>
            <w:pPr>
              <w:spacing w:after="60" w:before="60" w:line="240" w:lineRule="auto"/>
            </w:pPr>
            <w:r>
              <w:rPr>
                <w:b/>
                <w:sz w:val="18"/>
              </w:rPr>
              <w:t>Workflow</w:t>
            </w:r>
          </w:p>
        </w:tc>
        <w:tc>
          <w:tcPr>
            <w:tcW w:type="dxa" w:w="1852"/>
            <w:shd w:fill="EEEEEE"/>
          </w:tcPr>
          <w:p>
            <w:pPr>
              <w:spacing w:after="60" w:before="60" w:line="240" w:lineRule="auto"/>
            </w:pPr>
            <w:r>
              <w:rPr>
                <w:b/>
                <w:sz w:val="18"/>
              </w:rPr>
              <w:t>L100 minus no alarm range</w:t>
            </w:r>
          </w:p>
        </w:tc>
        <w:tc>
          <w:tcPr>
            <w:tcW w:type="dxa" w:w="1852"/>
            <w:shd w:fill="EEEEEE"/>
          </w:tcPr>
          <w:p>
            <w:pPr>
              <w:spacing w:after="60" w:before="60" w:line="240" w:lineRule="auto"/>
            </w:pPr>
            <w:r>
              <w:rPr>
                <w:b/>
                <w:sz w:val="18"/>
              </w:rPr>
              <w:t>Alert range</w:t>
            </w:r>
          </w:p>
        </w:tc>
        <w:tc>
          <w:tcPr>
            <w:tcW w:type="dxa" w:w="1852"/>
            <w:shd w:fill="EEEEEE"/>
          </w:tcPr>
          <w:p>
            <w:pPr>
              <w:spacing w:after="60" w:before="60" w:line="240" w:lineRule="auto"/>
            </w:pPr>
            <w:r>
              <w:rPr>
                <w:b/>
                <w:sz w:val="18"/>
              </w:rPr>
              <w:t>Excess policies</w:t>
            </w:r>
          </w:p>
        </w:tc>
      </w:tr>
      <w:tr>
        <w:trPr>
          <w:cantSplit/>
        </w:trPr>
        <w:tc>
          <w:tcPr>
            <w:tcW w:type="dxa" w:w="1852"/>
          </w:tcPr>
          <w:p>
            <w:pPr>
              <w:spacing w:after="60" w:before="60" w:line="240" w:lineRule="auto"/>
            </w:pPr>
            <w:r>
              <w:rPr>
                <w:b w:val="0"/>
                <w:sz w:val="18"/>
              </w:rPr>
              <w:t>XGBoost</w:t>
            </w:r>
          </w:p>
        </w:tc>
        <w:tc>
          <w:tcPr>
            <w:tcW w:type="dxa" w:w="1852"/>
          </w:tcPr>
          <w:p>
            <w:pPr>
              <w:spacing w:after="60" w:before="60" w:line="240" w:lineRule="auto"/>
            </w:pPr>
            <w:r>
              <w:rPr>
                <w:b w:val="0"/>
                <w:sz w:val="18"/>
              </w:rPr>
              <w:t>fixed</w:t>
            </w:r>
          </w:p>
        </w:tc>
        <w:tc>
          <w:tcPr>
            <w:tcW w:type="dxa" w:w="1852"/>
          </w:tcPr>
          <w:p>
            <w:pPr>
              <w:spacing w:after="60" w:before="60" w:line="240" w:lineRule="auto"/>
            </w:pPr>
            <w:r>
              <w:rPr>
                <w:b w:val="0"/>
                <w:sz w:val="18"/>
              </w:rPr>
              <w:t>-31.40 to 0.00</w:t>
            </w:r>
          </w:p>
        </w:tc>
        <w:tc>
          <w:tcPr>
            <w:tcW w:type="dxa" w:w="1852"/>
          </w:tcPr>
          <w:p>
            <w:pPr>
              <w:spacing w:after="60" w:before="60" w:line="240" w:lineRule="auto"/>
            </w:pPr>
            <w:r>
              <w:rPr>
                <w:b w:val="0"/>
                <w:sz w:val="18"/>
              </w:rPr>
              <w:t>0–63</w:t>
            </w:r>
          </w:p>
        </w:tc>
        <w:tc>
          <w:tcPr>
            <w:tcW w:type="dxa" w:w="1852"/>
          </w:tcPr>
          <w:p>
            <w:pPr>
              <w:spacing w:after="60" w:before="60" w:line="240" w:lineRule="auto"/>
            </w:pPr>
            <w:r>
              <w:rPr>
                <w:b w:val="0"/>
                <w:sz w:val="18"/>
              </w:rPr>
              <w:t>0</w:t>
            </w:r>
          </w:p>
        </w:tc>
      </w:tr>
      <w:tr>
        <w:trPr>
          <w:cantSplit/>
        </w:trPr>
        <w:tc>
          <w:tcPr>
            <w:tcW w:type="dxa" w:w="1852"/>
          </w:tcPr>
          <w:p>
            <w:pPr>
              <w:spacing w:after="60" w:before="60" w:line="240" w:lineRule="auto"/>
            </w:pPr>
            <w:r>
              <w:rPr>
                <w:b w:val="0"/>
                <w:sz w:val="18"/>
              </w:rPr>
              <w:t>XGBoost</w:t>
            </w:r>
          </w:p>
        </w:tc>
        <w:tc>
          <w:tcPr>
            <w:tcW w:type="dxa" w:w="1852"/>
          </w:tcPr>
          <w:p>
            <w:pPr>
              <w:spacing w:after="60" w:before="60" w:line="240" w:lineRule="auto"/>
            </w:pPr>
            <w:r>
              <w:rPr>
                <w:b w:val="0"/>
                <w:sz w:val="18"/>
              </w:rPr>
              <w:t>refitted</w:t>
            </w:r>
          </w:p>
        </w:tc>
        <w:tc>
          <w:tcPr>
            <w:tcW w:type="dxa" w:w="1852"/>
          </w:tcPr>
          <w:p>
            <w:pPr>
              <w:spacing w:after="60" w:before="60" w:line="240" w:lineRule="auto"/>
            </w:pPr>
            <w:r>
              <w:rPr>
                <w:b w:val="0"/>
                <w:sz w:val="18"/>
              </w:rPr>
              <w:t>-20.16 to 0.52</w:t>
            </w:r>
          </w:p>
        </w:tc>
        <w:tc>
          <w:tcPr>
            <w:tcW w:type="dxa" w:w="1852"/>
          </w:tcPr>
          <w:p>
            <w:pPr>
              <w:spacing w:after="60" w:before="60" w:line="240" w:lineRule="auto"/>
            </w:pPr>
            <w:r>
              <w:rPr>
                <w:b w:val="0"/>
                <w:sz w:val="18"/>
              </w:rPr>
              <w:t>0–48</w:t>
            </w:r>
          </w:p>
        </w:tc>
        <w:tc>
          <w:tcPr>
            <w:tcW w:type="dxa" w:w="1852"/>
          </w:tcPr>
          <w:p>
            <w:pPr>
              <w:spacing w:after="60" w:before="60" w:line="240" w:lineRule="auto"/>
            </w:pPr>
            <w:r>
              <w:rPr>
                <w:b w:val="0"/>
                <w:sz w:val="18"/>
              </w:rPr>
              <w:t>0</w:t>
            </w:r>
          </w:p>
        </w:tc>
      </w:tr>
      <w:tr>
        <w:trPr>
          <w:cantSplit/>
        </w:trPr>
        <w:tc>
          <w:tcPr>
            <w:tcW w:type="dxa" w:w="1852"/>
          </w:tcPr>
          <w:p>
            <w:pPr>
              <w:spacing w:after="60" w:before="60" w:line="240" w:lineRule="auto"/>
            </w:pPr>
            <w:r>
              <w:rPr>
                <w:b w:val="0"/>
                <w:sz w:val="18"/>
              </w:rPr>
              <w:t>LR</w:t>
            </w:r>
          </w:p>
        </w:tc>
        <w:tc>
          <w:tcPr>
            <w:tcW w:type="dxa" w:w="1852"/>
          </w:tcPr>
          <w:p>
            <w:pPr>
              <w:spacing w:after="60" w:before="60" w:line="240" w:lineRule="auto"/>
            </w:pPr>
            <w:r>
              <w:rPr>
                <w:b w:val="0"/>
                <w:sz w:val="18"/>
              </w:rPr>
              <w:t>fixed</w:t>
            </w:r>
          </w:p>
        </w:tc>
        <w:tc>
          <w:tcPr>
            <w:tcW w:type="dxa" w:w="1852"/>
          </w:tcPr>
          <w:p>
            <w:pPr>
              <w:spacing w:after="60" w:before="60" w:line="240" w:lineRule="auto"/>
            </w:pPr>
            <w:r>
              <w:rPr>
                <w:b w:val="0"/>
                <w:sz w:val="18"/>
              </w:rPr>
              <w:t>-25.84 to 0.00</w:t>
            </w:r>
          </w:p>
        </w:tc>
        <w:tc>
          <w:tcPr>
            <w:tcW w:type="dxa" w:w="1852"/>
          </w:tcPr>
          <w:p>
            <w:pPr>
              <w:spacing w:after="60" w:before="60" w:line="240" w:lineRule="auto"/>
            </w:pPr>
            <w:r>
              <w:rPr>
                <w:b w:val="0"/>
                <w:sz w:val="18"/>
              </w:rPr>
              <w:t>0–55</w:t>
            </w:r>
          </w:p>
        </w:tc>
        <w:tc>
          <w:tcPr>
            <w:tcW w:type="dxa" w:w="1852"/>
          </w:tcPr>
          <w:p>
            <w:pPr>
              <w:spacing w:after="60" w:before="60" w:line="240" w:lineRule="auto"/>
            </w:pPr>
            <w:r>
              <w:rPr>
                <w:b w:val="0"/>
                <w:sz w:val="18"/>
              </w:rPr>
              <w:t>0</w:t>
            </w:r>
          </w:p>
        </w:tc>
      </w:tr>
      <w:tr>
        <w:trPr>
          <w:cantSplit/>
        </w:trPr>
        <w:tc>
          <w:tcPr>
            <w:tcW w:type="dxa" w:w="1852"/>
          </w:tcPr>
          <w:p>
            <w:pPr>
              <w:spacing w:after="60" w:before="60" w:line="240" w:lineRule="auto"/>
            </w:pPr>
            <w:r>
              <w:rPr>
                <w:b w:val="0"/>
                <w:sz w:val="18"/>
              </w:rPr>
              <w:t>LR</w:t>
            </w:r>
          </w:p>
        </w:tc>
        <w:tc>
          <w:tcPr>
            <w:tcW w:type="dxa" w:w="1852"/>
          </w:tcPr>
          <w:p>
            <w:pPr>
              <w:spacing w:after="60" w:before="60" w:line="240" w:lineRule="auto"/>
            </w:pPr>
            <w:r>
              <w:rPr>
                <w:b w:val="0"/>
                <w:sz w:val="18"/>
              </w:rPr>
              <w:t>refitted</w:t>
            </w:r>
          </w:p>
        </w:tc>
        <w:tc>
          <w:tcPr>
            <w:tcW w:type="dxa" w:w="1852"/>
          </w:tcPr>
          <w:p>
            <w:pPr>
              <w:spacing w:after="60" w:before="60" w:line="240" w:lineRule="auto"/>
            </w:pPr>
            <w:r>
              <w:rPr>
                <w:b w:val="0"/>
                <w:sz w:val="18"/>
              </w:rPr>
              <w:t>-15.25 to 0.00</w:t>
            </w:r>
          </w:p>
        </w:tc>
        <w:tc>
          <w:tcPr>
            <w:tcW w:type="dxa" w:w="1852"/>
          </w:tcPr>
          <w:p>
            <w:pPr>
              <w:spacing w:after="60" w:before="60" w:line="240" w:lineRule="auto"/>
            </w:pPr>
            <w:r>
              <w:rPr>
                <w:b w:val="0"/>
                <w:sz w:val="18"/>
              </w:rPr>
              <w:t>0–35</w:t>
            </w:r>
          </w:p>
        </w:tc>
        <w:tc>
          <w:tcPr>
            <w:tcW w:type="dxa" w:w="1852"/>
          </w:tcPr>
          <w:p>
            <w:pPr>
              <w:spacing w:after="60" w:before="60" w:line="240" w:lineRule="auto"/>
            </w:pPr>
            <w:r>
              <w:rPr>
                <w:b w:val="0"/>
                <w:sz w:val="18"/>
              </w:rPr>
              <w:t>0</w:t>
            </w:r>
          </w:p>
        </w:tc>
      </w:tr>
      <w:tr>
        <w:trPr>
          <w:cantSplit/>
        </w:trPr>
        <w:tc>
          <w:tcPr>
            <w:tcW w:type="dxa" w:w="1852"/>
          </w:tcPr>
          <w:p>
            <w:pPr>
              <w:spacing w:after="60" w:before="60" w:line="240" w:lineRule="auto"/>
            </w:pPr>
            <w:r>
              <w:rPr>
                <w:b w:val="0"/>
                <w:sz w:val="18"/>
              </w:rPr>
              <w:t>CART</w:t>
            </w:r>
          </w:p>
        </w:tc>
        <w:tc>
          <w:tcPr>
            <w:tcW w:type="dxa" w:w="1852"/>
          </w:tcPr>
          <w:p>
            <w:pPr>
              <w:spacing w:after="60" w:before="60" w:line="240" w:lineRule="auto"/>
            </w:pPr>
            <w:r>
              <w:rPr>
                <w:b w:val="0"/>
                <w:sz w:val="18"/>
              </w:rPr>
              <w:t>fixed</w:t>
            </w:r>
          </w:p>
        </w:tc>
        <w:tc>
          <w:tcPr>
            <w:tcW w:type="dxa" w:w="1852"/>
          </w:tcPr>
          <w:p>
            <w:pPr>
              <w:spacing w:after="60" w:before="60" w:line="240" w:lineRule="auto"/>
            </w:pPr>
            <w:r>
              <w:rPr>
                <w:b w:val="0"/>
                <w:sz w:val="18"/>
              </w:rPr>
              <w:t>-35.40 to 0.00</w:t>
            </w:r>
          </w:p>
        </w:tc>
        <w:tc>
          <w:tcPr>
            <w:tcW w:type="dxa" w:w="1852"/>
          </w:tcPr>
          <w:p>
            <w:pPr>
              <w:spacing w:after="60" w:before="60" w:line="240" w:lineRule="auto"/>
            </w:pPr>
            <w:r>
              <w:rPr>
                <w:b w:val="0"/>
                <w:sz w:val="18"/>
              </w:rPr>
              <w:t>0–83</w:t>
            </w:r>
          </w:p>
        </w:tc>
        <w:tc>
          <w:tcPr>
            <w:tcW w:type="dxa" w:w="1852"/>
          </w:tcPr>
          <w:p>
            <w:pPr>
              <w:spacing w:after="60" w:before="60" w:line="240" w:lineRule="auto"/>
            </w:pPr>
            <w:r>
              <w:rPr>
                <w:b w:val="0"/>
                <w:sz w:val="18"/>
              </w:rPr>
              <w:t>0</w:t>
            </w:r>
          </w:p>
        </w:tc>
      </w:tr>
      <w:tr>
        <w:trPr>
          <w:cantSplit/>
        </w:trPr>
        <w:tc>
          <w:tcPr>
            <w:tcW w:type="dxa" w:w="1852"/>
          </w:tcPr>
          <w:p>
            <w:pPr>
              <w:spacing w:after="60" w:before="60" w:line="240" w:lineRule="auto"/>
            </w:pPr>
            <w:r>
              <w:rPr>
                <w:b w:val="0"/>
                <w:sz w:val="18"/>
              </w:rPr>
              <w:t>CART</w:t>
            </w:r>
          </w:p>
        </w:tc>
        <w:tc>
          <w:tcPr>
            <w:tcW w:type="dxa" w:w="1852"/>
          </w:tcPr>
          <w:p>
            <w:pPr>
              <w:spacing w:after="60" w:before="60" w:line="240" w:lineRule="auto"/>
            </w:pPr>
            <w:r>
              <w:rPr>
                <w:b w:val="0"/>
                <w:sz w:val="18"/>
              </w:rPr>
              <w:t>refitted</w:t>
            </w:r>
          </w:p>
        </w:tc>
        <w:tc>
          <w:tcPr>
            <w:tcW w:type="dxa" w:w="1852"/>
          </w:tcPr>
          <w:p>
            <w:pPr>
              <w:spacing w:after="60" w:before="60" w:line="240" w:lineRule="auto"/>
            </w:pPr>
            <w:r>
              <w:rPr>
                <w:b w:val="0"/>
                <w:sz w:val="18"/>
              </w:rPr>
              <w:t>-25.71 to 0.13</w:t>
            </w:r>
          </w:p>
        </w:tc>
        <w:tc>
          <w:tcPr>
            <w:tcW w:type="dxa" w:w="1852"/>
          </w:tcPr>
          <w:p>
            <w:pPr>
              <w:spacing w:after="60" w:before="60" w:line="240" w:lineRule="auto"/>
            </w:pPr>
            <w:r>
              <w:rPr>
                <w:b w:val="0"/>
                <w:sz w:val="18"/>
              </w:rPr>
              <w:t>0–56</w:t>
            </w:r>
          </w:p>
        </w:tc>
        <w:tc>
          <w:tcPr>
            <w:tcW w:type="dxa" w:w="1852"/>
          </w:tcPr>
          <w:p>
            <w:pPr>
              <w:spacing w:after="60" w:before="60" w:line="240" w:lineRule="auto"/>
            </w:pPr>
            <w:r>
              <w:rPr>
                <w:b w:val="0"/>
                <w:sz w:val="18"/>
              </w:rPr>
              <w:t>0</w:t>
            </w:r>
          </w:p>
        </w:tc>
      </w:tr>
    </w:tbl>
    <w:p>
      <w:pPr>
        <w:pStyle w:val="Heading1"/>
      </w:pPr>
      <w:r>
        <w:t>10 Discussion and conclusions</w:t>
      </w:r>
    </w:p>
    <w:p>
      <w:pPr>
        <w:jc w:val="both"/>
      </w:pPr>
      <w:r>
        <w:t>Reference-to-test hazardous-shift prevalence changes were phase 1: 20.39% → 6.98%; phase 2: 0.48% → 1.94%; phase 3: 2.26% → 4.65%; phase 4: 4.84% → 3.49%. Phase 2 reference choices rest on 1 hazardous outcome among 207 records. This sparse reference and the prevalence differences provide plausible context for transfer behavior. Class-conditional score distributions may also change; the design does not identify prevalence shift as its sole cause. Section 9 assumes prevalence-only change without identifying it causally.</w:t>
      </w:r>
    </w:p>
    <w:p>
      <w:pPr>
        <w:jc w:val="both"/>
      </w:pPr>
      <w:r>
        <w:t>Decision value depends on the comparator as well as the assumed cost. At r=10, C can reduce loss relative to A while its pooled false-alert cost balances or exceeds its detection benefit relative to no alarms. Its 40 historical no-alarm choices comprise 28 unconstrained cost optima and 12 capacity-induced changes, despite positive reference outcomes. Lower capacity excess must also be read alongside detection: the matched C−A comparisons show the accompanying changes in TP, FN and loss. Refitting changes finite-cutoff decisions; the unchanged no-alarm rules reflect their definition and provide no evidence about finite-threshold transfer.</w:t>
      </w:r>
    </w:p>
    <w:p>
      <w:pPr>
        <w:jc w:val="both"/>
      </w:pPr>
      <w:r>
        <w:t>Historical selection supplies a rule's rationale; later detections, misses and false alerts determine its transferred value. Joint evaluation reveals capacity excess and refitting differences alongside loss. Costs are hypothetical, and capacity counts shifts requiring inspection. Frozen scenarios hold class-conditional rates fixed. Operational validation requires dated monitoring and inspection outcomes.</w:t>
      </w:r>
    </w:p>
    <w:p>
      <w:pPr>
        <w:pStyle w:val="Heading1"/>
        <w:pageBreakBefore/>
      </w:pPr>
      <w:r>
        <w:t>Appendix A Detection, capacity and pooled evidence</w:t>
      </w:r>
    </w:p>
    <w:p>
      <w:pPr>
        <w:pStyle w:val="Caption"/>
      </w:pPr>
      <w:r>
        <w:t>Table A1. Matched C−A capacity, detection and loss differences at r=10</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323"/>
        <w:gridCol w:w="1323"/>
        <w:gridCol w:w="1323"/>
        <w:gridCol w:w="1323"/>
        <w:gridCol w:w="1323"/>
        <w:gridCol w:w="1323"/>
        <w:gridCol w:w="1323"/>
      </w:tblGrid>
      <w:tr>
        <w:trPr>
          <w:tblHeader/>
          <w:cantSplit/>
        </w:trPr>
        <w:tc>
          <w:tcPr>
            <w:tcW w:type="dxa" w:w="1323"/>
            <w:shd w:fill="EEEEEE"/>
          </w:tcPr>
          <w:p>
            <w:pPr>
              <w:spacing w:after="60" w:before="60" w:line="240" w:lineRule="auto"/>
            </w:pPr>
            <w:r>
              <w:rPr>
                <w:b/>
                <w:sz w:val="18"/>
              </w:rPr>
              <w:t>Phase</w:t>
            </w:r>
          </w:p>
        </w:tc>
        <w:tc>
          <w:tcPr>
            <w:tcW w:type="dxa" w:w="1323"/>
            <w:shd w:fill="EEEEEE"/>
          </w:tcPr>
          <w:p>
            <w:pPr>
              <w:spacing w:after="60" w:before="60" w:line="240" w:lineRule="auto"/>
            </w:pPr>
            <w:r>
              <w:rPr>
                <w:b/>
                <w:sz w:val="18"/>
              </w:rPr>
              <w:t>Budget</w:t>
            </w:r>
          </w:p>
        </w:tc>
        <w:tc>
          <w:tcPr>
            <w:tcW w:type="dxa" w:w="1323"/>
            <w:shd w:fill="EEEEEE"/>
          </w:tcPr>
          <w:p>
            <w:pPr>
              <w:spacing w:after="60" w:before="60" w:line="240" w:lineRule="auto"/>
            </w:pPr>
            <w:r>
              <w:rPr>
                <w:b/>
                <w:sz w:val="18"/>
              </w:rPr>
              <w:t>Δ alerts</w:t>
            </w:r>
          </w:p>
        </w:tc>
        <w:tc>
          <w:tcPr>
            <w:tcW w:type="dxa" w:w="1323"/>
            <w:shd w:fill="EEEEEE"/>
          </w:tcPr>
          <w:p>
            <w:pPr>
              <w:spacing w:after="60" w:before="60" w:line="240" w:lineRule="auto"/>
            </w:pPr>
            <w:r>
              <w:rPr>
                <w:b/>
                <w:sz w:val="18"/>
              </w:rPr>
              <w:t>Δ excess</w:t>
            </w:r>
          </w:p>
        </w:tc>
        <w:tc>
          <w:tcPr>
            <w:tcW w:type="dxa" w:w="1323"/>
            <w:shd w:fill="EEEEEE"/>
          </w:tcPr>
          <w:p>
            <w:pPr>
              <w:spacing w:after="60" w:before="60" w:line="240" w:lineRule="auto"/>
            </w:pPr>
            <w:r>
              <w:rPr>
                <w:b/>
                <w:sz w:val="18"/>
              </w:rPr>
              <w:t>Δ TP</w:t>
            </w:r>
          </w:p>
        </w:tc>
        <w:tc>
          <w:tcPr>
            <w:tcW w:type="dxa" w:w="1323"/>
            <w:shd w:fill="EEEEEE"/>
          </w:tcPr>
          <w:p>
            <w:pPr>
              <w:spacing w:after="60" w:before="60" w:line="240" w:lineRule="auto"/>
            </w:pPr>
            <w:r>
              <w:rPr>
                <w:b/>
                <w:sz w:val="18"/>
              </w:rPr>
              <w:t>Δ FN</w:t>
            </w:r>
          </w:p>
        </w:tc>
        <w:tc>
          <w:tcPr>
            <w:tcW w:type="dxa" w:w="1323"/>
            <w:shd w:fill="EEEEEE"/>
          </w:tcPr>
          <w:p>
            <w:pPr>
              <w:spacing w:after="60" w:before="60" w:line="240" w:lineRule="auto"/>
            </w:pPr>
            <w:r>
              <w:rPr>
                <w:b/>
                <w:sz w:val="18"/>
              </w:rPr>
              <w:t>Δ L100</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-8</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-1.55</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-0.39</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0.00</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1.36</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-37</w:t>
            </w:r>
          </w:p>
        </w:tc>
        <w:tc>
          <w:tcPr>
            <w:tcW w:type="dxa" w:w="1323"/>
          </w:tcPr>
          <w:p>
            <w:pPr>
              <w:spacing w:after="60" w:before="60" w:line="240" w:lineRule="auto"/>
            </w:pPr>
            <w:r>
              <w:rPr>
                <w:b w:val="0"/>
                <w:sz w:val="18"/>
              </w:rPr>
              <w:t>-32</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-7.18</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-67</w:t>
            </w:r>
          </w:p>
        </w:tc>
        <w:tc>
          <w:tcPr>
            <w:tcW w:type="dxa" w:w="1323"/>
          </w:tcPr>
          <w:p>
            <w:pPr>
              <w:spacing w:after="60" w:before="60" w:line="240" w:lineRule="auto"/>
            </w:pPr>
            <w:r>
              <w:rPr>
                <w:b w:val="0"/>
                <w:sz w:val="18"/>
              </w:rPr>
              <w:t>-42</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-13.01</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-113</w:t>
            </w:r>
          </w:p>
        </w:tc>
        <w:tc>
          <w:tcPr>
            <w:tcW w:type="dxa" w:w="1323"/>
          </w:tcPr>
          <w:p>
            <w:pPr>
              <w:spacing w:after="60" w:before="60" w:line="240" w:lineRule="auto"/>
            </w:pPr>
            <w:r>
              <w:rPr>
                <w:b w:val="0"/>
                <w:sz w:val="18"/>
              </w:rPr>
              <w:t>-62</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-15.53</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-254</w:t>
            </w:r>
          </w:p>
        </w:tc>
        <w:tc>
          <w:tcPr>
            <w:tcW w:type="dxa" w:w="1323"/>
          </w:tcPr>
          <w:p>
            <w:pPr>
              <w:spacing w:after="60" w:before="60" w:line="240" w:lineRule="auto"/>
            </w:pPr>
            <w:r>
              <w:rPr>
                <w:b w:val="0"/>
                <w:sz w:val="18"/>
              </w:rPr>
              <w:t>-151</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-36.50</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-8</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-1.55</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-55</w:t>
            </w:r>
          </w:p>
        </w:tc>
        <w:tc>
          <w:tcPr>
            <w:tcW w:type="dxa" w:w="1323"/>
          </w:tcPr>
          <w:p>
            <w:pPr>
              <w:spacing w:after="60" w:before="60" w:line="240" w:lineRule="auto"/>
            </w:pPr>
            <w:r>
              <w:rPr>
                <w:b w:val="0"/>
                <w:sz w:val="18"/>
              </w:rPr>
              <w:t>-30</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2.13</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-71</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-7</w:t>
            </w:r>
          </w:p>
        </w:tc>
        <w:tc>
          <w:tcPr>
            <w:tcW w:type="dxa" w:w="1323"/>
          </w:tcPr>
          <w:p>
            <w:pPr>
              <w:spacing w:after="60" w:before="60" w:line="240" w:lineRule="auto"/>
            </w:pPr>
            <w:r>
              <w:rPr>
                <w:b w:val="0"/>
                <w:sz w:val="18"/>
              </w:rPr>
              <w:t>7</w:t>
            </w:r>
          </w:p>
        </w:tc>
        <w:tc>
          <w:tcPr>
            <w:tcW w:type="dxa" w:w="1323"/>
          </w:tcPr>
          <w:p>
            <w:pPr>
              <w:spacing w:after="60" w:before="60" w:line="240" w:lineRule="auto"/>
            </w:pPr>
            <w:r>
              <w:rPr>
                <w:b w:val="0"/>
                <w:sz w:val="18"/>
              </w:rPr>
              <w:t>1.16</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-170</w:t>
            </w:r>
          </w:p>
        </w:tc>
        <w:tc>
          <w:tcPr>
            <w:tcW w:type="dxa" w:w="1323"/>
          </w:tcPr>
          <w:p>
            <w:pPr>
              <w:spacing w:after="60" w:before="60" w:line="240" w:lineRule="auto"/>
            </w:pPr>
            <w:r>
              <w:rPr>
                <w:b w:val="0"/>
                <w:sz w:val="18"/>
              </w:rPr>
              <w:t>-67</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-11.63</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-1.16</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5%</w:t>
            </w:r>
          </w:p>
        </w:tc>
        <w:tc>
          <w:tcPr>
            <w:tcW w:type="dxa" w:w="1323"/>
          </w:tcPr>
          <w:p>
            <w:pPr>
              <w:spacing w:after="60" w:before="60" w:line="240" w:lineRule="auto"/>
            </w:pPr>
            <w:r>
              <w:rPr>
                <w:b w:val="0"/>
                <w:sz w:val="18"/>
              </w:rPr>
              <w:t>-17</w:t>
            </w:r>
          </w:p>
        </w:tc>
        <w:tc>
          <w:tcPr>
            <w:tcW w:type="dxa" w:w="1323"/>
          </w:tcPr>
          <w:p>
            <w:pPr>
              <w:spacing w:after="60" w:before="60" w:line="240" w:lineRule="auto"/>
            </w:pPr>
            <w:r>
              <w:rPr>
                <w:b w:val="0"/>
                <w:sz w:val="18"/>
              </w:rPr>
              <w:t>-9</w:t>
            </w:r>
          </w:p>
        </w:tc>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0.97</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10%</w:t>
            </w:r>
          </w:p>
        </w:tc>
        <w:tc>
          <w:tcPr>
            <w:tcW w:type="dxa" w:w="1323"/>
          </w:tcPr>
          <w:p>
            <w:pPr>
              <w:spacing w:after="60" w:before="60" w:line="240" w:lineRule="auto"/>
            </w:pPr>
            <w:r>
              <w:rPr>
                <w:b w:val="0"/>
                <w:sz w:val="18"/>
              </w:rPr>
              <w:t>-36</w:t>
            </w:r>
          </w:p>
        </w:tc>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-0.58</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20%</w:t>
            </w:r>
          </w:p>
        </w:tc>
        <w:tc>
          <w:tcPr>
            <w:tcW w:type="dxa" w:w="1323"/>
          </w:tcPr>
          <w:p>
            <w:pPr>
              <w:spacing w:after="60" w:before="60" w:line="240" w:lineRule="auto"/>
            </w:pPr>
            <w:r>
              <w:rPr>
                <w:b w:val="0"/>
                <w:sz w:val="18"/>
              </w:rPr>
              <w:t>-95</w:t>
            </w:r>
          </w:p>
        </w:tc>
        <w:tc>
          <w:tcPr>
            <w:tcW w:type="dxa" w:w="1323"/>
          </w:tcPr>
          <w:p>
            <w:pPr>
              <w:spacing w:after="60" w:before="60" w:line="240" w:lineRule="auto"/>
            </w:pPr>
            <w:r>
              <w:rPr>
                <w:b w:val="0"/>
                <w:sz w:val="18"/>
              </w:rPr>
              <w:t>-9</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6</w:t>
            </w:r>
          </w:p>
        </w:tc>
        <w:tc>
          <w:tcPr>
            <w:tcW w:type="dxa" w:w="1323"/>
          </w:tcPr>
          <w:p>
            <w:pPr>
              <w:spacing w:after="60" w:before="60" w:line="240" w:lineRule="auto"/>
            </w:pPr>
            <w:r>
              <w:rPr>
                <w:b w:val="0"/>
                <w:sz w:val="18"/>
              </w:rPr>
              <w:t>-5.62</w:t>
            </w:r>
          </w:p>
        </w:tc>
      </w:tr>
    </w:tbl>
    <w:p>
      <w:pPr>
        <w:jc w:val="both"/>
      </w:pPr>
      <w:r>
        <w:t>Every difference is C minus A on the same test rows, with the same historical budget and assumed cost. Negative excess means fewer over-capacity alerts; negative TP means fewer detections, and ΔFN = −ΔTP. Loss and detection differences retain their signs rather than treating fewer alarms as intrinsically better. The complete capacity_tradeoffs file includes both workflows, all costs, all models, pooled results and the descriptive holdout.</w:t>
      </w:r>
    </w:p>
    <w:p>
      <w:pPr>
        <w:pStyle w:val="Caption"/>
      </w:pPr>
      <w:r>
        <w:t>Table A2. Supplementary pooled fixed XGBoost and batch-reference results at r=10</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157"/>
        <w:gridCol w:w="1157"/>
        <w:gridCol w:w="1157"/>
        <w:gridCol w:w="1157"/>
        <w:gridCol w:w="1157"/>
        <w:gridCol w:w="1157"/>
        <w:gridCol w:w="1157"/>
        <w:gridCol w:w="1157"/>
      </w:tblGrid>
      <w:tr>
        <w:trPr>
          <w:tblHeader/>
          <w:cantSplit/>
        </w:trPr>
        <w:tc>
          <w:tcPr>
            <w:tcW w:type="dxa" w:w="1157"/>
            <w:shd w:fill="EEEEEE"/>
          </w:tcPr>
          <w:p>
            <w:pPr>
              <w:spacing w:after="60" w:before="60" w:line="240" w:lineRule="auto"/>
            </w:pPr>
            <w:r>
              <w:rPr>
                <w:b/>
                <w:sz w:val="18"/>
              </w:rPr>
              <w:t>Rule</w:t>
            </w:r>
          </w:p>
        </w:tc>
        <w:tc>
          <w:tcPr>
            <w:tcW w:type="dxa" w:w="1157"/>
            <w:shd w:fill="EEEEEE"/>
          </w:tcPr>
          <w:p>
            <w:pPr>
              <w:spacing w:after="60" w:before="60" w:line="240" w:lineRule="auto"/>
            </w:pPr>
            <w:r>
              <w:rPr>
                <w:b/>
                <w:sz w:val="18"/>
              </w:rPr>
              <w:t>Budget</w:t>
            </w:r>
          </w:p>
        </w:tc>
        <w:tc>
          <w:tcPr>
            <w:tcW w:type="dxa" w:w="1157"/>
            <w:shd w:fill="EEEEEE"/>
          </w:tcPr>
          <w:p>
            <w:pPr>
              <w:spacing w:after="60" w:before="60" w:line="240" w:lineRule="auto"/>
            </w:pPr>
            <w:r>
              <w:rPr>
                <w:b/>
                <w:sz w:val="18"/>
              </w:rPr>
              <w:t>L100</w:t>
            </w:r>
          </w:p>
        </w:tc>
        <w:tc>
          <w:tcPr>
            <w:tcW w:type="dxa" w:w="1157"/>
            <w:shd w:fill="EEEEEE"/>
          </w:tcPr>
          <w:p>
            <w:pPr>
              <w:spacing w:after="60" w:before="60" w:line="240" w:lineRule="auto"/>
            </w:pPr>
            <w:r>
              <w:rPr>
                <w:b/>
                <w:sz w:val="18"/>
              </w:rPr>
              <w:t>Alerts</w:t>
            </w:r>
          </w:p>
        </w:tc>
        <w:tc>
          <w:tcPr>
            <w:tcW w:type="dxa" w:w="1157"/>
            <w:shd w:fill="EEEEEE"/>
          </w:tcPr>
          <w:p>
            <w:pPr>
              <w:spacing w:after="60" w:before="60" w:line="240" w:lineRule="auto"/>
            </w:pPr>
            <w:r>
              <w:rPr>
                <w:b/>
                <w:sz w:val="18"/>
              </w:rPr>
              <w:t>TP</w:t>
            </w:r>
          </w:p>
        </w:tc>
        <w:tc>
          <w:tcPr>
            <w:tcW w:type="dxa" w:w="1157"/>
            <w:shd w:fill="EEEEEE"/>
          </w:tcPr>
          <w:p>
            <w:pPr>
              <w:spacing w:after="60" w:before="60" w:line="240" w:lineRule="auto"/>
            </w:pPr>
            <w:r>
              <w:rPr>
                <w:b/>
                <w:sz w:val="18"/>
              </w:rPr>
              <w:t>FP</w:t>
            </w:r>
          </w:p>
        </w:tc>
        <w:tc>
          <w:tcPr>
            <w:tcW w:type="dxa" w:w="1157"/>
            <w:shd w:fill="EEEEEE"/>
          </w:tcPr>
          <w:p>
            <w:pPr>
              <w:spacing w:after="60" w:before="60" w:line="240" w:lineRule="auto"/>
            </w:pPr>
            <w:r>
              <w:rPr>
                <w:b/>
                <w:sz w:val="18"/>
              </w:rPr>
              <w:t>FN</w:t>
            </w:r>
          </w:p>
        </w:tc>
        <w:tc>
          <w:tcPr>
            <w:tcW w:type="dxa" w:w="1157"/>
            <w:shd w:fill="EEEEEE"/>
          </w:tcPr>
          <w:p>
            <w:pPr>
              <w:spacing w:after="60" w:before="60" w:line="240" w:lineRule="auto"/>
            </w:pPr>
            <w:r>
              <w:rPr>
                <w:b/>
                <w:sz w:val="18"/>
              </w:rPr>
              <w:t>Excess</w:t>
            </w:r>
          </w:p>
        </w:tc>
      </w:tr>
      <w:tr>
        <w:trPr>
          <w:cantSplit/>
        </w:trPr>
        <w:tc>
          <w:tcPr>
            <w:tcW w:type="dxa" w:w="1157"/>
          </w:tcPr>
          <w:p>
            <w:pPr>
              <w:spacing w:after="60" w:before="60" w:line="240" w:lineRule="auto"/>
            </w:pPr>
            <w:r>
              <w:rPr>
                <w:b w:val="0"/>
                <w:sz w:val="18"/>
              </w:rPr>
              <w:t>none</w:t>
            </w:r>
          </w:p>
        </w:tc>
        <w:tc>
          <w:tcPr>
            <w:tcW w:type="dxa" w:w="1157"/>
          </w:tcPr>
          <w:p>
            <w:pPr>
              <w:spacing w:after="60" w:before="60" w:line="240" w:lineRule="auto"/>
            </w:pPr>
            <w:r>
              <w:rPr>
                <w:b w:val="0"/>
                <w:sz w:val="18"/>
              </w:rPr>
              <w:t>—</w:t>
            </w:r>
          </w:p>
        </w:tc>
        <w:tc>
          <w:tcPr>
            <w:tcW w:type="dxa" w:w="1157"/>
          </w:tcPr>
          <w:p>
            <w:pPr>
              <w:spacing w:after="60" w:before="60" w:line="240" w:lineRule="auto"/>
            </w:pPr>
            <w:r>
              <w:rPr>
                <w:b w:val="0"/>
                <w:sz w:val="18"/>
              </w:rPr>
              <w:t>42.66</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88</w:t>
            </w:r>
          </w:p>
        </w:tc>
        <w:tc>
          <w:tcPr>
            <w:tcW w:type="dxa" w:w="1157"/>
          </w:tcPr>
          <w:p>
            <w:pPr>
              <w:spacing w:after="60" w:before="60" w:line="240" w:lineRule="auto"/>
            </w:pPr>
            <w:r>
              <w:rPr>
                <w:b w:val="0"/>
                <w:sz w:val="18"/>
              </w:rPr>
              <w:t>—</w:t>
            </w:r>
          </w:p>
        </w:tc>
      </w:tr>
      <w:tr>
        <w:trPr>
          <w:cantSplit/>
        </w:trPr>
        <w:tc>
          <w:tcPr>
            <w:tcW w:type="dxa" w:w="1157"/>
          </w:tcPr>
          <w:p>
            <w:pPr>
              <w:spacing w:after="60" w:before="60" w:line="240" w:lineRule="auto"/>
            </w:pPr>
            <w:r>
              <w:rPr>
                <w:b w:val="0"/>
                <w:sz w:val="18"/>
              </w:rPr>
              <w:t>A</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45.52</w:t>
            </w:r>
          </w:p>
        </w:tc>
        <w:tc>
          <w:tcPr>
            <w:tcW w:type="dxa" w:w="1157"/>
          </w:tcPr>
          <w:p>
            <w:pPr>
              <w:spacing w:after="60" w:before="60" w:line="240" w:lineRule="auto"/>
            </w:pPr>
            <w:r>
              <w:rPr>
                <w:b w:val="0"/>
                <w:sz w:val="18"/>
              </w:rPr>
              <w:t>59</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59</w:t>
            </w:r>
          </w:p>
        </w:tc>
        <w:tc>
          <w:tcPr>
            <w:tcW w:type="dxa" w:w="1157"/>
          </w:tcPr>
          <w:p>
            <w:pPr>
              <w:spacing w:after="60" w:before="60" w:line="240" w:lineRule="auto"/>
            </w:pPr>
            <w:r>
              <w:rPr>
                <w:b w:val="0"/>
                <w:sz w:val="18"/>
              </w:rPr>
              <w:t>88</w:t>
            </w:r>
          </w:p>
        </w:tc>
        <w:tc>
          <w:tcPr>
            <w:tcW w:type="dxa" w:w="1157"/>
          </w:tcPr>
          <w:p>
            <w:pPr>
              <w:spacing w:after="60" w:before="60" w:line="240" w:lineRule="auto"/>
            </w:pPr>
            <w:r>
              <w:rPr>
                <w:b w:val="0"/>
                <w:sz w:val="18"/>
              </w:rPr>
              <w:t>39</w:t>
            </w:r>
          </w:p>
        </w:tc>
      </w:tr>
      <w:tr>
        <w:trPr>
          <w:cantSplit/>
        </w:trPr>
        <w:tc>
          <w:tcPr>
            <w:tcW w:type="dxa" w:w="1157"/>
          </w:tcPr>
          <w:p>
            <w:pPr>
              <w:spacing w:after="60" w:before="60" w:line="240" w:lineRule="auto"/>
            </w:pPr>
            <w:r>
              <w:rPr>
                <w:b w:val="0"/>
                <w:sz w:val="18"/>
              </w:rPr>
              <w:t>A</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45.90</w:t>
            </w:r>
          </w:p>
        </w:tc>
        <w:tc>
          <w:tcPr>
            <w:tcW w:type="dxa" w:w="1157"/>
          </w:tcPr>
          <w:p>
            <w:pPr>
              <w:spacing w:after="60" w:before="60" w:line="240" w:lineRule="auto"/>
            </w:pPr>
            <w:r>
              <w:rPr>
                <w:b w:val="0"/>
                <w:sz w:val="18"/>
              </w:rPr>
              <w:t>166</w:t>
            </w:r>
          </w:p>
        </w:tc>
        <w:tc>
          <w:tcPr>
            <w:tcW w:type="dxa" w:w="1157"/>
          </w:tcPr>
          <w:p>
            <w:pPr>
              <w:spacing w:after="60" w:before="60" w:line="240" w:lineRule="auto"/>
            </w:pPr>
            <w:r>
              <w:rPr>
                <w:b w:val="0"/>
                <w:sz w:val="18"/>
              </w:rPr>
              <w:t>9</w:t>
            </w:r>
          </w:p>
        </w:tc>
        <w:tc>
          <w:tcPr>
            <w:tcW w:type="dxa" w:w="1157"/>
          </w:tcPr>
          <w:p>
            <w:pPr>
              <w:spacing w:after="60" w:before="60" w:line="240" w:lineRule="auto"/>
            </w:pPr>
            <w:r>
              <w:rPr>
                <w:b w:val="0"/>
                <w:sz w:val="18"/>
              </w:rPr>
              <w:t>157</w:t>
            </w:r>
          </w:p>
        </w:tc>
        <w:tc>
          <w:tcPr>
            <w:tcW w:type="dxa" w:w="1157"/>
          </w:tcPr>
          <w:p>
            <w:pPr>
              <w:spacing w:after="60" w:before="60" w:line="240" w:lineRule="auto"/>
            </w:pPr>
            <w:r>
              <w:rPr>
                <w:b w:val="0"/>
                <w:sz w:val="18"/>
              </w:rPr>
              <w:t>79</w:t>
            </w:r>
          </w:p>
        </w:tc>
        <w:tc>
          <w:tcPr>
            <w:tcW w:type="dxa" w:w="1157"/>
          </w:tcPr>
          <w:p>
            <w:pPr>
              <w:spacing w:after="60" w:before="60" w:line="240" w:lineRule="auto"/>
            </w:pPr>
            <w:r>
              <w:rPr>
                <w:b w:val="0"/>
                <w:sz w:val="18"/>
              </w:rPr>
              <w:t>81</w:t>
            </w:r>
          </w:p>
        </w:tc>
      </w:tr>
      <w:tr>
        <w:trPr>
          <w:cantSplit/>
        </w:trPr>
        <w:tc>
          <w:tcPr>
            <w:tcW w:type="dxa" w:w="1157"/>
          </w:tcPr>
          <w:p>
            <w:pPr>
              <w:spacing w:after="60" w:before="60" w:line="240" w:lineRule="auto"/>
            </w:pPr>
            <w:r>
              <w:rPr>
                <w:b w:val="0"/>
                <w:sz w:val="18"/>
              </w:rPr>
              <w:t>A</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47.21</w:t>
            </w:r>
          </w:p>
        </w:tc>
        <w:tc>
          <w:tcPr>
            <w:tcW w:type="dxa" w:w="1157"/>
          </w:tcPr>
          <w:p>
            <w:pPr>
              <w:spacing w:after="60" w:before="60" w:line="240" w:lineRule="auto"/>
            </w:pPr>
            <w:r>
              <w:rPr>
                <w:b w:val="0"/>
                <w:sz w:val="18"/>
              </w:rPr>
              <w:t>248</w:t>
            </w:r>
          </w:p>
        </w:tc>
        <w:tc>
          <w:tcPr>
            <w:tcW w:type="dxa" w:w="1157"/>
          </w:tcPr>
          <w:p>
            <w:pPr>
              <w:spacing w:after="60" w:before="60" w:line="240" w:lineRule="auto"/>
            </w:pPr>
            <w:r>
              <w:rPr>
                <w:b w:val="0"/>
                <w:sz w:val="18"/>
              </w:rPr>
              <w:t>14</w:t>
            </w:r>
          </w:p>
        </w:tc>
        <w:tc>
          <w:tcPr>
            <w:tcW w:type="dxa" w:w="1157"/>
          </w:tcPr>
          <w:p>
            <w:pPr>
              <w:spacing w:after="60" w:before="60" w:line="240" w:lineRule="auto"/>
            </w:pPr>
            <w:r>
              <w:rPr>
                <w:b w:val="0"/>
                <w:sz w:val="18"/>
              </w:rPr>
              <w:t>234</w:t>
            </w:r>
          </w:p>
        </w:tc>
        <w:tc>
          <w:tcPr>
            <w:tcW w:type="dxa" w:w="1157"/>
          </w:tcPr>
          <w:p>
            <w:pPr>
              <w:spacing w:after="60" w:before="60" w:line="240" w:lineRule="auto"/>
            </w:pPr>
            <w:r>
              <w:rPr>
                <w:b w:val="0"/>
                <w:sz w:val="18"/>
              </w:rPr>
              <w:t>74</w:t>
            </w:r>
          </w:p>
        </w:tc>
        <w:tc>
          <w:tcPr>
            <w:tcW w:type="dxa" w:w="1157"/>
          </w:tcPr>
          <w:p>
            <w:pPr>
              <w:spacing w:after="60" w:before="60" w:line="240" w:lineRule="auto"/>
            </w:pPr>
            <w:r>
              <w:rPr>
                <w:b w:val="0"/>
                <w:sz w:val="18"/>
              </w:rPr>
              <w:t>84</w:t>
            </w:r>
          </w:p>
        </w:tc>
      </w:tr>
      <w:tr>
        <w:trPr>
          <w:cantSplit/>
        </w:trPr>
        <w:tc>
          <w:tcPr>
            <w:tcW w:type="dxa" w:w="1157"/>
          </w:tcPr>
          <w:p>
            <w:pPr>
              <w:spacing w:after="60" w:before="60" w:line="240" w:lineRule="auto"/>
            </w:pPr>
            <w:r>
              <w:rPr>
                <w:b w:val="0"/>
                <w:sz w:val="18"/>
              </w:rPr>
              <w:t>A</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56.33</w:t>
            </w:r>
          </w:p>
        </w:tc>
        <w:tc>
          <w:tcPr>
            <w:tcW w:type="dxa" w:w="1157"/>
          </w:tcPr>
          <w:p>
            <w:pPr>
              <w:spacing w:after="60" w:before="60" w:line="240" w:lineRule="auto"/>
            </w:pPr>
            <w:r>
              <w:rPr>
                <w:b w:val="0"/>
                <w:sz w:val="18"/>
              </w:rPr>
              <w:t>557</w:t>
            </w:r>
          </w:p>
        </w:tc>
        <w:tc>
          <w:tcPr>
            <w:tcW w:type="dxa" w:w="1157"/>
          </w:tcPr>
          <w:p>
            <w:pPr>
              <w:spacing w:after="60" w:before="60" w:line="240" w:lineRule="auto"/>
            </w:pPr>
            <w:r>
              <w:rPr>
                <w:b w:val="0"/>
                <w:sz w:val="18"/>
              </w:rPr>
              <w:t>25</w:t>
            </w:r>
          </w:p>
        </w:tc>
        <w:tc>
          <w:tcPr>
            <w:tcW w:type="dxa" w:w="1157"/>
          </w:tcPr>
          <w:p>
            <w:pPr>
              <w:spacing w:after="60" w:before="60" w:line="240" w:lineRule="auto"/>
            </w:pPr>
            <w:r>
              <w:rPr>
                <w:b w:val="0"/>
                <w:sz w:val="18"/>
              </w:rPr>
              <w:t>532</w:t>
            </w:r>
          </w:p>
        </w:tc>
        <w:tc>
          <w:tcPr>
            <w:tcW w:type="dxa" w:w="1157"/>
          </w:tcPr>
          <w:p>
            <w:pPr>
              <w:spacing w:after="60" w:before="60" w:line="240" w:lineRule="auto"/>
            </w:pPr>
            <w:r>
              <w:rPr>
                <w:b w:val="0"/>
                <w:sz w:val="18"/>
              </w:rPr>
              <w:t>63</w:t>
            </w:r>
          </w:p>
        </w:tc>
        <w:tc>
          <w:tcPr>
            <w:tcW w:type="dxa" w:w="1157"/>
          </w:tcPr>
          <w:p>
            <w:pPr>
              <w:spacing w:after="60" w:before="60" w:line="240" w:lineRule="auto"/>
            </w:pPr>
            <w:r>
              <w:rPr>
                <w:b w:val="0"/>
                <w:sz w:val="18"/>
              </w:rPr>
              <w:t>227</w:t>
            </w:r>
          </w:p>
        </w:tc>
      </w:tr>
      <w:tr>
        <w:trPr>
          <w:cantSplit/>
        </w:trPr>
        <w:tc>
          <w:tcPr>
            <w:tcW w:type="dxa" w:w="1157"/>
          </w:tcPr>
          <w:p>
            <w:pPr>
              <w:spacing w:after="60" w:before="60" w:line="240" w:lineRule="auto"/>
            </w:pPr>
            <w:r>
              <w:rPr>
                <w:b w:val="0"/>
                <w:sz w:val="18"/>
              </w:rPr>
              <w:t>C</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42.66</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88</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C</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43.33</w:t>
            </w:r>
          </w:p>
        </w:tc>
        <w:tc>
          <w:tcPr>
            <w:tcW w:type="dxa" w:w="1157"/>
          </w:tcPr>
          <w:p>
            <w:pPr>
              <w:spacing w:after="60" w:before="60" w:line="240" w:lineRule="auto"/>
            </w:pPr>
            <w:r>
              <w:rPr>
                <w:b w:val="0"/>
                <w:sz w:val="18"/>
              </w:rPr>
              <w:t>25</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24</w:t>
            </w:r>
          </w:p>
        </w:tc>
        <w:tc>
          <w:tcPr>
            <w:tcW w:type="dxa" w:w="1157"/>
          </w:tcPr>
          <w:p>
            <w:pPr>
              <w:spacing w:after="60" w:before="60" w:line="240" w:lineRule="auto"/>
            </w:pPr>
            <w:r>
              <w:rPr>
                <w:b w:val="0"/>
                <w:sz w:val="18"/>
              </w:rPr>
              <w:t>87</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C</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43.48</w:t>
            </w:r>
          </w:p>
        </w:tc>
        <w:tc>
          <w:tcPr>
            <w:tcW w:type="dxa" w:w="1157"/>
          </w:tcPr>
          <w:p>
            <w:pPr>
              <w:spacing w:after="60" w:before="60" w:line="240" w:lineRule="auto"/>
            </w:pPr>
            <w:r>
              <w:rPr>
                <w:b w:val="0"/>
                <w:sz w:val="18"/>
              </w:rPr>
              <w:t>28</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27</w:t>
            </w:r>
          </w:p>
        </w:tc>
        <w:tc>
          <w:tcPr>
            <w:tcW w:type="dxa" w:w="1157"/>
          </w:tcPr>
          <w:p>
            <w:pPr>
              <w:spacing w:after="60" w:before="60" w:line="240" w:lineRule="auto"/>
            </w:pPr>
            <w:r>
              <w:rPr>
                <w:b w:val="0"/>
                <w:sz w:val="18"/>
              </w:rPr>
              <w:t>87</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C</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43.24</w:t>
            </w:r>
          </w:p>
        </w:tc>
        <w:tc>
          <w:tcPr>
            <w:tcW w:type="dxa" w:w="1157"/>
          </w:tcPr>
          <w:p>
            <w:pPr>
              <w:spacing w:after="60" w:before="60" w:line="240" w:lineRule="auto"/>
            </w:pPr>
            <w:r>
              <w:rPr>
                <w:b w:val="0"/>
                <w:sz w:val="18"/>
              </w:rPr>
              <w:t>34</w:t>
            </w:r>
          </w:p>
        </w:tc>
        <w:tc>
          <w:tcPr>
            <w:tcW w:type="dxa" w:w="1157"/>
          </w:tcPr>
          <w:p>
            <w:pPr>
              <w:spacing w:after="60" w:before="60" w:line="240" w:lineRule="auto"/>
            </w:pPr>
            <w:r>
              <w:rPr>
                <w:b w:val="0"/>
                <w:sz w:val="18"/>
              </w:rPr>
              <w:t>2</w:t>
            </w:r>
          </w:p>
        </w:tc>
        <w:tc>
          <w:tcPr>
            <w:tcW w:type="dxa" w:w="1157"/>
          </w:tcPr>
          <w:p>
            <w:pPr>
              <w:spacing w:after="60" w:before="60" w:line="240" w:lineRule="auto"/>
            </w:pPr>
            <w:r>
              <w:rPr>
                <w:b w:val="0"/>
                <w:sz w:val="18"/>
              </w:rPr>
              <w:t>32</w:t>
            </w:r>
          </w:p>
        </w:tc>
        <w:tc>
          <w:tcPr>
            <w:tcW w:type="dxa" w:w="1157"/>
          </w:tcPr>
          <w:p>
            <w:pPr>
              <w:spacing w:after="60" w:before="60" w:line="240" w:lineRule="auto"/>
            </w:pPr>
            <w:r>
              <w:rPr>
                <w:b w:val="0"/>
                <w:sz w:val="18"/>
              </w:rPr>
              <w:t>86</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TopK</w:t>
            </w:r>
          </w:p>
        </w:tc>
        <w:tc>
          <w:tcPr>
            <w:tcW w:type="dxa" w:w="1157"/>
          </w:tcPr>
          <w:p>
            <w:pPr>
              <w:spacing w:after="60" w:before="60" w:line="240" w:lineRule="auto"/>
            </w:pPr>
            <w:r>
              <w:rPr>
                <w:b w:val="0"/>
                <w:sz w:val="18"/>
              </w:rPr>
              <w:t>1%</w:t>
            </w:r>
          </w:p>
        </w:tc>
        <w:tc>
          <w:tcPr>
            <w:tcW w:type="dxa" w:w="1157"/>
          </w:tcPr>
          <w:p>
            <w:pPr>
              <w:spacing w:after="60" w:before="60" w:line="240" w:lineRule="auto"/>
            </w:pPr>
            <w:r>
              <w:rPr>
                <w:b w:val="0"/>
                <w:sz w:val="18"/>
              </w:rPr>
              <w:t>43.63</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0</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88</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TopK</w:t>
            </w:r>
          </w:p>
        </w:tc>
        <w:tc>
          <w:tcPr>
            <w:tcW w:type="dxa" w:w="1157"/>
          </w:tcPr>
          <w:p>
            <w:pPr>
              <w:spacing w:after="60" w:before="60" w:line="240" w:lineRule="auto"/>
            </w:pPr>
            <w:r>
              <w:rPr>
                <w:b w:val="0"/>
                <w:sz w:val="18"/>
              </w:rPr>
              <w:t>5%</w:t>
            </w:r>
          </w:p>
        </w:tc>
        <w:tc>
          <w:tcPr>
            <w:tcW w:type="dxa" w:w="1157"/>
          </w:tcPr>
          <w:p>
            <w:pPr>
              <w:spacing w:after="60" w:before="60" w:line="240" w:lineRule="auto"/>
            </w:pPr>
            <w:r>
              <w:rPr>
                <w:b w:val="0"/>
                <w:sz w:val="18"/>
              </w:rPr>
              <w:t>43.77</w:t>
            </w:r>
          </w:p>
        </w:tc>
        <w:tc>
          <w:tcPr>
            <w:tcW w:type="dxa" w:w="1157"/>
          </w:tcPr>
          <w:p>
            <w:pPr>
              <w:spacing w:after="60" w:before="60" w:line="240" w:lineRule="auto"/>
            </w:pPr>
            <w:r>
              <w:rPr>
                <w:b w:val="0"/>
                <w:sz w:val="18"/>
              </w:rPr>
              <w:t>100</w:t>
            </w:r>
          </w:p>
        </w:tc>
        <w:tc>
          <w:tcPr>
            <w:tcW w:type="dxa" w:w="1157"/>
          </w:tcPr>
          <w:p>
            <w:pPr>
              <w:spacing w:after="60" w:before="60" w:line="240" w:lineRule="auto"/>
            </w:pPr>
            <w:r>
              <w:rPr>
                <w:b w:val="0"/>
                <w:sz w:val="18"/>
              </w:rPr>
              <w:t>7</w:t>
            </w:r>
          </w:p>
        </w:tc>
        <w:tc>
          <w:tcPr>
            <w:tcW w:type="dxa" w:w="1157"/>
          </w:tcPr>
          <w:p>
            <w:pPr>
              <w:spacing w:after="60" w:before="60" w:line="240" w:lineRule="auto"/>
            </w:pPr>
            <w:r>
              <w:rPr>
                <w:b w:val="0"/>
                <w:sz w:val="18"/>
              </w:rPr>
              <w:t>93</w:t>
            </w:r>
          </w:p>
        </w:tc>
        <w:tc>
          <w:tcPr>
            <w:tcW w:type="dxa" w:w="1157"/>
          </w:tcPr>
          <w:p>
            <w:pPr>
              <w:spacing w:after="60" w:before="60" w:line="240" w:lineRule="auto"/>
            </w:pPr>
            <w:r>
              <w:rPr>
                <w:b w:val="0"/>
                <w:sz w:val="18"/>
              </w:rPr>
              <w:t>81</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TopK</w:t>
            </w:r>
          </w:p>
        </w:tc>
        <w:tc>
          <w:tcPr>
            <w:tcW w:type="dxa" w:w="1157"/>
          </w:tcPr>
          <w:p>
            <w:pPr>
              <w:spacing w:after="60" w:before="60" w:line="240" w:lineRule="auto"/>
            </w:pPr>
            <w:r>
              <w:rPr>
                <w:b w:val="0"/>
                <w:sz w:val="18"/>
              </w:rPr>
              <w:t>10%</w:t>
            </w:r>
          </w:p>
        </w:tc>
        <w:tc>
          <w:tcPr>
            <w:tcW w:type="dxa" w:w="1157"/>
          </w:tcPr>
          <w:p>
            <w:pPr>
              <w:spacing w:after="60" w:before="60" w:line="240" w:lineRule="auto"/>
            </w:pPr>
            <w:r>
              <w:rPr>
                <w:b w:val="0"/>
                <w:sz w:val="18"/>
              </w:rPr>
              <w:t>45.08</w:t>
            </w:r>
          </w:p>
        </w:tc>
        <w:tc>
          <w:tcPr>
            <w:tcW w:type="dxa" w:w="1157"/>
          </w:tcPr>
          <w:p>
            <w:pPr>
              <w:spacing w:after="60" w:before="60" w:line="240" w:lineRule="auto"/>
            </w:pPr>
            <w:r>
              <w:rPr>
                <w:b w:val="0"/>
                <w:sz w:val="18"/>
              </w:rPr>
              <w:t>204</w:t>
            </w:r>
          </w:p>
        </w:tc>
        <w:tc>
          <w:tcPr>
            <w:tcW w:type="dxa" w:w="1157"/>
          </w:tcPr>
          <w:p>
            <w:pPr>
              <w:spacing w:after="60" w:before="60" w:line="240" w:lineRule="auto"/>
            </w:pPr>
            <w:r>
              <w:rPr>
                <w:b w:val="0"/>
                <w:sz w:val="18"/>
              </w:rPr>
              <w:t>14</w:t>
            </w:r>
          </w:p>
        </w:tc>
        <w:tc>
          <w:tcPr>
            <w:tcW w:type="dxa" w:w="1157"/>
          </w:tcPr>
          <w:p>
            <w:pPr>
              <w:spacing w:after="60" w:before="60" w:line="240" w:lineRule="auto"/>
            </w:pPr>
            <w:r>
              <w:rPr>
                <w:b w:val="0"/>
                <w:sz w:val="18"/>
              </w:rPr>
              <w:t>190</w:t>
            </w:r>
          </w:p>
        </w:tc>
        <w:tc>
          <w:tcPr>
            <w:tcW w:type="dxa" w:w="1157"/>
          </w:tcPr>
          <w:p>
            <w:pPr>
              <w:spacing w:after="60" w:before="60" w:line="240" w:lineRule="auto"/>
            </w:pPr>
            <w:r>
              <w:rPr>
                <w:b w:val="0"/>
                <w:sz w:val="18"/>
              </w:rPr>
              <w:t>74</w:t>
            </w:r>
          </w:p>
        </w:tc>
        <w:tc>
          <w:tcPr>
            <w:tcW w:type="dxa" w:w="1157"/>
          </w:tcPr>
          <w:p>
            <w:pPr>
              <w:spacing w:after="60" w:before="60" w:line="240" w:lineRule="auto"/>
            </w:pPr>
            <w:r>
              <w:rPr>
                <w:b w:val="0"/>
                <w:sz w:val="18"/>
              </w:rPr>
              <w:t>0</w:t>
            </w:r>
          </w:p>
        </w:tc>
      </w:tr>
      <w:tr>
        <w:trPr>
          <w:cantSplit/>
        </w:trPr>
        <w:tc>
          <w:tcPr>
            <w:tcW w:type="dxa" w:w="1157"/>
          </w:tcPr>
          <w:p>
            <w:pPr>
              <w:spacing w:after="60" w:before="60" w:line="240" w:lineRule="auto"/>
            </w:pPr>
            <w:r>
              <w:rPr>
                <w:b w:val="0"/>
                <w:sz w:val="18"/>
              </w:rPr>
              <w:t>TopK</w:t>
            </w:r>
          </w:p>
        </w:tc>
        <w:tc>
          <w:tcPr>
            <w:tcW w:type="dxa" w:w="1157"/>
          </w:tcPr>
          <w:p>
            <w:pPr>
              <w:spacing w:after="60" w:before="60" w:line="240" w:lineRule="auto"/>
            </w:pPr>
            <w:r>
              <w:rPr>
                <w:b w:val="0"/>
                <w:sz w:val="18"/>
              </w:rPr>
              <w:t>20%</w:t>
            </w:r>
          </w:p>
        </w:tc>
        <w:tc>
          <w:tcPr>
            <w:tcW w:type="dxa" w:w="1157"/>
          </w:tcPr>
          <w:p>
            <w:pPr>
              <w:spacing w:after="60" w:before="60" w:line="240" w:lineRule="auto"/>
            </w:pPr>
            <w:r>
              <w:rPr>
                <w:b w:val="0"/>
                <w:sz w:val="18"/>
              </w:rPr>
              <w:t>46.05</w:t>
            </w:r>
          </w:p>
        </w:tc>
        <w:tc>
          <w:tcPr>
            <w:tcW w:type="dxa" w:w="1157"/>
          </w:tcPr>
          <w:p>
            <w:pPr>
              <w:spacing w:after="60" w:before="60" w:line="240" w:lineRule="auto"/>
            </w:pPr>
            <w:r>
              <w:rPr>
                <w:b w:val="0"/>
                <w:sz w:val="18"/>
              </w:rPr>
              <w:t>411</w:t>
            </w:r>
          </w:p>
        </w:tc>
        <w:tc>
          <w:tcPr>
            <w:tcW w:type="dxa" w:w="1157"/>
          </w:tcPr>
          <w:p>
            <w:pPr>
              <w:spacing w:after="60" w:before="60" w:line="240" w:lineRule="auto"/>
            </w:pPr>
            <w:r>
              <w:rPr>
                <w:b w:val="0"/>
                <w:sz w:val="18"/>
              </w:rPr>
              <w:t>31</w:t>
            </w:r>
          </w:p>
        </w:tc>
        <w:tc>
          <w:tcPr>
            <w:tcW w:type="dxa" w:w="1157"/>
          </w:tcPr>
          <w:p>
            <w:pPr>
              <w:spacing w:after="60" w:before="60" w:line="240" w:lineRule="auto"/>
            </w:pPr>
            <w:r>
              <w:rPr>
                <w:b w:val="0"/>
                <w:sz w:val="18"/>
              </w:rPr>
              <w:t>380</w:t>
            </w:r>
          </w:p>
        </w:tc>
        <w:tc>
          <w:tcPr>
            <w:tcW w:type="dxa" w:w="1157"/>
          </w:tcPr>
          <w:p>
            <w:pPr>
              <w:spacing w:after="60" w:before="60" w:line="240" w:lineRule="auto"/>
            </w:pPr>
            <w:r>
              <w:rPr>
                <w:b w:val="0"/>
                <w:sz w:val="18"/>
              </w:rPr>
              <w:t>57</w:t>
            </w:r>
          </w:p>
        </w:tc>
        <w:tc>
          <w:tcPr>
            <w:tcW w:type="dxa" w:w="1157"/>
          </w:tcPr>
          <w:p>
            <w:pPr>
              <w:spacing w:after="60" w:before="60" w:line="240" w:lineRule="auto"/>
            </w:pPr>
            <w:r>
              <w:rPr>
                <w:b w:val="0"/>
                <w:sz w:val="18"/>
              </w:rPr>
              <w:t>0</w:t>
            </w:r>
          </w:p>
        </w:tc>
      </w:tr>
    </w:tbl>
    <w:p>
      <w:pPr>
        <w:jc w:val="both"/>
      </w:pPr>
      <w:r>
        <w:t>The pooled cohort has 2,063 records and 88 hazardous shifts. Table A2 supplies a common cost scale for retrospective batch ranking. Capacity excess sums stage-specific counts. A and Top-k selections do not depend on r; Table 3 additionally presents the unconstrained cost rule B and no-alarm loss differences.</w:t>
      </w:r>
    </w:p>
    <w:p>
      <w:pPr>
        <w:pStyle w:val="Heading1"/>
        <w:pageBreakBefore/>
      </w:pPr>
      <w:r>
        <w:t>Appendix B Refitting and pooled prior shift</w:t>
      </w:r>
    </w:p>
    <w:p>
      <w:pPr>
        <w:pStyle w:val="Caption"/>
      </w:pPr>
      <w:r>
        <w:t>Table A3. Phase-specific XGBoost A/B/C refitting with historical threshold groups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323"/>
        <w:gridCol w:w="1323"/>
        <w:gridCol w:w="1323"/>
        <w:gridCol w:w="1323"/>
        <w:gridCol w:w="1323"/>
        <w:gridCol w:w="1323"/>
        <w:gridCol w:w="1323"/>
      </w:tblGrid>
      <w:tr>
        <w:trPr>
          <w:tblHeader/>
          <w:cantSplit/>
        </w:trPr>
        <w:tc>
          <w:tcPr>
            <w:tcW w:type="dxa" w:w="1323"/>
            <w:shd w:fill="EEEEEE"/>
          </w:tcPr>
          <w:p>
            <w:pPr>
              <w:spacing w:after="60" w:before="60" w:line="240" w:lineRule="auto"/>
            </w:pPr>
            <w:r>
              <w:rPr>
                <w:b/>
                <w:sz w:val="18"/>
              </w:rPr>
              <w:t>Phase</w:t>
            </w:r>
          </w:p>
        </w:tc>
        <w:tc>
          <w:tcPr>
            <w:tcW w:type="dxa" w:w="1323"/>
            <w:shd w:fill="EEEEEE"/>
          </w:tcPr>
          <w:p>
            <w:pPr>
              <w:spacing w:after="60" w:before="60" w:line="240" w:lineRule="auto"/>
            </w:pPr>
            <w:r>
              <w:rPr>
                <w:b/>
                <w:sz w:val="18"/>
              </w:rPr>
              <w:t>Rule</w:t>
            </w:r>
          </w:p>
        </w:tc>
        <w:tc>
          <w:tcPr>
            <w:tcW w:type="dxa" w:w="1323"/>
            <w:shd w:fill="EEEEEE"/>
          </w:tcPr>
          <w:p>
            <w:pPr>
              <w:spacing w:after="60" w:before="60" w:line="240" w:lineRule="auto"/>
            </w:pPr>
            <w:r>
              <w:rPr>
                <w:b/>
                <w:sz w:val="18"/>
              </w:rPr>
              <w:t>Finite</w:t>
            </w:r>
          </w:p>
        </w:tc>
        <w:tc>
          <w:tcPr>
            <w:tcW w:type="dxa" w:w="1323"/>
            <w:shd w:fill="EEEEEE"/>
          </w:tcPr>
          <w:p>
            <w:pPr>
              <w:spacing w:after="60" w:before="60" w:line="240" w:lineRule="auto"/>
            </w:pPr>
            <w:r>
              <w:rPr>
                <w:b/>
                <w:sz w:val="18"/>
              </w:rPr>
              <w:t>+∞</w:t>
            </w:r>
          </w:p>
        </w:tc>
        <w:tc>
          <w:tcPr>
            <w:tcW w:type="dxa" w:w="1323"/>
            <w:shd w:fill="EEEEEE"/>
          </w:tcPr>
          <w:p>
            <w:pPr>
              <w:spacing w:after="60" w:before="60" w:line="240" w:lineRule="auto"/>
            </w:pPr>
            <w:r>
              <w:rPr>
                <w:b/>
                <w:sz w:val="18"/>
              </w:rPr>
              <w:t>−∞</w:t>
            </w:r>
          </w:p>
        </w:tc>
        <w:tc>
          <w:tcPr>
            <w:tcW w:type="dxa" w:w="1323"/>
            <w:shd w:fill="EEEEEE"/>
          </w:tcPr>
          <w:p>
            <w:pPr>
              <w:spacing w:after="60" w:before="60" w:line="240" w:lineRule="auto"/>
            </w:pPr>
            <w:r>
              <w:rPr>
                <w:b/>
                <w:sz w:val="18"/>
              </w:rPr>
              <w:t>Finite ΔL100 range</w:t>
            </w:r>
          </w:p>
        </w:tc>
        <w:tc>
          <w:tcPr>
            <w:tcW w:type="dxa" w:w="1323"/>
            <w:shd w:fill="EEEEEE"/>
          </w:tcPr>
          <w:p>
            <w:pPr>
              <w:spacing w:after="60" w:before="60" w:line="240" w:lineRule="auto"/>
            </w:pPr>
            <w:r>
              <w:rPr>
                <w:b/>
                <w:sz w:val="18"/>
              </w:rPr>
              <w:t>Finite Δ alerts</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-1.16 to 17.05</w:t>
            </w:r>
          </w:p>
        </w:tc>
        <w:tc>
          <w:tcPr>
            <w:tcW w:type="dxa" w:w="1323"/>
          </w:tcPr>
          <w:p>
            <w:pPr>
              <w:spacing w:after="60" w:before="60" w:line="240" w:lineRule="auto"/>
            </w:pPr>
            <w:r>
              <w:rPr>
                <w:b w:val="0"/>
                <w:sz w:val="18"/>
              </w:rPr>
              <w:t>-14 to -4</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B</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-1.36 to 18.80</w:t>
            </w:r>
          </w:p>
        </w:tc>
        <w:tc>
          <w:tcPr>
            <w:tcW w:type="dxa" w:w="1323"/>
          </w:tcPr>
          <w:p>
            <w:pPr>
              <w:spacing w:after="60" w:before="60" w:line="240" w:lineRule="auto"/>
            </w:pPr>
            <w:r>
              <w:rPr>
                <w:b w:val="0"/>
                <w:sz w:val="18"/>
              </w:rPr>
              <w:t>-25 to 119</w:t>
            </w:r>
          </w:p>
        </w:tc>
      </w:tr>
      <w:tr>
        <w:trPr>
          <w:cantSplit/>
        </w:trPr>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12</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-1.16 to 7.75</w:t>
            </w:r>
          </w:p>
        </w:tc>
        <w:tc>
          <w:tcPr>
            <w:tcW w:type="dxa" w:w="1323"/>
          </w:tcPr>
          <w:p>
            <w:pPr>
              <w:spacing w:after="60" w:before="60" w:line="240" w:lineRule="auto"/>
            </w:pPr>
            <w:r>
              <w:rPr>
                <w:b w:val="0"/>
                <w:sz w:val="18"/>
              </w:rPr>
              <w:t>-11 to -4</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-18.83 to 11.84</w:t>
            </w:r>
          </w:p>
        </w:tc>
        <w:tc>
          <w:tcPr>
            <w:tcW w:type="dxa" w:w="1323"/>
          </w:tcPr>
          <w:p>
            <w:pPr>
              <w:spacing w:after="60" w:before="60" w:line="240" w:lineRule="auto"/>
            </w:pPr>
            <w:r>
              <w:rPr>
                <w:b w:val="0"/>
                <w:sz w:val="18"/>
              </w:rPr>
              <w:t>-97 to -6</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B</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w:t>
            </w:r>
          </w:p>
        </w:tc>
        <w:tc>
          <w:tcPr>
            <w:tcW w:type="dxa" w:w="1323"/>
          </w:tcPr>
          <w:p>
            <w:pPr>
              <w:spacing w:after="60" w:before="60" w:line="240" w:lineRule="auto"/>
            </w:pPr>
            <w:r>
              <w:rPr>
                <w:b w:val="0"/>
                <w:sz w:val="18"/>
              </w:rPr>
              <w:t>—</w:t>
            </w:r>
          </w:p>
        </w:tc>
      </w:tr>
      <w:tr>
        <w:trPr>
          <w:cantSplit/>
        </w:trPr>
        <w:tc>
          <w:tcPr>
            <w:tcW w:type="dxa" w:w="1323"/>
          </w:tcPr>
          <w:p>
            <w:pPr>
              <w:spacing w:after="60" w:before="60" w:line="240" w:lineRule="auto"/>
            </w:pPr>
            <w:r>
              <w:rPr>
                <w:b w:val="0"/>
                <w:sz w:val="18"/>
              </w:rPr>
              <w:t>2</w:t>
            </w:r>
          </w:p>
        </w:tc>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16</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w:t>
            </w:r>
          </w:p>
        </w:tc>
        <w:tc>
          <w:tcPr>
            <w:tcW w:type="dxa" w:w="1323"/>
          </w:tcPr>
          <w:p>
            <w:pPr>
              <w:spacing w:after="60" w:before="60" w:line="240" w:lineRule="auto"/>
            </w:pPr>
            <w:r>
              <w:rPr>
                <w:b w:val="0"/>
                <w:sz w:val="18"/>
              </w:rPr>
              <w:t>—</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-13.76 to 18.22</w:t>
            </w:r>
          </w:p>
        </w:tc>
        <w:tc>
          <w:tcPr>
            <w:tcW w:type="dxa" w:w="1323"/>
          </w:tcPr>
          <w:p>
            <w:pPr>
              <w:spacing w:after="60" w:before="60" w:line="240" w:lineRule="auto"/>
            </w:pPr>
            <w:r>
              <w:rPr>
                <w:b w:val="0"/>
                <w:sz w:val="18"/>
              </w:rPr>
              <w:t>-8 to 82</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B</w:t>
            </w:r>
          </w:p>
        </w:tc>
        <w:tc>
          <w:tcPr>
            <w:tcW w:type="dxa" w:w="1323"/>
          </w:tcPr>
          <w:p>
            <w:pPr>
              <w:spacing w:after="60" w:before="60" w:line="240" w:lineRule="auto"/>
            </w:pPr>
            <w:r>
              <w:rPr>
                <w:b w:val="0"/>
                <w:sz w:val="18"/>
              </w:rPr>
              <w:t>1</w:t>
            </w:r>
          </w:p>
        </w:tc>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-17.64</w:t>
            </w:r>
          </w:p>
        </w:tc>
        <w:tc>
          <w:tcPr>
            <w:tcW w:type="dxa" w:w="1323"/>
          </w:tcPr>
          <w:p>
            <w:pPr>
              <w:spacing w:after="60" w:before="60" w:line="240" w:lineRule="auto"/>
            </w:pPr>
            <w:r>
              <w:rPr>
                <w:b w:val="0"/>
                <w:sz w:val="18"/>
              </w:rPr>
              <w:t>62 to 62</w:t>
            </w:r>
          </w:p>
        </w:tc>
      </w:tr>
      <w:tr>
        <w:trPr>
          <w:cantSplit/>
        </w:trPr>
        <w:tc>
          <w:tcPr>
            <w:tcW w:type="dxa" w:w="1323"/>
          </w:tcPr>
          <w:p>
            <w:pPr>
              <w:spacing w:after="60" w:before="60" w:line="240" w:lineRule="auto"/>
            </w:pPr>
            <w:r>
              <w:rPr>
                <w:b w:val="0"/>
                <w:sz w:val="18"/>
              </w:rPr>
              <w:t>3</w:t>
            </w:r>
          </w:p>
        </w:tc>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16</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w:t>
            </w:r>
          </w:p>
        </w:tc>
        <w:tc>
          <w:tcPr>
            <w:tcW w:type="dxa" w:w="1323"/>
          </w:tcPr>
          <w:p>
            <w:pPr>
              <w:spacing w:after="60" w:before="60" w:line="240" w:lineRule="auto"/>
            </w:pPr>
            <w:r>
              <w:rPr>
                <w:b w:val="0"/>
                <w:sz w:val="18"/>
              </w:rPr>
              <w:t>—</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A</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-5.23 to 3.49</w:t>
            </w:r>
          </w:p>
        </w:tc>
        <w:tc>
          <w:tcPr>
            <w:tcW w:type="dxa" w:w="1323"/>
          </w:tcPr>
          <w:p>
            <w:pPr>
              <w:spacing w:after="60" w:before="60" w:line="240" w:lineRule="auto"/>
            </w:pPr>
            <w:r>
              <w:rPr>
                <w:b w:val="0"/>
                <w:sz w:val="18"/>
              </w:rPr>
              <w:t>-5 to 24</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B</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-1.36 to 0.58</w:t>
            </w:r>
          </w:p>
        </w:tc>
        <w:tc>
          <w:tcPr>
            <w:tcW w:type="dxa" w:w="1323"/>
          </w:tcPr>
          <w:p>
            <w:pPr>
              <w:spacing w:after="60" w:before="60" w:line="240" w:lineRule="auto"/>
            </w:pPr>
            <w:r>
              <w:rPr>
                <w:b w:val="0"/>
                <w:sz w:val="18"/>
              </w:rPr>
              <w:t>-7 to 66</w:t>
            </w:r>
          </w:p>
        </w:tc>
      </w:tr>
      <w:tr>
        <w:trPr>
          <w:cantSplit/>
        </w:trPr>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C</w:t>
            </w:r>
          </w:p>
        </w:tc>
        <w:tc>
          <w:tcPr>
            <w:tcW w:type="dxa" w:w="1323"/>
          </w:tcPr>
          <w:p>
            <w:pPr>
              <w:spacing w:after="60" w:before="60" w:line="240" w:lineRule="auto"/>
            </w:pPr>
            <w:r>
              <w:rPr>
                <w:b w:val="0"/>
                <w:sz w:val="18"/>
              </w:rPr>
              <w:t>12</w:t>
            </w:r>
          </w:p>
        </w:tc>
        <w:tc>
          <w:tcPr>
            <w:tcW w:type="dxa" w:w="1323"/>
          </w:tcPr>
          <w:p>
            <w:pPr>
              <w:spacing w:after="60" w:before="60" w:line="240" w:lineRule="auto"/>
            </w:pPr>
            <w:r>
              <w:rPr>
                <w:b w:val="0"/>
                <w:sz w:val="18"/>
              </w:rPr>
              <w:t>4</w:t>
            </w:r>
          </w:p>
        </w:tc>
        <w:tc>
          <w:tcPr>
            <w:tcW w:type="dxa" w:w="1323"/>
          </w:tcPr>
          <w:p>
            <w:pPr>
              <w:spacing w:after="60" w:before="60" w:line="240" w:lineRule="auto"/>
            </w:pPr>
            <w:r>
              <w:rPr>
                <w:b w:val="0"/>
                <w:sz w:val="18"/>
              </w:rPr>
              <w:t>0</w:t>
            </w:r>
          </w:p>
        </w:tc>
        <w:tc>
          <w:tcPr>
            <w:tcW w:type="dxa" w:w="1323"/>
          </w:tcPr>
          <w:p>
            <w:pPr>
              <w:spacing w:after="60" w:before="60" w:line="240" w:lineRule="auto"/>
            </w:pPr>
            <w:r>
              <w:rPr>
                <w:b w:val="0"/>
                <w:sz w:val="18"/>
              </w:rPr>
              <w:t>-11.05 to 0.39</w:t>
            </w:r>
          </w:p>
        </w:tc>
        <w:tc>
          <w:tcPr>
            <w:tcW w:type="dxa" w:w="1323"/>
          </w:tcPr>
          <w:p>
            <w:pPr>
              <w:spacing w:after="60" w:before="60" w:line="240" w:lineRule="auto"/>
            </w:pPr>
            <w:r>
              <w:rPr>
                <w:b w:val="0"/>
                <w:sz w:val="18"/>
              </w:rPr>
              <w:t>-6 to 2</w:t>
            </w:r>
          </w:p>
        </w:tc>
      </w:tr>
    </w:tbl>
    <w:p>
      <w:pPr>
        <w:jc w:val="both"/>
      </w:pPr>
      <w:r>
        <w:t>Groups follow historical threshold choices and retain zero changes. Extreme rules have invariant decisions. refit_transfer.csv contains all 540 A/B/C contrasts across three models, four phases and the descriptive holdout; comparisons.csv retains the original primary-cohort paired intervals.</w:t>
      </w:r>
    </w:p>
    <w:p>
      <w:pPr>
        <w:pStyle w:val="Caption"/>
      </w:pPr>
      <w:r>
        <w:t>Table A4. Pooled expected absolute C loss per 100 across four historical budgets</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852"/>
        <w:gridCol w:w="1852"/>
        <w:gridCol w:w="1852"/>
        <w:gridCol w:w="1852"/>
        <w:gridCol w:w="1852"/>
      </w:tblGrid>
      <w:tr>
        <w:trPr>
          <w:tblHeader/>
          <w:cantSplit/>
        </w:trPr>
        <w:tc>
          <w:tcPr>
            <w:tcW w:type="dxa" w:w="1852"/>
            <w:shd w:fill="EEEEEE"/>
          </w:tcPr>
          <w:p>
            <w:pPr>
              <w:spacing w:after="60" w:before="60" w:line="240" w:lineRule="auto"/>
            </w:pPr>
            <w:r>
              <w:rPr>
                <w:b/>
                <w:sz w:val="18"/>
              </w:rPr>
              <w:t>Cost r</w:t>
            </w:r>
          </w:p>
        </w:tc>
        <w:tc>
          <w:tcPr>
            <w:tcW w:type="dxa" w:w="1852"/>
            <w:shd w:fill="EEEEEE"/>
          </w:tcPr>
          <w:p>
            <w:pPr>
              <w:spacing w:after="60" w:before="60" w:line="240" w:lineRule="auto"/>
            </w:pPr>
            <w:r>
              <w:rPr>
                <w:b/>
                <w:sz w:val="18"/>
              </w:rPr>
              <w:t>π 2%</w:t>
            </w:r>
          </w:p>
        </w:tc>
        <w:tc>
          <w:tcPr>
            <w:tcW w:type="dxa" w:w="1852"/>
            <w:shd w:fill="EEEEEE"/>
          </w:tcPr>
          <w:p>
            <w:pPr>
              <w:spacing w:after="60" w:before="60" w:line="240" w:lineRule="auto"/>
            </w:pPr>
            <w:r>
              <w:rPr>
                <w:b/>
                <w:sz w:val="18"/>
              </w:rPr>
              <w:t>π 5%</w:t>
            </w:r>
          </w:p>
        </w:tc>
        <w:tc>
          <w:tcPr>
            <w:tcW w:type="dxa" w:w="1852"/>
            <w:shd w:fill="EEEEEE"/>
          </w:tcPr>
          <w:p>
            <w:pPr>
              <w:spacing w:after="60" w:before="60" w:line="240" w:lineRule="auto"/>
            </w:pPr>
            <w:r>
              <w:rPr>
                <w:b/>
                <w:sz w:val="18"/>
              </w:rPr>
              <w:t>π 10%</w:t>
            </w:r>
          </w:p>
        </w:tc>
        <w:tc>
          <w:tcPr>
            <w:tcW w:type="dxa" w:w="1852"/>
            <w:shd w:fill="EEEEEE"/>
          </w:tcPr>
          <w:p>
            <w:pPr>
              <w:spacing w:after="60" w:before="60" w:line="240" w:lineRule="auto"/>
            </w:pPr>
            <w:r>
              <w:rPr>
                <w:b/>
                <w:sz w:val="18"/>
              </w:rPr>
              <w:t>π 15%</w:t>
            </w:r>
          </w:p>
        </w:tc>
      </w:tr>
      <w:tr>
        <w:trPr>
          <w:cantSplit/>
        </w:trPr>
        <w:tc>
          <w:tcPr>
            <w:tcW w:type="dxa" w:w="1852"/>
          </w:tcPr>
          <w:p>
            <w:pPr>
              <w:spacing w:after="60" w:before="60" w:line="240" w:lineRule="auto"/>
            </w:pPr>
            <w:r>
              <w:rPr>
                <w:b w:val="0"/>
                <w:sz w:val="18"/>
              </w:rPr>
              <w:t>5</w:t>
            </w:r>
          </w:p>
        </w:tc>
        <w:tc>
          <w:tcPr>
            <w:tcW w:type="dxa" w:w="1852"/>
          </w:tcPr>
          <w:p>
            <w:pPr>
              <w:spacing w:after="60" w:before="60" w:line="240" w:lineRule="auto"/>
            </w:pPr>
            <w:r>
              <w:rPr>
                <w:b w:val="0"/>
                <w:sz w:val="18"/>
              </w:rPr>
              <w:t>10.00 to 11.36</w:t>
            </w:r>
          </w:p>
        </w:tc>
        <w:tc>
          <w:tcPr>
            <w:tcW w:type="dxa" w:w="1852"/>
          </w:tcPr>
          <w:p>
            <w:pPr>
              <w:spacing w:after="60" w:before="60" w:line="240" w:lineRule="auto"/>
            </w:pPr>
            <w:r>
              <w:rPr>
                <w:b w:val="0"/>
                <w:sz w:val="18"/>
              </w:rPr>
              <w:t>25.00 to 25.97</w:t>
            </w:r>
          </w:p>
        </w:tc>
        <w:tc>
          <w:tcPr>
            <w:tcW w:type="dxa" w:w="1852"/>
          </w:tcPr>
          <w:p>
            <w:pPr>
              <w:spacing w:after="60" w:before="60" w:line="240" w:lineRule="auto"/>
            </w:pPr>
            <w:r>
              <w:rPr>
                <w:b w:val="0"/>
                <w:sz w:val="18"/>
              </w:rPr>
              <w:t>50.00 to 50.53</w:t>
            </w:r>
          </w:p>
        </w:tc>
        <w:tc>
          <w:tcPr>
            <w:tcW w:type="dxa" w:w="1852"/>
          </w:tcPr>
          <w:p>
            <w:pPr>
              <w:spacing w:after="60" w:before="60" w:line="240" w:lineRule="auto"/>
            </w:pPr>
            <w:r>
              <w:rPr>
                <w:b w:val="0"/>
                <w:sz w:val="18"/>
              </w:rPr>
              <w:t>74.67 to 75.18</w:t>
            </w:r>
          </w:p>
        </w:tc>
      </w:tr>
      <w:tr>
        <w:trPr>
          <w:cantSplit/>
        </w:trPr>
        <w:tc>
          <w:tcPr>
            <w:tcW w:type="dxa" w:w="1852"/>
          </w:tcPr>
          <w:p>
            <w:pPr>
              <w:spacing w:after="60" w:before="60" w:line="240" w:lineRule="auto"/>
            </w:pPr>
            <w:r>
              <w:rPr>
                <w:b w:val="0"/>
                <w:sz w:val="18"/>
              </w:rPr>
              <w:t>10</w:t>
            </w:r>
          </w:p>
        </w:tc>
        <w:tc>
          <w:tcPr>
            <w:tcW w:type="dxa" w:w="1852"/>
          </w:tcPr>
          <w:p>
            <w:pPr>
              <w:spacing w:after="60" w:before="60" w:line="240" w:lineRule="auto"/>
            </w:pPr>
            <w:r>
              <w:rPr>
                <w:b w:val="0"/>
                <w:sz w:val="18"/>
              </w:rPr>
              <w:t>20.00 to 21.13</w:t>
            </w:r>
          </w:p>
        </w:tc>
        <w:tc>
          <w:tcPr>
            <w:tcW w:type="dxa" w:w="1852"/>
          </w:tcPr>
          <w:p>
            <w:pPr>
              <w:spacing w:after="60" w:before="60" w:line="240" w:lineRule="auto"/>
            </w:pPr>
            <w:r>
              <w:rPr>
                <w:b w:val="0"/>
                <w:sz w:val="18"/>
              </w:rPr>
              <w:t>50.00 to 50.73</w:t>
            </w:r>
          </w:p>
        </w:tc>
        <w:tc>
          <w:tcPr>
            <w:tcW w:type="dxa" w:w="1852"/>
          </w:tcPr>
          <w:p>
            <w:pPr>
              <w:spacing w:after="60" w:before="60" w:line="240" w:lineRule="auto"/>
            </w:pPr>
            <w:r>
              <w:rPr>
                <w:b w:val="0"/>
                <w:sz w:val="18"/>
              </w:rPr>
              <w:t>99.19 to 100.09</w:t>
            </w:r>
          </w:p>
        </w:tc>
        <w:tc>
          <w:tcPr>
            <w:tcW w:type="dxa" w:w="1852"/>
          </w:tcPr>
          <w:p>
            <w:pPr>
              <w:spacing w:after="60" w:before="60" w:line="240" w:lineRule="auto"/>
            </w:pPr>
            <w:r>
              <w:rPr>
                <w:b w:val="0"/>
                <w:sz w:val="18"/>
              </w:rPr>
              <w:t>147.97 to 150.00</w:t>
            </w:r>
          </w:p>
        </w:tc>
      </w:tr>
      <w:tr>
        <w:trPr>
          <w:cantSplit/>
        </w:trPr>
        <w:tc>
          <w:tcPr>
            <w:tcW w:type="dxa" w:w="1852"/>
          </w:tcPr>
          <w:p>
            <w:pPr>
              <w:spacing w:after="60" w:before="60" w:line="240" w:lineRule="auto"/>
            </w:pPr>
            <w:r>
              <w:rPr>
                <w:b w:val="0"/>
                <w:sz w:val="18"/>
              </w:rPr>
              <w:t>20</w:t>
            </w:r>
          </w:p>
        </w:tc>
        <w:tc>
          <w:tcPr>
            <w:tcW w:type="dxa" w:w="1852"/>
          </w:tcPr>
          <w:p>
            <w:pPr>
              <w:spacing w:after="60" w:before="60" w:line="240" w:lineRule="auto"/>
            </w:pPr>
            <w:r>
              <w:rPr>
                <w:b w:val="0"/>
                <w:sz w:val="18"/>
              </w:rPr>
              <w:t>40.00 to 41.16</w:t>
            </w:r>
          </w:p>
        </w:tc>
        <w:tc>
          <w:tcPr>
            <w:tcW w:type="dxa" w:w="1852"/>
          </w:tcPr>
          <w:p>
            <w:pPr>
              <w:spacing w:after="60" w:before="60" w:line="240" w:lineRule="auto"/>
            </w:pPr>
            <w:r>
              <w:rPr>
                <w:b w:val="0"/>
                <w:sz w:val="18"/>
              </w:rPr>
              <w:t>97.44 to 100.02</w:t>
            </w:r>
          </w:p>
        </w:tc>
        <w:tc>
          <w:tcPr>
            <w:tcW w:type="dxa" w:w="1852"/>
          </w:tcPr>
          <w:p>
            <w:pPr>
              <w:spacing w:after="60" w:before="60" w:line="240" w:lineRule="auto"/>
            </w:pPr>
            <w:r>
              <w:rPr>
                <w:b w:val="0"/>
                <w:sz w:val="18"/>
              </w:rPr>
              <w:t>191.60 to 200.00</w:t>
            </w:r>
          </w:p>
        </w:tc>
        <w:tc>
          <w:tcPr>
            <w:tcW w:type="dxa" w:w="1852"/>
          </w:tcPr>
          <w:p>
            <w:pPr>
              <w:spacing w:after="60" w:before="60" w:line="240" w:lineRule="auto"/>
            </w:pPr>
            <w:r>
              <w:rPr>
                <w:b w:val="0"/>
                <w:sz w:val="18"/>
              </w:rPr>
              <w:t>285.75 to 300.00</w:t>
            </w:r>
          </w:p>
        </w:tc>
      </w:tr>
      <w:tr>
        <w:trPr>
          <w:cantSplit/>
        </w:trPr>
        <w:tc>
          <w:tcPr>
            <w:tcW w:type="dxa" w:w="1852"/>
          </w:tcPr>
          <w:p>
            <w:pPr>
              <w:spacing w:after="60" w:before="60" w:line="240" w:lineRule="auto"/>
            </w:pPr>
            <w:r>
              <w:rPr>
                <w:b w:val="0"/>
                <w:sz w:val="18"/>
              </w:rPr>
              <w:t>50</w:t>
            </w:r>
          </w:p>
        </w:tc>
        <w:tc>
          <w:tcPr>
            <w:tcW w:type="dxa" w:w="1852"/>
          </w:tcPr>
          <w:p>
            <w:pPr>
              <w:spacing w:after="60" w:before="60" w:line="240" w:lineRule="auto"/>
            </w:pPr>
            <w:r>
              <w:rPr>
                <w:b w:val="0"/>
                <w:sz w:val="18"/>
              </w:rPr>
              <w:t>98.34 to 100.05</w:t>
            </w:r>
          </w:p>
        </w:tc>
        <w:tc>
          <w:tcPr>
            <w:tcW w:type="dxa" w:w="1852"/>
          </w:tcPr>
          <w:p>
            <w:pPr>
              <w:spacing w:after="60" w:before="60" w:line="240" w:lineRule="auto"/>
            </w:pPr>
            <w:r>
              <w:rPr>
                <w:b w:val="0"/>
                <w:sz w:val="18"/>
              </w:rPr>
              <w:t>237.96 to 250.00</w:t>
            </w:r>
          </w:p>
        </w:tc>
        <w:tc>
          <w:tcPr>
            <w:tcW w:type="dxa" w:w="1852"/>
          </w:tcPr>
          <w:p>
            <w:pPr>
              <w:spacing w:after="60" w:before="60" w:line="240" w:lineRule="auto"/>
            </w:pPr>
            <w:r>
              <w:rPr>
                <w:b w:val="0"/>
                <w:sz w:val="18"/>
              </w:rPr>
              <w:t>470.65 to 500.00</w:t>
            </w:r>
          </w:p>
        </w:tc>
        <w:tc>
          <w:tcPr>
            <w:tcW w:type="dxa" w:w="1852"/>
          </w:tcPr>
          <w:p>
            <w:pPr>
              <w:spacing w:after="60" w:before="60" w:line="240" w:lineRule="auto"/>
            </w:pPr>
            <w:r>
              <w:rPr>
                <w:b w:val="0"/>
                <w:sz w:val="18"/>
              </w:rPr>
              <w:t>703.34 to 750.00</w:t>
            </w:r>
          </w:p>
        </w:tc>
      </w:tr>
    </w:tbl>
    <w:p>
      <w:pPr>
        <w:pStyle w:val="Heading1"/>
        <w:pageBreakBefore/>
      </w:pPr>
      <w:r>
        <w:t>Appendix C Budget-specific prior shift and reproducibility</w:t>
      </w:r>
    </w:p>
    <w:p>
      <w:pPr>
        <w:pStyle w:val="Caption"/>
      </w:pPr>
      <w:r>
        <w:t>Table A5. Budget-specific pooled fixed XGBoost C prior-shift results at r=10</w:t>
      </w:r>
    </w:p>
    <w:tbl>
      <w:tblPr>
        <w:tblW w:type="auto" w:w="0"/>
        <w:tblLayout w:type="autofit"/>
        <w:tblLook w:firstColumn="1" w:firstRow="1" w:lastColumn="0" w:lastRow="0" w:noHBand="0" w:noVBand="1" w:val="04A0"/>
        <w:tblBorders>
          <w:top w:val="single" w:sz="4" w:color="AAAAAA"/>
          <w:bottom w:val="single" w:sz="4" w:color="AAAAAA"/>
          <w:insideH w:val="single" w:sz="4" w:color="AAAAAA"/>
        </w:tblBorders>
      </w:tblPr>
      <w:tblGrid>
        <w:gridCol w:w="1852"/>
        <w:gridCol w:w="1852"/>
        <w:gridCol w:w="1852"/>
        <w:gridCol w:w="1852"/>
        <w:gridCol w:w="1852"/>
      </w:tblGrid>
      <w:tr>
        <w:trPr>
          <w:tblHeader/>
          <w:cantSplit/>
        </w:trPr>
        <w:tc>
          <w:tcPr>
            <w:tcW w:type="dxa" w:w="1852"/>
            <w:shd w:fill="EEEEEE"/>
          </w:tcPr>
          <w:p>
            <w:pPr>
              <w:spacing w:after="60" w:before="60" w:line="240" w:lineRule="auto"/>
            </w:pPr>
            <w:r>
              <w:rPr>
                <w:b/>
                <w:sz w:val="18"/>
              </w:rPr>
              <w:t>Historical budget</w:t>
            </w:r>
          </w:p>
        </w:tc>
        <w:tc>
          <w:tcPr>
            <w:tcW w:type="dxa" w:w="1852"/>
            <w:shd w:fill="EEEEEE"/>
          </w:tcPr>
          <w:p>
            <w:pPr>
              <w:spacing w:after="60" w:before="60" w:line="240" w:lineRule="auto"/>
            </w:pPr>
            <w:r>
              <w:rPr>
                <w:b/>
                <w:sz w:val="18"/>
              </w:rPr>
              <w:t>π 2%</w:t>
            </w:r>
          </w:p>
        </w:tc>
        <w:tc>
          <w:tcPr>
            <w:tcW w:type="dxa" w:w="1852"/>
            <w:shd w:fill="EEEEEE"/>
          </w:tcPr>
          <w:p>
            <w:pPr>
              <w:spacing w:after="60" w:before="60" w:line="240" w:lineRule="auto"/>
            </w:pPr>
            <w:r>
              <w:rPr>
                <w:b/>
                <w:sz w:val="18"/>
              </w:rPr>
              <w:t>π 5%</w:t>
            </w:r>
          </w:p>
        </w:tc>
        <w:tc>
          <w:tcPr>
            <w:tcW w:type="dxa" w:w="1852"/>
            <w:shd w:fill="EEEEEE"/>
          </w:tcPr>
          <w:p>
            <w:pPr>
              <w:spacing w:after="60" w:before="60" w:line="240" w:lineRule="auto"/>
            </w:pPr>
            <w:r>
              <w:rPr>
                <w:b/>
                <w:sz w:val="18"/>
              </w:rPr>
              <w:t>π 10%</w:t>
            </w:r>
          </w:p>
        </w:tc>
        <w:tc>
          <w:tcPr>
            <w:tcW w:type="dxa" w:w="1852"/>
            <w:shd w:fill="EEEEEE"/>
          </w:tcPr>
          <w:p>
            <w:pPr>
              <w:spacing w:after="60" w:before="60" w:line="240" w:lineRule="auto"/>
            </w:pPr>
            <w:r>
              <w:rPr>
                <w:b/>
                <w:sz w:val="18"/>
              </w:rPr>
              <w:t>π 15%</w:t>
            </w:r>
          </w:p>
        </w:tc>
      </w:tr>
      <w:tr>
        <w:trPr>
          <w:cantSplit/>
        </w:trPr>
        <w:tc>
          <w:tcPr>
            <w:tcW w:type="dxa" w:w="1852"/>
          </w:tcPr>
          <w:p>
            <w:pPr>
              <w:spacing w:after="60" w:before="60" w:line="240" w:lineRule="auto"/>
            </w:pPr>
            <w:r>
              <w:rPr>
                <w:b w:val="0"/>
                <w:sz w:val="18"/>
              </w:rPr>
              <w:t>1%</w:t>
            </w:r>
          </w:p>
        </w:tc>
        <w:tc>
          <w:tcPr>
            <w:tcW w:type="dxa" w:w="1852"/>
          </w:tcPr>
          <w:p>
            <w:pPr>
              <w:spacing w:after="60" w:before="60" w:line="240" w:lineRule="auto"/>
            </w:pPr>
            <w:r>
              <w:rPr>
                <w:b w:val="0"/>
                <w:sz w:val="18"/>
              </w:rPr>
              <w:t>0.00</w:t>
              <w:br/>
              <w:t>0.00%</w:t>
            </w:r>
          </w:p>
        </w:tc>
        <w:tc>
          <w:tcPr>
            <w:tcW w:type="dxa" w:w="1852"/>
          </w:tcPr>
          <w:p>
            <w:pPr>
              <w:spacing w:after="60" w:before="60" w:line="240" w:lineRule="auto"/>
            </w:pPr>
            <w:r>
              <w:rPr>
                <w:b w:val="0"/>
                <w:sz w:val="18"/>
              </w:rPr>
              <w:t>0.00</w:t>
              <w:br/>
              <w:t>0.00%</w:t>
            </w:r>
          </w:p>
        </w:tc>
        <w:tc>
          <w:tcPr>
            <w:tcW w:type="dxa" w:w="1852"/>
          </w:tcPr>
          <w:p>
            <w:pPr>
              <w:spacing w:after="60" w:before="60" w:line="240" w:lineRule="auto"/>
            </w:pPr>
            <w:r>
              <w:rPr>
                <w:b w:val="0"/>
                <w:sz w:val="18"/>
              </w:rPr>
              <w:t>0.00</w:t>
              <w:br/>
              <w:t>0.00%</w:t>
            </w:r>
          </w:p>
        </w:tc>
        <w:tc>
          <w:tcPr>
            <w:tcW w:type="dxa" w:w="1852"/>
          </w:tcPr>
          <w:p>
            <w:pPr>
              <w:spacing w:after="60" w:before="60" w:line="240" w:lineRule="auto"/>
            </w:pPr>
            <w:r>
              <w:rPr>
                <w:b w:val="0"/>
                <w:sz w:val="18"/>
              </w:rPr>
              <w:t>0.00</w:t>
              <w:br/>
              <w:t>0.00%</w:t>
            </w:r>
          </w:p>
        </w:tc>
      </w:tr>
      <w:tr>
        <w:trPr>
          <w:cantSplit/>
        </w:trPr>
        <w:tc>
          <w:tcPr>
            <w:tcW w:type="dxa" w:w="1852"/>
          </w:tcPr>
          <w:p>
            <w:pPr>
              <w:spacing w:after="60" w:before="60" w:line="240" w:lineRule="auto"/>
            </w:pPr>
            <w:r>
              <w:rPr>
                <w:b w:val="0"/>
                <w:sz w:val="18"/>
              </w:rPr>
              <w:t>5%</w:t>
            </w:r>
          </w:p>
        </w:tc>
        <w:tc>
          <w:tcPr>
            <w:tcW w:type="dxa" w:w="1852"/>
          </w:tcPr>
          <w:p>
            <w:pPr>
              <w:spacing w:after="60" w:before="60" w:line="240" w:lineRule="auto"/>
            </w:pPr>
            <w:r>
              <w:rPr>
                <w:b w:val="0"/>
                <w:sz w:val="18"/>
              </w:rPr>
              <w:t>0.96</w:t>
              <w:br/>
              <w:t>1.21%</w:t>
            </w:r>
          </w:p>
        </w:tc>
        <w:tc>
          <w:tcPr>
            <w:tcW w:type="dxa" w:w="1852"/>
          </w:tcPr>
          <w:p>
            <w:pPr>
              <w:spacing w:after="60" w:before="60" w:line="240" w:lineRule="auto"/>
            </w:pPr>
            <w:r>
              <w:rPr>
                <w:b w:val="0"/>
                <w:sz w:val="18"/>
              </w:rPr>
              <w:t>0.59</w:t>
              <w:br/>
              <w:t>1.21%</w:t>
            </w:r>
          </w:p>
        </w:tc>
        <w:tc>
          <w:tcPr>
            <w:tcW w:type="dxa" w:w="1852"/>
          </w:tcPr>
          <w:p>
            <w:pPr>
              <w:spacing w:after="60" w:before="60" w:line="240" w:lineRule="auto"/>
            </w:pPr>
            <w:r>
              <w:rPr>
                <w:b w:val="0"/>
                <w:sz w:val="18"/>
              </w:rPr>
              <w:t>-0.04</w:t>
              <w:br/>
              <w:t>1.21%</w:t>
            </w:r>
          </w:p>
        </w:tc>
        <w:tc>
          <w:tcPr>
            <w:tcW w:type="dxa" w:w="1852"/>
          </w:tcPr>
          <w:p>
            <w:pPr>
              <w:spacing w:after="60" w:before="60" w:line="240" w:lineRule="auto"/>
            </w:pPr>
            <w:r>
              <w:rPr>
                <w:b w:val="0"/>
                <w:sz w:val="18"/>
              </w:rPr>
              <w:t>-0.67</w:t>
              <w:br/>
              <w:t>1.20%</w:t>
            </w:r>
          </w:p>
        </w:tc>
      </w:tr>
      <w:tr>
        <w:trPr>
          <w:cantSplit/>
        </w:trPr>
        <w:tc>
          <w:tcPr>
            <w:tcW w:type="dxa" w:w="1852"/>
          </w:tcPr>
          <w:p>
            <w:pPr>
              <w:spacing w:after="60" w:before="60" w:line="240" w:lineRule="auto"/>
            </w:pPr>
            <w:r>
              <w:rPr>
                <w:b w:val="0"/>
                <w:sz w:val="18"/>
              </w:rPr>
              <w:t>10%</w:t>
            </w:r>
          </w:p>
        </w:tc>
        <w:tc>
          <w:tcPr>
            <w:tcW w:type="dxa" w:w="1852"/>
          </w:tcPr>
          <w:p>
            <w:pPr>
              <w:spacing w:after="60" w:before="60" w:line="240" w:lineRule="auto"/>
            </w:pPr>
            <w:r>
              <w:rPr>
                <w:b w:val="0"/>
                <w:sz w:val="18"/>
              </w:rPr>
              <w:t>1.11</w:t>
              <w:br/>
              <w:t>1.36%</w:t>
            </w:r>
          </w:p>
        </w:tc>
        <w:tc>
          <w:tcPr>
            <w:tcW w:type="dxa" w:w="1852"/>
          </w:tcPr>
          <w:p>
            <w:pPr>
              <w:spacing w:after="60" w:before="60" w:line="240" w:lineRule="auto"/>
            </w:pPr>
            <w:r>
              <w:rPr>
                <w:b w:val="0"/>
                <w:sz w:val="18"/>
              </w:rPr>
              <w:t>0.73</w:t>
              <w:br/>
              <w:t>1.36%</w:t>
            </w:r>
          </w:p>
        </w:tc>
        <w:tc>
          <w:tcPr>
            <w:tcW w:type="dxa" w:w="1852"/>
          </w:tcPr>
          <w:p>
            <w:pPr>
              <w:spacing w:after="60" w:before="60" w:line="240" w:lineRule="auto"/>
            </w:pPr>
            <w:r>
              <w:rPr>
                <w:b w:val="0"/>
                <w:sz w:val="18"/>
              </w:rPr>
              <w:t>0.09</w:t>
              <w:br/>
              <w:t>1.34%</w:t>
            </w:r>
          </w:p>
        </w:tc>
        <w:tc>
          <w:tcPr>
            <w:tcW w:type="dxa" w:w="1852"/>
          </w:tcPr>
          <w:p>
            <w:pPr>
              <w:spacing w:after="60" w:before="60" w:line="240" w:lineRule="auto"/>
            </w:pPr>
            <w:r>
              <w:rPr>
                <w:b w:val="0"/>
                <w:sz w:val="18"/>
              </w:rPr>
              <w:t>-0.54</w:t>
              <w:br/>
              <w:t>1.33%</w:t>
            </w:r>
          </w:p>
        </w:tc>
      </w:tr>
      <w:tr>
        <w:trPr>
          <w:cantSplit/>
        </w:trPr>
        <w:tc>
          <w:tcPr>
            <w:tcW w:type="dxa" w:w="1852"/>
          </w:tcPr>
          <w:p>
            <w:pPr>
              <w:spacing w:after="60" w:before="60" w:line="240" w:lineRule="auto"/>
            </w:pPr>
            <w:r>
              <w:rPr>
                <w:b w:val="0"/>
                <w:sz w:val="18"/>
              </w:rPr>
              <w:t>20%</w:t>
            </w:r>
          </w:p>
        </w:tc>
        <w:tc>
          <w:tcPr>
            <w:tcW w:type="dxa" w:w="1852"/>
          </w:tcPr>
          <w:p>
            <w:pPr>
              <w:spacing w:after="60" w:before="60" w:line="240" w:lineRule="auto"/>
            </w:pPr>
            <w:r>
              <w:rPr>
                <w:b w:val="0"/>
                <w:sz w:val="18"/>
              </w:rPr>
              <w:t>1.13</w:t>
              <w:br/>
              <w:t>1.63%</w:t>
            </w:r>
          </w:p>
        </w:tc>
        <w:tc>
          <w:tcPr>
            <w:tcW w:type="dxa" w:w="1852"/>
          </w:tcPr>
          <w:p>
            <w:pPr>
              <w:spacing w:after="60" w:before="60" w:line="240" w:lineRule="auto"/>
            </w:pPr>
            <w:r>
              <w:rPr>
                <w:b w:val="0"/>
                <w:sz w:val="18"/>
              </w:rPr>
              <w:t>0.40</w:t>
              <w:br/>
              <w:t>1.65%</w:t>
            </w:r>
          </w:p>
        </w:tc>
        <w:tc>
          <w:tcPr>
            <w:tcW w:type="dxa" w:w="1852"/>
          </w:tcPr>
          <w:p>
            <w:pPr>
              <w:spacing w:after="60" w:before="60" w:line="240" w:lineRule="auto"/>
            </w:pPr>
            <w:r>
              <w:rPr>
                <w:b w:val="0"/>
                <w:sz w:val="18"/>
              </w:rPr>
              <w:t>-0.81</w:t>
              <w:br/>
              <w:t>1.69%</w:t>
            </w:r>
          </w:p>
        </w:tc>
        <w:tc>
          <w:tcPr>
            <w:tcW w:type="dxa" w:w="1852"/>
          </w:tcPr>
          <w:p>
            <w:pPr>
              <w:spacing w:after="60" w:before="60" w:line="240" w:lineRule="auto"/>
            </w:pPr>
            <w:r>
              <w:rPr>
                <w:b w:val="0"/>
                <w:sz w:val="18"/>
              </w:rPr>
              <w:t>-2.03</w:t>
              <w:br/>
              <w:t>1.72%</w:t>
            </w:r>
          </w:p>
        </w:tc>
      </w:tr>
    </w:tbl>
    <w:p>
      <w:pPr>
        <w:jc w:val="both"/>
      </w:pPr>
      <w:r>
        <w:t>Each cell pairs relative loss per 100 shifts (first line) with expected alert percentage (second line) for the same historical budget and scenario. Negative loss differences favor the policy over no alarms under r=10. All sixteen entries use frozen class-conditional error rates and historical rules; no scenario selects a new threshold. The complete electronic file retains every model, cost, workflow and phase.</w:t>
      </w:r>
    </w:p>
    <w:p>
      <w:pPr>
        <w:pStyle w:val="Heading1"/>
      </w:pPr>
      <w:r>
        <w:t>Reproducibility and electronic appendix</w:t>
      </w:r>
    </w:p>
    <w:p>
      <w:pPr>
        <w:jc w:val="both"/>
      </w:pPr>
      <w:r>
        <w:t>The protocol was locked on 2 October 2026 at 19:20:26 UTC; its hash starts 85a1a16b30a5b9ac. Independent reproduction replayed all 15 model pairs and paired resampling. The results/phase2 appendix retains predictions, references, candidates, audits, evaluations, comparisons, bootstrap arrays and row manifests. Infinite thresholds are sentinels; empty cells denote undefined quantities.</w:t>
      </w:r>
    </w:p>
    <w:p>
      <w:pPr>
        <w:jc w:val="both"/>
      </w:pPr>
      <w:r>
        <w:t>Frozen-rule descriptive outputs include decision_value files for no-alarm references, threshold_explanations and threshold_audit_enriched for causes and margins, refit_transfer and capacity_tradeoffs for complete contrasts, and prevalence_decision_value for scenario loss and workload. Separate manifests and checks establish provenance.</w:t>
      </w:r>
    </w:p>
    <w:p>
      <w:pPr>
        <w:jc w:val="both"/>
      </w:pPr>
      <w:r>
        <w:t>Code, commands and complete evidence: https://github.com/junjie-yang11/seismic-bump-forecasting. Tables and figures are generated from verified result files.</w:t>
      </w:r>
    </w:p>
    <w:p>
      <w:pPr>
        <w:pStyle w:val="Heading1"/>
      </w:pPr>
      <w:r>
        <w:t>References</w:t>
      </w:r>
    </w:p>
    <w:p>
      <w:pPr>
        <w:jc w:val="both"/>
      </w:pPr>
      <w:r>
        <w:t>[1] Sikora M, Wrobel L. seismic-bumps. UCI Machine Learning Repository; 2010. doi:10.24432/C5W902. https://archive.ics.uci.edu/dataset/266/seismic+bumps.</w:t>
      </w:r>
    </w:p>
    <w:p>
      <w:pPr>
        <w:jc w:val="both"/>
      </w:pPr>
      <w:r>
        <w:t>[2] Chen T, Guestrin C. XGBoost: A Scalable Tree Boosting System. KDD; 2016. doi:10.1145/2939672.2939785.</w:t>
      </w:r>
    </w:p>
    <w:p>
      <w:pPr>
        <w:jc w:val="both"/>
      </w:pPr>
      <w:r>
        <w:t>[3] Yang J. Evaluating reliability and explainability in seismic hazard forecasting for underground mine monitoring. Technical report; 2026. Companion stage-one paper: report/technical_report.pdf in the project repository.</w:t>
      </w:r>
    </w:p>
    <w:p>
      <w:pPr>
        <w:jc w:val="both"/>
      </w:pPr>
      <w:r>
        <w:t>[4] Künsch HR. The Jackknife and the Bootstrap for General Stationary Observations. The Annals of Statistics; 1989;17(3):1217–1241. doi:10.1214/aos/1176347265.</w:t>
      </w:r>
    </w:p>
    <w:sectPr>
      <w:footerReference w:type="default" r:id="rId9"/>
      <w:pgSz w:w="11909" w:h="16834"/>
      <w:pgMar w:top="1181" w:right="1325" w:bottom="1181"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Threshold transfer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cs="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and Capacity-Sensitive Seismic Warning: A Retrospective Study of Threshold Transfer</dc:title>
  <dc:subject>Second-stage retrospective warning decision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