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vector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Monitoring Information Beyond Hazard Grades and Shift Type</w:t>
      </w:r>
    </w:p>
    <w:p>
      <w:pPr>
        <w:jc w:val="center"/>
      </w:pPr>
      <w:r>
        <w:t>Junjie Yang</w:t>
      </w:r>
    </w:p>
    <w:p>
      <w:pPr>
        <w:pStyle w:val="Heading1"/>
      </w:pPr>
      <w:r>
        <w:t>Question and matched comparison</w:t>
      </w:r>
    </w:p>
    <w:p>
      <w:r>
        <w:t>This study uses the audited UCI Seismic Bumps mirror containing 2,578 records. A hazardous-shift label indicates a seismic bump with energy above 10,000 J in the subsequent eight-hour shift. It identifies a hazardous shift, not an observed accident or an avoided accident. Recorded order is a temporal proxy because timestamps and working-face identifiers are unavailable.</w:t>
      </w:r>
    </w:p>
    <w:p>
      <w:r>
        <w:t>The primary seismic assessment orders a (no hazard), b (low hazard), c (high hazard) and d (danger state). The mirror contains only a, b for this field; c and d are defined levels but are not observed here. Average precision (AP) is the sum of precision values weighted by recall increments, evaluating tied scores as a group. It selects historical model configurations and is distinct from the detection counts evaluated at fixed inspection slots.</w:t>
      </w:r>
    </w:p>
    <w:p>
      <w:r>
        <w:t>Does monitoring information improve hazardous-shift detection beyond three existing hazard assessments and shift type, at identical inspection allocations? This separately specified exploratory supplement compares a four-input base design with the established 17-column design. Both use XGBoost and the same four historical fitting/test splits. Each design independently selects depth 2/3 and 80/160 rounds on the same inner historical split by AP, with negative Brier if that inner set has no positives. Policy-reference and test labels do not enter fitting or tuning; no holdout is added.</w:t>
      </w:r>
    </w:p>
    <w:p>
      <w:r>
        <w:t>Within each test block, K=floor(B*N) slots go to higher seismic grades first; model scores rank records within each grade. Both models use uniform allocation within an exactly tied boundary score group: h slots among m records containing p hazards contribute E(TP)=h*p/m. Reported fractional counts integrate allocation randomness rather than describe fractional shifts. Pooled results sum block allocations; scores are never ranked across fitted blocks.</w:t>
      </w:r>
    </w:p>
    <w:p>
      <w:pPr>
        <w:pStyle w:val="Heading1"/>
      </w:pPr>
      <w:r>
        <w:t>Expected detections on the shared test records</w:t>
      </w:r>
    </w:p>
    <w:p>
      <w:r>
        <w:t>The four blocks contain 516, 515, 516 and 516 records and 36, 10, 24 and 18 hazardous labels, respectively: 2,063 records and 88 labels in total. At the 20% budget, the pooled extended design detects 32.00 versus base 30.71 expected hazards with 412 alerts each; the difference is 1.29 [-5.48, 7.05]. All pooled intervals across the three specified block lengths include zero.</w:t>
      </w:r>
    </w:p>
    <w:p>
      <w:pPr>
        <w:pStyle w:val="Caption"/>
        <w:keepNext/>
      </w:pPr>
      <w:r>
        <w:t>Table 1. Matched information designs at identical total and seismic-grade allocations. TP and FN are analytic expectations; K is the exact alert count. Positive differences favor the extended design. Brackets are conditional 95% intervals at block length 32.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936"/>
        <w:gridCol w:w="504"/>
        <w:gridCol w:w="1800"/>
        <w:gridCol w:w="1800"/>
        <w:gridCol w:w="3384"/>
      </w:tblGrid>
      <w:tr>
        <w:trPr>
          <w:cantSplit/>
          <w:tblHeader/>
        </w:trPr>
        <w:tc>
          <w:tcPr>
            <w:tcW w:type="dxa" w:w="1008"/>
            <w:vAlign w:val="center"/>
            <w:shd w:fill="EDEFF1"/>
          </w:tcPr>
          <w:p>
            <w:pPr>
              <w:keepNext/>
              <w:spacing w:line="245" w:lineRule="auto" w:before="48" w:after="48"/>
              <w:jc w:val="center"/>
            </w:pPr>
            <w:r>
              <w:rPr>
                <w:b/>
                <w:sz w:val="19"/>
              </w:rPr>
              <w:t>Block</w:t>
            </w:r>
          </w:p>
        </w:tc>
        <w:tc>
          <w:tcPr>
            <w:tcW w:type="dxa" w:w="936"/>
            <w:vAlign w:val="center"/>
            <w:shd w:fill="EDEFF1"/>
          </w:tcPr>
          <w:p>
            <w:pPr>
              <w:keepNext/>
              <w:spacing w:line="245" w:lineRule="auto" w:before="48" w:after="48"/>
              <w:jc w:val="center"/>
            </w:pPr>
            <w:r>
              <w:rPr>
                <w:b/>
                <w:sz w:val="19"/>
              </w:rPr>
              <w:t>Budget</w:t>
            </w:r>
          </w:p>
        </w:tc>
        <w:tc>
          <w:tcPr>
            <w:tcW w:type="dxa" w:w="504"/>
            <w:vAlign w:val="center"/>
            <w:shd w:fill="EDEFF1"/>
          </w:tcPr>
          <w:p>
            <w:pPr>
              <w:keepNext/>
              <w:spacing w:line="245" w:lineRule="auto" w:before="48" w:after="48"/>
              <w:jc w:val="center"/>
            </w:pPr>
            <w:r>
              <w:rPr>
                <w:b/>
                <w:sz w:val="19"/>
              </w:rPr>
              <w:t>K</w:t>
            </w:r>
          </w:p>
        </w:tc>
        <w:tc>
          <w:tcPr>
            <w:tcW w:type="dxa" w:w="1800"/>
            <w:vAlign w:val="center"/>
            <w:shd w:fill="EDEFF1"/>
          </w:tcPr>
          <w:p>
            <w:pPr>
              <w:keepNext/>
              <w:spacing w:line="245" w:lineRule="auto" w:before="48" w:after="48"/>
              <w:jc w:val="center"/>
            </w:pPr>
            <w:r>
              <w:rPr>
                <w:b/>
                <w:sz w:val="19"/>
              </w:rPr>
              <w:t>Base E(TP) / E(FN)</w:t>
            </w:r>
          </w:p>
        </w:tc>
        <w:tc>
          <w:tcPr>
            <w:tcW w:type="dxa" w:w="1800"/>
            <w:vAlign w:val="center"/>
            <w:shd w:fill="EDEFF1"/>
          </w:tcPr>
          <w:p>
            <w:pPr>
              <w:keepNext/>
              <w:spacing w:line="245" w:lineRule="auto" w:before="48" w:after="48"/>
              <w:jc w:val="center"/>
            </w:pPr>
            <w:r>
              <w:rPr>
                <w:b/>
                <w:sz w:val="19"/>
              </w:rPr>
              <w:t>Extended E(TP) / E(FN)</w:t>
            </w:r>
          </w:p>
        </w:tc>
        <w:tc>
          <w:tcPr>
            <w:tcW w:type="dxa" w:w="3384"/>
            <w:vAlign w:val="center"/>
            <w:shd w:fill="EDEFF1"/>
          </w:tcPr>
          <w:p>
            <w:pPr>
              <w:keepNext/>
              <w:spacing w:line="245" w:lineRule="auto" w:before="48" w:after="48"/>
              <w:jc w:val="center"/>
            </w:pPr>
            <w:r>
              <w:rPr>
                <w:b/>
                <w:sz w:val="19"/>
              </w:rPr>
              <w:t>Delta E(TP) [95% CI]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1%</w:t>
            </w:r>
          </w:p>
        </w:tc>
        <w:tc>
          <w:tcPr>
            <w:tcW w:type="dxa" w:w="50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0.94 / 35.06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0.00 / 36.00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-0.94 [-1.53, 0.17]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4.69 / 31.31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5.00 / 31.00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0.31 [-4.46, 2.42]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9.56 / 26.44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11.00 / 25.00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1.44 [-4.65, 3.25]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16.47 / 19.53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17.00 / 19.00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0.53 [-1.41, 4.10]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0.25 / 9.75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0.00 / 10.00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-0.25 [-0.40, 0.00]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1.23 / 8.77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0.00 / 10.00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-1.23 [-1.88, 0.48]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2.51 / 7.49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0.00 / 10.00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-2.51 [-3.25, 1.13]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5.17 / 4.83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5.00 / 5.00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-0.17 [-3.95, 1.55]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0.30 / 23.70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0.00 / 24.00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-0.30 [-0.50, 0.82]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1.48 / 22.52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3.00 / 21.00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1.52 [-1.23, 3.93]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3.03 / 20.97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4.00 / 20.00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0.97 [-2.07, 5.09]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6.11 / 17.89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6.00 / 18.00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-0.11 [-4.00, 4.14]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0.14 / 17.86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1.00 / 17.00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0.86 [-0.32, 1.79]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0.72 / 17.28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1.00 / 17.00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0.28 [-0.91, 2.55]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1.47 / 16.53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2.00 / 16.00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0.53 [-1.63, 3.81]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2.96 / 15.04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4.00 / 14.00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1.04 [-1.49, 3.66]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Pooled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1%</w:t>
            </w:r>
          </w:p>
        </w:tc>
        <w:tc>
          <w:tcPr>
            <w:tcW w:type="dxa" w:w="50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1.62 / 86.38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1.00 / 87.00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-0.62 [-2.20, 0.67]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Pooled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50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8.12 / 79.88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9.00 / 79.00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0.88 [-4.95, 4.68]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Pooled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50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16.56 / 71.44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17.00 / 71.00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0.44 [-5.40, 7.26]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 w:val="0"/>
              <w:spacing w:line="245" w:lineRule="auto" w:before="48" w:after="48"/>
              <w:jc w:val="left"/>
            </w:pPr>
            <w:r>
              <w:rPr>
                <w:b w:val="0"/>
                <w:sz w:val="19"/>
              </w:rPr>
              <w:t>Pooled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412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30.71 / 57.29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32.00 / 56.00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line="245" w:lineRule="auto" w:before="48" w:after="48"/>
              <w:jc w:val="right"/>
            </w:pPr>
            <w:r>
              <w:rPr>
                <w:b w:val="0"/>
                <w:sz w:val="19"/>
              </w:rPr>
              <w:t>1.29 [-5.48, 7.05]</w:t>
            </w:r>
          </w:p>
        </w:tc>
      </w:tr>
    </w:tbl>
    <w:p>
      <w:pPr>
        <w:spacing w:after="20"/>
      </w:pPr>
    </w:p>
    <w:p>
      <w:pPr>
        <w:pStyle w:val="Heading1"/>
      </w:pPr>
      <w:r>
        <w:t>Block-length sensitivity</w:t>
      </w:r>
    </w:p>
    <w:p>
      <w:r>
        <w:t>The saved scores, tuning choices and models are frozen. Each of 2,000 paired moving-block draws reconstructs a queue separately within each block, recomputes grade allocations and reranks both score sets, including analytic tie expectations. The same sampled records feed both designs and every budget. Zero-positive draws are retained. Length 32 is primary; lengths 16 and 64 are displayed without selecting one from the outcomes. These are record-order blocks, not verified physical time durations. Intervals exclude fitting, tuning and selection uncertainty.</w:t>
      </w:r>
    </w:p>
    <w:p>
      <w:pPr>
        <w:pStyle w:val="Heading1"/>
      </w:pPr>
      <w:r>
        <w:t>Discussion</w:t>
      </w:r>
    </w:p>
    <w:p>
      <w:r>
        <w:t>The matched baseline changes the interpretation of the earlier complete-score-versus-grade-random pilot: the present increment is specifically relative to a fitted model already using all three assessments and shift type. Positive point differences occur in 3/4, 0/4, 2/4, 4/4 budgets in blocks 1-4, respectively; 16/16 main block-specific intervals include zero. The pooled intervals also include zero at every budget and block length, so these observations do not resolve a consistent monitoring-information increment under the specified workflow. This does not establish that monitoring information is generally uninformative: the comparison concerns these inputs, separately AP-selected configurations and previously examined records. At fixed P and K, E(L)=r*P+K-(r+1)*E(TP), so an additional cost grid would restate detection differences. Recorded order remains a temporal proxy, and the batch allocation is not an observed inspection process or accident-prevention effect. Independent timestamped working-face data with inspection outcomes would test transfer beyond this cohort.</w:t>
      </w:r>
    </w:p>
    <w:p>
      <w:pPr>
        <w:pStyle w:val="Heading1"/>
      </w:pPr>
      <w:r>
        <w:t>Protocol and computational evidence</w:t>
      </w:r>
    </w:p>
    <w:p>
      <w:r>
        <w:t>The protocol, fitting and allocation code, numerical verifier and saved evidence are linked below. The verifier recomputes the calculations through a separate path and supports full refitting replay. Retained results include row-level scores and inclusion probabilities, all candidate tuning predictions, eight final models, grade allocations, every bootstrap multiplicity and replicate, and version-specific verification. The original stage-specific papers and ranking-pilot experimental results are retained. The integrated report includes the main matched-information finding; this supplement retains the complete design, table and block-length sensitivity.</w:t>
      </w:r>
    </w:p>
    <w:p>
      <w:r>
        <w:t>Scientific code and saved-evidence links identify commit de83319. The integrated-manuscript link identifies the fixed presentation edition manuscript-2026-10-25. This revised report is generated by the current reporting code; its presentation is not claimed to be part of the earlier scientific source edition.</w:t>
      </w:r>
    </w:p>
    <w:p>
      <w:hyperlink r:id="rId9">
        <w:r>
          <w:t>UCI dataset and target definition</w:t>
        </w:r>
      </w:hyperlink>
      <w:r>
        <w:t xml:space="preserve"> | </w:t>
      </w:r>
      <w:hyperlink r:id="rId10">
        <w:r>
          <w:t>Audited source and row mapping</w:t>
        </w:r>
      </w:hyperlink>
    </w:p>
    <w:p>
      <w:hyperlink r:id="rId11">
        <w:r>
          <w:t>Matched-information protocol</w:t>
        </w:r>
      </w:hyperlink>
      <w:r>
        <w:t xml:space="preserve"> | </w:t>
      </w:r>
      <w:hyperlink r:id="rId12">
        <w:r>
          <w:t>Model fitting and within-grade allocation</w:t>
        </w:r>
      </w:hyperlink>
    </w:p>
    <w:p>
      <w:hyperlink r:id="rId13">
        <w:r>
          <w:t>Numerical verification and refit replay</w:t>
        </w:r>
      </w:hyperlink>
      <w:r>
        <w:t xml:space="preserve"> | </w:t>
      </w:r>
      <w:hyperlink r:id="rId14">
        <w:r>
          <w:t>Saved results and verification guide</w:t>
        </w:r>
      </w:hyperlink>
    </w:p>
    <w:p>
      <w:hyperlink r:id="rId15">
        <w:r>
          <w:t>Integrated manuscript in this edition</w:t>
        </w:r>
      </w:hyperlink>
      <w:r>
        <w:t xml:space="preserve"> | </w:t>
      </w:r>
      <w:hyperlink r:id="rId16">
        <w:r>
          <w:t>Author contributions and AI assistance</w:t>
        </w:r>
      </w:hyperlink>
    </w:p>
    <w:p>
      <w:pPr>
        <w:pStyle w:val="Heading1"/>
      </w:pPr>
      <w:r>
        <w:t>Increment and interval figure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5565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increment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Extended minus base expected detections at identical allocations. Dots are the unchanged original-queue point differences. Lines show paired 95% intervals for lengths 16 (orange dashed), 32 (blue solid, main) and 64 (green dotted). Positive favors added monitoring. The shaded pooled panel is supplementary; block-specific evidence is primary.</w:t>
      </w:r>
    </w:p>
    <w:sectPr>
      <w:footerReference w:type="default" r:id="rId19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  <w:jc w:val="both"/>
    </w:pPr>
    <w:rPr>
      <w:rFonts w:ascii="Times New Roman" w:hAnsi="Times New Roman" w:eastAsia="Times New Roman" w:cs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 w:val="0"/>
      <w:bCs/>
      <w:i w:val="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yperlink" Target="https://archive.ics.uci.edu/dataset/266/seismic+bumps" TargetMode="External"/><Relationship Id="rId10" Type="http://schemas.openxmlformats.org/officeDocument/2006/relationships/hyperlink" Target="https://github.com/junjie-yang11/seismic-bump-forecasting/blob/de833195e2e7d025ca75c1efb57ac6d866127461/data/README.md" TargetMode="External"/><Relationship Id="rId11" Type="http://schemas.openxmlformats.org/officeDocument/2006/relationships/hyperlink" Target="https://github.com/junjie-yang11/seismic-bump-forecasting/blob/de833195e2e7d025ca75c1efb57ac6d866127461/phase2/information/protocol.json" TargetMode="External"/><Relationship Id="rId12" Type="http://schemas.openxmlformats.org/officeDocument/2006/relationships/hyperlink" Target="https://github.com/junjie-yang11/seismic-bump-forecasting/blob/de833195e2e7d025ca75c1efb57ac6d866127461/phase2/information/run.py" TargetMode="External"/><Relationship Id="rId13" Type="http://schemas.openxmlformats.org/officeDocument/2006/relationships/hyperlink" Target="https://github.com/junjie-yang11/seismic-bump-forecasting/blob/de833195e2e7d025ca75c1efb57ac6d866127461/phase2/information/verify.py" TargetMode="External"/><Relationship Id="rId14" Type="http://schemas.openxmlformats.org/officeDocument/2006/relationships/hyperlink" Target="https://github.com/junjie-yang11/seismic-bump-forecasting/blob/de833195e2e7d025ca75c1efb57ac6d866127461/results/phase2/information/README.md" TargetMode="External"/><Relationship Id="rId15" Type="http://schemas.openxmlformats.org/officeDocument/2006/relationships/hyperlink" Target="https://github.com/junjie-yang11/seismic-bump-forecasting/blob/manuscript-2026-10-25/reports/overall/integrated_research_report.pdf" TargetMode="External"/><Relationship Id="rId16" Type="http://schemas.openxmlformats.org/officeDocument/2006/relationships/hyperlink" Target="https://github.com/junjie-yang11/seismic-bump-forecasting/blob/de833195e2e7d025ca75c1efb57ac6d866127461/CONTRIBUTIONS.md" TargetMode="External"/><Relationship Id="rId17" Type="http://schemas.openxmlformats.org/officeDocument/2006/relationships/image" Target="media/image1.png"/><Relationship Id="rId18" Type="http://schemas.openxmlformats.org/officeDocument/2006/relationships/image" Target="media/vector1.sv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Information Beyond Hazard Grades and Shift Type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