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vector1.svg" ContentType="image/svg+xml"/>
  <Override PartName="/word/media/vector2.svg" ContentType="image/svg+xml"/>
  <Override PartName="/word/media/vector3.svg" ContentType="image/svg+xml"/>
  <Override PartName="/word/media/vector4.svg" ContentType="image/svg+xml"/>
  <Override PartName="/word/media/vector5.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From Forecast Evaluation to Warning Decisions: A Retrospective Study of Seismic Hazard in Underground Mining</w:t>
      </w:r>
    </w:p>
    <w:p>
      <w:pPr>
        <w:jc w:val="center"/>
      </w:pPr>
      <w:r>
        <w:t>Junjie Yang</w:t>
      </w:r>
    </w:p>
    <w:p>
      <w:pPr>
        <w:jc w:val="center"/>
      </w:pPr>
      <w:r>
        <w:t>Mining Engineering, Fuzhou University</w:t>
      </w:r>
    </w:p>
    <w:p>
      <w:pPr>
        <w:pStyle w:val="Heading1"/>
      </w:pPr>
      <w:r>
        <w:t>Abstract</w:t>
      </w:r>
    </w:p>
    <w:p>
      <w:r>
        <w:t>Seismic warning rules can change their loss, coverage and workload on later records. We examine this transfer using complementary forecast and decision analyses on 2,063 common UCI Seismic Bumps test records with 88 hazardous-shift labels. Matching test records substantially narrows random-versus-record-order average-precision differences, showing cohort sensitivity without isolating leakage or drift. We then select budget-only, cost-only and capacity-constrained cost rules on historical reference data and evaluate their frozen transfer. For fixed XGBoost models at an assumed missed-hazard cost ten times the false-alert cost, capacity-constrained cost rules show pooled loss differences of 0.00 to 0.82 units per 100 records against no alarms; intervals for the nonzero differences include zero. At a 20% historical budget, these rules produce 34 alerts and 2 detections, compared with 557 alerts and 25 detections for budget-only rules, among 88 hazardous shifts. Historical capacity feasibility does not ensure later feasibility, and refitting can change decisions at an unchanged cutoff. A separately specified exploratory comparison at matched grade allocations and test-batch slots does not establish a consistent detection increment from adding monitoring variables beyond grades and shift type. The findings support joint evaluation of loss, coverage and workload on overlapping records; recorded order remains a temporal proxy.</w:t>
      </w:r>
    </w:p>
    <w:p>
      <w:r>
        <w:t>Keywords: seismic hazard; forecast evaluation; average precision; warning decisions; threshold transfer; inspection capacity</w:t>
      </w:r>
    </w:p>
    <w:p>
      <w:pPr>
        <w:pStyle w:val="Heading1"/>
      </w:pPr>
      <w:r>
        <w:t>1 Introduction and research objective</w:t>
      </w:r>
    </w:p>
    <w:p>
      <w:r>
        <w:t>Mine-monitoring scores become engineering decisions when a rule selects subsequent shifts for inspection. Historical loss minimization or capacity feasibility does not determine what the same rule will demand or detect on later records. This study asks: how do historically selected seismic warning rules perform on subsequent records in loss, hazardous-shift coverage and alarm workload, and what forecast-evaluation evidence supports interpreting those outcomes?</w:t>
      </w:r>
    </w:p>
    <w:p>
      <w:r>
        <w:t>Two questions organize the analysis. First, how does evaluation on common test records change the apparent forecast-protocol gap? Second, how do loss, coverage and workload change when historical warning rules transfer under assumed costs and capacity? Calibration, TreeSHAP and refitted ablations provide supporting evidence about probabilities and model use of information. The earlier within-grade ranking pilot remains separate. A subsequent matched-information analysis supports the second question by fixing test-batch slots and grade allocations; its core result is included here, with full evidence in the exploratory supplement. The two stages retain their own fitting and threshold protocols; one is not a prospective validation of the other.</w:t>
      </w:r>
    </w:p>
    <w:p>
      <w:pPr>
        <w:pStyle w:val="Heading1"/>
      </w:pPr>
      <w:r>
        <w:t>1.1 Relation to mining and decision research</w:t>
      </w:r>
    </w:p>
    <w:p>
      <w:r>
        <w:t>The UCI task concerns a high-energy seismic bump in the next shift, rather than a confirmed rockburst accident [1]. Earlier rule-induction work used working-face-specific monitoring and examined rule transfer [2]. Janusz and colleagues compared expert and sensor information and studied cold start with identified mining sites and structured histories [3]. Those cohorts and forecast targets do not supply a directly comparable performance leaderboard for the present shift-summary mirror. The microseismic monitoring review distinguishes waveform detection and location from forecasting [4]. This study evaluates supplied shift summaries, not event detection from waveforms.</w:t>
      </w:r>
    </w:p>
    <w:p>
      <w:r>
        <w:t>Threshold-choice theory relates scores, operating conditions and expected classification loss [5]. Risk-informed warning identification connects warnings to assessment and response, but its assessment-based Seismic Bumps comparison differs from this study's subsequent-shift event label [6]. Precision-recall interpretation also depends on the evaluation prevalence [7]. These sources motivate explicit comparators; they do not establish that a retrospectively selected rule will work at a new mine or future operating condition.</w:t>
      </w:r>
    </w:p>
    <w:p>
      <w:r>
        <w:t>The study contributes three connected elements. First, common-cohort forecast assessment quantifies how the apparent AP protocol gap changes with the evaluated records: the gaps shrink by 89.7% for LR, 86.9% for CART, 89.4% for XGBoost, without identifying a causal share of leakage or drift. Second, the decision analysis jointly measures transferred loss, detections, workload and capacity excess, explains historical no-alarm choices and compares fixed with refitted models. A matched-allocation supplement then asks whether monitoring information adds coverage beyond grades and shift type. Third, the implementation connects source row mappings, saved predictions, historical threshold candidates and row-level decisions to verification through separate calculation paths. This is an application and empirical evaluation of established learning, explanation, threshold-choice and resampling methods.</w:t>
      </w:r>
    </w:p>
    <w:p>
      <w:pPr>
        <w:keepNext/>
        <w:jc w:val="center"/>
      </w:pPr>
      <w:r>
        <w:drawing>
          <wp:inline xmlns:a="http://schemas.openxmlformats.org/drawingml/2006/main" xmlns:pic="http://schemas.openxmlformats.org/drawingml/2006/picture">
            <wp:extent cx="5852160" cy="2529726"/>
            <wp:docPr id="1" name="Picture 1"/>
            <wp:cNvGraphicFramePr>
              <a:graphicFrameLocks noChangeAspect="1"/>
            </wp:cNvGraphicFramePr>
            <a:graphic>
              <a:graphicData uri="http://schemas.openxmlformats.org/drawingml/2006/picture">
                <pic:pic>
                  <pic:nvPicPr>
                    <pic:cNvPr id="0" name="evidence_overview.png"/>
                    <pic:cNvPicPr/>
                  </pic:nvPicPr>
                  <pic:blipFill>
                    <a:blip r:embed="rId9">
                      <a:extLst>
                        <a:ext uri="{96DAC541-7B7A-43D3-8B79-37D633B846F1}">
                          <asvg:svgBlip xmlns:asvg="http://schemas.microsoft.com/office/drawing/2016/SVG/main" r:embed="rId10"/>
                        </a:ext>
                      </a:extLst>
                    </a:blip>
                    <a:stretch>
                      <a:fillRect/>
                    </a:stretch>
                  </pic:blipFill>
                  <pic:spPr>
                    <a:xfrm>
                      <a:off x="0" y="0"/>
                      <a:ext cx="5852160" cy="2529726"/>
                    </a:xfrm>
                    <a:prstGeom prst="rect"/>
                  </pic:spPr>
                </pic:pic>
              </a:graphicData>
            </a:graphic>
          </wp:inline>
        </w:drawing>
      </w:r>
    </w:p>
    <w:p>
      <w:pPr>
        <w:pStyle w:val="Caption"/>
        <w:keepLines/>
      </w:pPr>
      <w:r>
        <w:t>Figure 1. Conceptual organization of the study. Shared records support complementary forecast and decision analyses. The branches do not imply that corrected Stage 1 probabilities are inputs to Stage 2 rules.</w:t>
      </w:r>
    </w:p>
    <w:p>
      <w:pPr>
        <w:pStyle w:val="Heading1"/>
      </w:pPr>
      <w:r>
        <w:t>2 Data, target and common evaluation records</w:t>
      </w:r>
    </w:p>
    <w:p>
      <w:r>
        <w:t>The official source contains 2,584 records and 170 positive shift labels. An ARFF-to-mirror audit reproduces first-occurrence deduplication without reordering: 6 exact duplicate occurrences, all negative, are removed to yield 2,578 mirror records [1,8]. This verifies the mirror transformation; it does not establish that identical monitoring records could not have represented distinct real shifts. A positive label denotes a bump above 10,000 J in the subsequent eight-hour shift. It is not a catalogue of independent accidents or a measured intervention benefit.</w:t>
      </w:r>
    </w:p>
    <w:p>
      <w:r>
        <w:t>The retained 17-column design contains three hazard assessments (seismic, seismoacoustic, ghazard), four geophone variables, nine seismic-activity variables and shift type. The geophone deviations already use historical summaries supplied with the data. The total count nbumps is omitted from this design; constant energy-band columns remain. Neither timestamps nor working-face identifiers are available to validate cross-row continuity. Recorded order is therefore the stated temporal proxy, not a verified sequence of consecutive shifts from one working face.</w:t>
      </w:r>
    </w:p>
    <w:p>
      <w:pPr>
        <w:pStyle w:val="Caption"/>
        <w:keepNext/>
      </w:pPr>
      <w:r>
        <w:t>Table 1. Shared test census and Stage 2 reference areas. The blocks are record-order evaluation groups, not identified mining sites.</w:t>
      </w:r>
    </w:p>
    <w:tbl>
      <w:tblPr>
        <w:tblStyle w:val="TableGrid"/>
        <w:tblW w:type="auto" w:w="0"/>
        <w:jc w:val="center"/>
        <w:tblLook w:firstColumn="1" w:firstRow="1" w:lastColumn="0" w:lastRow="0" w:noHBand="0" w:noVBand="1" w:val="04A0"/>
      </w:tblPr>
      <w:tblGrid>
        <w:gridCol w:w="1601"/>
        <w:gridCol w:w="1601"/>
        <w:gridCol w:w="1601"/>
        <w:gridCol w:w="1601"/>
        <w:gridCol w:w="1601"/>
        <w:gridCol w:w="1601"/>
      </w:tblGrid>
      <w:tr>
        <w:trPr>
          <w:cantSplit/>
          <w:tblHeader/>
        </w:trPr>
        <w:tc>
          <w:tcPr>
            <w:tcW w:type="dxa" w:w="1601"/>
            <w:vAlign w:val="center"/>
            <w:shd w:fill="EDEFF1"/>
          </w:tcPr>
          <w:p>
            <w:pPr>
              <w:keepNext/>
              <w:spacing w:line="245" w:lineRule="auto" w:before="60" w:after="60"/>
              <w:jc w:val="center"/>
            </w:pPr>
            <w:r>
              <w:rPr>
                <w:b/>
                <w:sz w:val="20"/>
              </w:rPr>
              <w:t>Record block</w:t>
            </w:r>
          </w:p>
        </w:tc>
        <w:tc>
          <w:tcPr>
            <w:tcW w:type="dxa" w:w="1601"/>
            <w:vAlign w:val="center"/>
            <w:shd w:fill="EDEFF1"/>
          </w:tcPr>
          <w:p>
            <w:pPr>
              <w:keepNext/>
              <w:spacing w:line="245" w:lineRule="auto" w:before="60" w:after="60"/>
              <w:jc w:val="center"/>
            </w:pPr>
            <w:r>
              <w:rPr>
                <w:b/>
                <w:sz w:val="20"/>
              </w:rPr>
              <w:t>Test records</w:t>
            </w:r>
          </w:p>
        </w:tc>
        <w:tc>
          <w:tcPr>
            <w:tcW w:type="dxa" w:w="1601"/>
            <w:vAlign w:val="center"/>
            <w:shd w:fill="EDEFF1"/>
          </w:tcPr>
          <w:p>
            <w:pPr>
              <w:keepNext/>
              <w:spacing w:line="245" w:lineRule="auto" w:before="60" w:after="60"/>
              <w:jc w:val="center"/>
            </w:pPr>
            <w:r>
              <w:rPr>
                <w:b/>
                <w:sz w:val="20"/>
              </w:rPr>
              <w:t>Test positives</w:t>
            </w:r>
          </w:p>
        </w:tc>
        <w:tc>
          <w:tcPr>
            <w:tcW w:type="dxa" w:w="1601"/>
            <w:vAlign w:val="center"/>
            <w:shd w:fill="EDEFF1"/>
          </w:tcPr>
          <w:p>
            <w:pPr>
              <w:keepNext/>
              <w:spacing w:line="245" w:lineRule="auto" w:before="60" w:after="60"/>
              <w:jc w:val="center"/>
            </w:pPr>
            <w:r>
              <w:rPr>
                <w:b/>
                <w:sz w:val="20"/>
              </w:rPr>
              <w:t>Test prevalence</w:t>
            </w:r>
          </w:p>
        </w:tc>
        <w:tc>
          <w:tcPr>
            <w:tcW w:type="dxa" w:w="1601"/>
            <w:vAlign w:val="center"/>
            <w:shd w:fill="EDEFF1"/>
          </w:tcPr>
          <w:p>
            <w:pPr>
              <w:keepNext/>
              <w:spacing w:line="245" w:lineRule="auto" w:before="60" w:after="60"/>
              <w:jc w:val="center"/>
            </w:pPr>
            <w:r>
              <w:rPr>
                <w:b/>
                <w:sz w:val="20"/>
              </w:rPr>
              <w:t>Reference records</w:t>
            </w:r>
          </w:p>
        </w:tc>
        <w:tc>
          <w:tcPr>
            <w:tcW w:type="dxa" w:w="1601"/>
            <w:vAlign w:val="center"/>
            <w:shd w:fill="EDEFF1"/>
          </w:tcPr>
          <w:p>
            <w:pPr>
              <w:keepNext/>
              <w:spacing w:line="245" w:lineRule="auto" w:before="60" w:after="60"/>
              <w:jc w:val="center"/>
            </w:pPr>
            <w:r>
              <w:rPr>
                <w:b/>
                <w:sz w:val="20"/>
              </w:rPr>
              <w:t>Reference positives</w:t>
            </w:r>
          </w:p>
        </w:tc>
      </w:tr>
      <w:tr>
        <w:trPr>
          <w:cantSplit/>
        </w:trPr>
        <w:tc>
          <w:tcPr>
            <w:tcW w:type="dxa" w:w="1601"/>
            <w:vAlign w:val="center"/>
          </w:tcPr>
          <w:p>
            <w:pPr>
              <w:keepNext/>
              <w:spacing w:line="245" w:lineRule="auto" w:before="60" w:after="60"/>
              <w:jc w:val="left"/>
            </w:pPr>
            <w:r>
              <w:rPr>
                <w:b w:val="0"/>
                <w:sz w:val="20"/>
              </w:rPr>
              <w:t>1</w:t>
            </w:r>
          </w:p>
        </w:tc>
        <w:tc>
          <w:tcPr>
            <w:tcW w:type="dxa" w:w="1601"/>
            <w:vAlign w:val="center"/>
          </w:tcPr>
          <w:p>
            <w:pPr>
              <w:keepNext/>
              <w:spacing w:line="245" w:lineRule="auto" w:before="60" w:after="60"/>
              <w:jc w:val="right"/>
            </w:pPr>
            <w:r>
              <w:rPr>
                <w:b w:val="0"/>
                <w:sz w:val="20"/>
              </w:rPr>
              <w:t>516</w:t>
            </w:r>
          </w:p>
        </w:tc>
        <w:tc>
          <w:tcPr>
            <w:tcW w:type="dxa" w:w="1601"/>
            <w:vAlign w:val="center"/>
          </w:tcPr>
          <w:p>
            <w:pPr>
              <w:keepNext/>
              <w:spacing w:line="245" w:lineRule="auto" w:before="60" w:after="60"/>
              <w:jc w:val="right"/>
            </w:pPr>
            <w:r>
              <w:rPr>
                <w:b w:val="0"/>
                <w:sz w:val="20"/>
              </w:rPr>
              <w:t>36</w:t>
            </w:r>
          </w:p>
        </w:tc>
        <w:tc>
          <w:tcPr>
            <w:tcW w:type="dxa" w:w="1601"/>
            <w:vAlign w:val="center"/>
          </w:tcPr>
          <w:p>
            <w:pPr>
              <w:keepNext/>
              <w:spacing w:line="245" w:lineRule="auto" w:before="60" w:after="60"/>
              <w:jc w:val="right"/>
            </w:pPr>
            <w:r>
              <w:rPr>
                <w:b w:val="0"/>
                <w:sz w:val="20"/>
              </w:rPr>
              <w:t>6.98%</w:t>
            </w:r>
          </w:p>
        </w:tc>
        <w:tc>
          <w:tcPr>
            <w:tcW w:type="dxa" w:w="1601"/>
            <w:vAlign w:val="center"/>
          </w:tcPr>
          <w:p>
            <w:pPr>
              <w:keepNext/>
              <w:spacing w:line="245" w:lineRule="auto" w:before="60" w:after="60"/>
              <w:jc w:val="right"/>
            </w:pPr>
            <w:r>
              <w:rPr>
                <w:b w:val="0"/>
                <w:sz w:val="20"/>
              </w:rPr>
              <w:t>103</w:t>
            </w:r>
          </w:p>
        </w:tc>
        <w:tc>
          <w:tcPr>
            <w:tcW w:type="dxa" w:w="1601"/>
            <w:vAlign w:val="center"/>
          </w:tcPr>
          <w:p>
            <w:pPr>
              <w:keepNext/>
              <w:spacing w:line="245" w:lineRule="auto" w:before="60" w:after="60"/>
              <w:jc w:val="right"/>
            </w:pPr>
            <w:r>
              <w:rPr>
                <w:b w:val="0"/>
                <w:sz w:val="20"/>
              </w:rPr>
              <w:t>21</w:t>
            </w:r>
          </w:p>
        </w:tc>
      </w:tr>
      <w:tr>
        <w:trPr>
          <w:cantSplit/>
        </w:trPr>
        <w:tc>
          <w:tcPr>
            <w:tcW w:type="dxa" w:w="1601"/>
            <w:vAlign w:val="center"/>
          </w:tcPr>
          <w:p>
            <w:pPr>
              <w:keepNext/>
              <w:spacing w:line="245" w:lineRule="auto" w:before="60" w:after="60"/>
              <w:jc w:val="left"/>
            </w:pPr>
            <w:r>
              <w:rPr>
                <w:b w:val="0"/>
                <w:sz w:val="20"/>
              </w:rPr>
              <w:t>2</w:t>
            </w:r>
          </w:p>
        </w:tc>
        <w:tc>
          <w:tcPr>
            <w:tcW w:type="dxa" w:w="1601"/>
            <w:vAlign w:val="center"/>
          </w:tcPr>
          <w:p>
            <w:pPr>
              <w:keepNext/>
              <w:spacing w:line="245" w:lineRule="auto" w:before="60" w:after="60"/>
              <w:jc w:val="right"/>
            </w:pPr>
            <w:r>
              <w:rPr>
                <w:b w:val="0"/>
                <w:sz w:val="20"/>
              </w:rPr>
              <w:t>515</w:t>
            </w:r>
          </w:p>
        </w:tc>
        <w:tc>
          <w:tcPr>
            <w:tcW w:type="dxa" w:w="1601"/>
            <w:vAlign w:val="center"/>
          </w:tcPr>
          <w:p>
            <w:pPr>
              <w:keepNext/>
              <w:spacing w:line="245" w:lineRule="auto" w:before="60" w:after="60"/>
              <w:jc w:val="right"/>
            </w:pPr>
            <w:r>
              <w:rPr>
                <w:b w:val="0"/>
                <w:sz w:val="20"/>
              </w:rPr>
              <w:t>10</w:t>
            </w:r>
          </w:p>
        </w:tc>
        <w:tc>
          <w:tcPr>
            <w:tcW w:type="dxa" w:w="1601"/>
            <w:vAlign w:val="center"/>
          </w:tcPr>
          <w:p>
            <w:pPr>
              <w:keepNext/>
              <w:spacing w:line="245" w:lineRule="auto" w:before="60" w:after="60"/>
              <w:jc w:val="right"/>
            </w:pPr>
            <w:r>
              <w:rPr>
                <w:b w:val="0"/>
                <w:sz w:val="20"/>
              </w:rPr>
              <w:t>1.94%</w:t>
            </w:r>
          </w:p>
        </w:tc>
        <w:tc>
          <w:tcPr>
            <w:tcW w:type="dxa" w:w="1601"/>
            <w:vAlign w:val="center"/>
          </w:tcPr>
          <w:p>
            <w:pPr>
              <w:keepNext/>
              <w:spacing w:line="245" w:lineRule="auto" w:before="60" w:after="60"/>
              <w:jc w:val="right"/>
            </w:pPr>
            <w:r>
              <w:rPr>
                <w:b w:val="0"/>
                <w:sz w:val="20"/>
              </w:rPr>
              <w:t>207</w:t>
            </w:r>
          </w:p>
        </w:tc>
        <w:tc>
          <w:tcPr>
            <w:tcW w:type="dxa" w:w="1601"/>
            <w:vAlign w:val="center"/>
          </w:tcPr>
          <w:p>
            <w:pPr>
              <w:keepNext/>
              <w:spacing w:line="245" w:lineRule="auto" w:before="60" w:after="60"/>
              <w:jc w:val="right"/>
            </w:pPr>
            <w:r>
              <w:rPr>
                <w:b w:val="0"/>
                <w:sz w:val="20"/>
              </w:rPr>
              <w:t>1</w:t>
            </w:r>
          </w:p>
        </w:tc>
      </w:tr>
      <w:tr>
        <w:trPr>
          <w:cantSplit/>
        </w:trPr>
        <w:tc>
          <w:tcPr>
            <w:tcW w:type="dxa" w:w="1601"/>
            <w:vAlign w:val="center"/>
          </w:tcPr>
          <w:p>
            <w:pPr>
              <w:keepNext/>
              <w:spacing w:line="245" w:lineRule="auto" w:before="60" w:after="60"/>
              <w:jc w:val="left"/>
            </w:pPr>
            <w:r>
              <w:rPr>
                <w:b w:val="0"/>
                <w:sz w:val="20"/>
              </w:rPr>
              <w:t>3</w:t>
            </w:r>
          </w:p>
        </w:tc>
        <w:tc>
          <w:tcPr>
            <w:tcW w:type="dxa" w:w="1601"/>
            <w:vAlign w:val="center"/>
          </w:tcPr>
          <w:p>
            <w:pPr>
              <w:keepNext/>
              <w:spacing w:line="245" w:lineRule="auto" w:before="60" w:after="60"/>
              <w:jc w:val="right"/>
            </w:pPr>
            <w:r>
              <w:rPr>
                <w:b w:val="0"/>
                <w:sz w:val="20"/>
              </w:rPr>
              <w:t>516</w:t>
            </w:r>
          </w:p>
        </w:tc>
        <w:tc>
          <w:tcPr>
            <w:tcW w:type="dxa" w:w="1601"/>
            <w:vAlign w:val="center"/>
          </w:tcPr>
          <w:p>
            <w:pPr>
              <w:keepNext/>
              <w:spacing w:line="245" w:lineRule="auto" w:before="60" w:after="60"/>
              <w:jc w:val="right"/>
            </w:pPr>
            <w:r>
              <w:rPr>
                <w:b w:val="0"/>
                <w:sz w:val="20"/>
              </w:rPr>
              <w:t>24</w:t>
            </w:r>
          </w:p>
        </w:tc>
        <w:tc>
          <w:tcPr>
            <w:tcW w:type="dxa" w:w="1601"/>
            <w:vAlign w:val="center"/>
          </w:tcPr>
          <w:p>
            <w:pPr>
              <w:keepNext/>
              <w:spacing w:line="245" w:lineRule="auto" w:before="60" w:after="60"/>
              <w:jc w:val="right"/>
            </w:pPr>
            <w:r>
              <w:rPr>
                <w:b w:val="0"/>
                <w:sz w:val="20"/>
              </w:rPr>
              <w:t>4.65%</w:t>
            </w:r>
          </w:p>
        </w:tc>
        <w:tc>
          <w:tcPr>
            <w:tcW w:type="dxa" w:w="1601"/>
            <w:vAlign w:val="center"/>
          </w:tcPr>
          <w:p>
            <w:pPr>
              <w:keepNext/>
              <w:spacing w:line="245" w:lineRule="auto" w:before="60" w:after="60"/>
              <w:jc w:val="right"/>
            </w:pPr>
            <w:r>
              <w:rPr>
                <w:b w:val="0"/>
                <w:sz w:val="20"/>
              </w:rPr>
              <w:t>310</w:t>
            </w:r>
          </w:p>
        </w:tc>
        <w:tc>
          <w:tcPr>
            <w:tcW w:type="dxa" w:w="1601"/>
            <w:vAlign w:val="center"/>
          </w:tcPr>
          <w:p>
            <w:pPr>
              <w:keepNext/>
              <w:spacing w:line="245" w:lineRule="auto" w:before="60" w:after="60"/>
              <w:jc w:val="right"/>
            </w:pPr>
            <w:r>
              <w:rPr>
                <w:b w:val="0"/>
                <w:sz w:val="20"/>
              </w:rPr>
              <w:t>7</w:t>
            </w:r>
          </w:p>
        </w:tc>
      </w:tr>
      <w:tr>
        <w:trPr>
          <w:cantSplit/>
        </w:trPr>
        <w:tc>
          <w:tcPr>
            <w:tcW w:type="dxa" w:w="1601"/>
            <w:vAlign w:val="center"/>
          </w:tcPr>
          <w:p>
            <w:pPr>
              <w:keepNext w:val="0"/>
              <w:spacing w:line="245" w:lineRule="auto" w:before="60" w:after="60"/>
              <w:jc w:val="left"/>
            </w:pPr>
            <w:r>
              <w:rPr>
                <w:b w:val="0"/>
                <w:sz w:val="20"/>
              </w:rPr>
              <w:t>4</w:t>
            </w:r>
          </w:p>
        </w:tc>
        <w:tc>
          <w:tcPr>
            <w:tcW w:type="dxa" w:w="1601"/>
            <w:vAlign w:val="center"/>
          </w:tcPr>
          <w:p>
            <w:pPr>
              <w:keepNext w:val="0"/>
              <w:spacing w:line="245" w:lineRule="auto" w:before="60" w:after="60"/>
              <w:jc w:val="right"/>
            </w:pPr>
            <w:r>
              <w:rPr>
                <w:b w:val="0"/>
                <w:sz w:val="20"/>
              </w:rPr>
              <w:t>516</w:t>
            </w:r>
          </w:p>
        </w:tc>
        <w:tc>
          <w:tcPr>
            <w:tcW w:type="dxa" w:w="1601"/>
            <w:vAlign w:val="center"/>
          </w:tcPr>
          <w:p>
            <w:pPr>
              <w:keepNext w:val="0"/>
              <w:spacing w:line="245" w:lineRule="auto" w:before="60" w:after="60"/>
              <w:jc w:val="right"/>
            </w:pPr>
            <w:r>
              <w:rPr>
                <w:b w:val="0"/>
                <w:sz w:val="20"/>
              </w:rPr>
              <w:t>18</w:t>
            </w:r>
          </w:p>
        </w:tc>
        <w:tc>
          <w:tcPr>
            <w:tcW w:type="dxa" w:w="1601"/>
            <w:vAlign w:val="center"/>
          </w:tcPr>
          <w:p>
            <w:pPr>
              <w:keepNext w:val="0"/>
              <w:spacing w:line="245" w:lineRule="auto" w:before="60" w:after="60"/>
              <w:jc w:val="right"/>
            </w:pPr>
            <w:r>
              <w:rPr>
                <w:b w:val="0"/>
                <w:sz w:val="20"/>
              </w:rPr>
              <w:t>3.49%</w:t>
            </w:r>
          </w:p>
        </w:tc>
        <w:tc>
          <w:tcPr>
            <w:tcW w:type="dxa" w:w="1601"/>
            <w:vAlign w:val="center"/>
          </w:tcPr>
          <w:p>
            <w:pPr>
              <w:keepNext w:val="0"/>
              <w:spacing w:line="245" w:lineRule="auto" w:before="60" w:after="60"/>
              <w:jc w:val="right"/>
            </w:pPr>
            <w:r>
              <w:rPr>
                <w:b w:val="0"/>
                <w:sz w:val="20"/>
              </w:rPr>
              <w:t>413</w:t>
            </w:r>
          </w:p>
        </w:tc>
        <w:tc>
          <w:tcPr>
            <w:tcW w:type="dxa" w:w="1601"/>
            <w:vAlign w:val="center"/>
          </w:tcPr>
          <w:p>
            <w:pPr>
              <w:keepNext w:val="0"/>
              <w:spacing w:line="245" w:lineRule="auto" w:before="60" w:after="60"/>
              <w:jc w:val="right"/>
            </w:pPr>
            <w:r>
              <w:rPr>
                <w:b w:val="0"/>
                <w:sz w:val="20"/>
              </w:rPr>
              <w:t>20</w:t>
            </w:r>
          </w:p>
        </w:tc>
      </w:tr>
    </w:tbl>
    <w:p>
      <w:pPr>
        <w:spacing w:after="20"/>
      </w:pPr>
    </w:p>
    <w:p>
      <w:r>
        <w:t>The common test cohort has 88/2063 positives (4.27%), distinct from the full-mirror prevalence of 6.59%. The 774-record holdout is wholly within the common test rows and uses a different training cutoff. It fits the first 1,804 mirror records (one-based rows 1-1,804) and tests the last 774 (rows 1,805-2,578). It was already inspected and is supplementary, overlapping evidence; it is neither an additional independent cohort nor an untouched confirmation set. Sample counts are not added across stages or protocols.</w:t>
      </w:r>
    </w:p>
    <w:p>
      <w:pPr>
        <w:pStyle w:val="Heading1"/>
      </w:pPr>
      <w:r>
        <w:t>3 Two complementary evaluation protocols</w:t>
      </w:r>
    </w:p>
    <w:p>
      <w:r>
        <w:t>LR uses balanced class weights and an L2 penalty of 1. Bagged CART uses 60 unweighted bootstrap trees, depth 6 and minimum leaf size 20. XGBoost uses binary logistic loss, histogram trees, learning rate 0.05, minimum child weight 10 and L2 penalty 5 [9]. The grid is depths 2/3 crossed with 80/160 rounds, with seed 7, two threads and full row/column sampling. Tuning occurs within the supplied training area. Models have deliberately asymmetric weighting and tuning; these are comparisons of retained workflows, not equal-budget algorithm searches.</w:t>
      </w:r>
    </w:p>
    <w:p>
      <w:pPr>
        <w:pStyle w:val="Caption"/>
        <w:keepNext/>
      </w:pPr>
      <w:r>
        <w:t>Table 2. Workflow definitions. Numerical cutoffs and alert counts are comparable only under matched workflows.</w:t>
      </w:r>
    </w:p>
    <w:tbl>
      <w:tblPr>
        <w:tblStyle w:val="TableGrid"/>
        <w:tblW w:type="auto" w:w="0"/>
        <w:jc w:val="center"/>
        <w:tblLook w:firstColumn="1" w:firstRow="1" w:lastColumn="0" w:lastRow="0" w:noHBand="0" w:noVBand="1" w:val="04A0"/>
      </w:tblPr>
      <w:tblGrid>
        <w:gridCol w:w="3202"/>
        <w:gridCol w:w="3202"/>
        <w:gridCol w:w="3202"/>
      </w:tblGrid>
      <w:tr>
        <w:trPr>
          <w:cantSplit/>
          <w:tblHeader/>
        </w:trPr>
        <w:tc>
          <w:tcPr>
            <w:tcW w:type="dxa" w:w="3202"/>
            <w:vAlign w:val="center"/>
            <w:shd w:fill="EDEFF1"/>
          </w:tcPr>
          <w:p>
            <w:pPr>
              <w:keepNext/>
              <w:spacing w:line="245" w:lineRule="auto" w:before="60" w:after="60"/>
              <w:jc w:val="center"/>
            </w:pPr>
            <w:r>
              <w:rPr>
                <w:b/>
                <w:sz w:val="20"/>
              </w:rPr>
              <w:t>Item</w:t>
            </w:r>
          </w:p>
        </w:tc>
        <w:tc>
          <w:tcPr>
            <w:tcW w:type="dxa" w:w="3202"/>
            <w:vAlign w:val="center"/>
            <w:shd w:fill="EDEFF1"/>
          </w:tcPr>
          <w:p>
            <w:pPr>
              <w:keepNext/>
              <w:spacing w:line="245" w:lineRule="auto" w:before="60" w:after="60"/>
              <w:jc w:val="center"/>
            </w:pPr>
            <w:r>
              <w:rPr>
                <w:b/>
                <w:sz w:val="20"/>
              </w:rPr>
              <w:t>Forecast study (Stage 1)</w:t>
            </w:r>
          </w:p>
        </w:tc>
        <w:tc>
          <w:tcPr>
            <w:tcW w:type="dxa" w:w="3202"/>
            <w:vAlign w:val="center"/>
            <w:shd w:fill="EDEFF1"/>
          </w:tcPr>
          <w:p>
            <w:pPr>
              <w:keepNext/>
              <w:spacing w:line="245" w:lineRule="auto" w:before="60" w:after="60"/>
              <w:jc w:val="center"/>
            </w:pPr>
            <w:r>
              <w:rPr>
                <w:b/>
                <w:sz w:val="20"/>
              </w:rPr>
              <w:t>Decision study (Stage 2)</w:t>
            </w:r>
          </w:p>
        </w:tc>
      </w:tr>
      <w:tr>
        <w:trPr>
          <w:cantSplit/>
        </w:trPr>
        <w:tc>
          <w:tcPr>
            <w:tcW w:type="dxa" w:w="3202"/>
            <w:vAlign w:val="center"/>
          </w:tcPr>
          <w:p>
            <w:pPr>
              <w:keepNext/>
              <w:spacing w:line="245" w:lineRule="auto" w:before="60" w:after="60"/>
              <w:jc w:val="left"/>
            </w:pPr>
            <w:r>
              <w:rPr>
                <w:b w:val="0"/>
                <w:sz w:val="20"/>
              </w:rPr>
              <w:t>Main comparison</w:t>
            </w:r>
          </w:p>
        </w:tc>
        <w:tc>
          <w:tcPr>
            <w:tcW w:type="dxa" w:w="3202"/>
            <w:vAlign w:val="center"/>
          </w:tcPr>
          <w:p>
            <w:pPr>
              <w:keepNext/>
              <w:spacing w:line="245" w:lineRule="auto" w:before="60" w:after="60"/>
              <w:jc w:val="left"/>
            </w:pPr>
            <w:r>
              <w:rPr>
                <w:b w:val="0"/>
                <w:sz w:val="20"/>
              </w:rPr>
              <w:t>Random versus expanding record order on common test rows</w:t>
            </w:r>
          </w:p>
        </w:tc>
        <w:tc>
          <w:tcPr>
            <w:tcW w:type="dxa" w:w="3202"/>
            <w:vAlign w:val="center"/>
          </w:tcPr>
          <w:p>
            <w:pPr>
              <w:keepNext/>
              <w:spacing w:line="245" w:lineRule="auto" w:before="60" w:after="60"/>
              <w:jc w:val="left"/>
            </w:pPr>
            <w:r>
              <w:rPr>
                <w:b w:val="0"/>
                <w:sz w:val="20"/>
              </w:rPr>
              <w:t>Historical A/B/C rules transferred to the same later blocks</w:t>
            </w:r>
          </w:p>
        </w:tc>
      </w:tr>
      <w:tr>
        <w:trPr>
          <w:cantSplit/>
        </w:trPr>
        <w:tc>
          <w:tcPr>
            <w:tcW w:type="dxa" w:w="3202"/>
            <w:vAlign w:val="center"/>
          </w:tcPr>
          <w:p>
            <w:pPr>
              <w:keepNext/>
              <w:spacing w:line="245" w:lineRule="auto" w:before="60" w:after="60"/>
              <w:jc w:val="left"/>
            </w:pPr>
            <w:r>
              <w:rPr>
                <w:b w:val="0"/>
                <w:sz w:val="20"/>
              </w:rPr>
              <w:t>Model fitting</w:t>
            </w:r>
          </w:p>
        </w:tc>
        <w:tc>
          <w:tcPr>
            <w:tcW w:type="dxa" w:w="3202"/>
            <w:vAlign w:val="center"/>
          </w:tcPr>
          <w:p>
            <w:pPr>
              <w:keepNext/>
              <w:spacing w:line="245" w:lineRule="auto" w:before="60" w:after="60"/>
              <w:jc w:val="left"/>
            </w:pPr>
            <w:r>
              <w:rPr>
                <w:b w:val="0"/>
                <w:sz w:val="20"/>
              </w:rPr>
              <w:t>Outer models refit on supplied training rows</w:t>
            </w:r>
          </w:p>
        </w:tc>
        <w:tc>
          <w:tcPr>
            <w:tcW w:type="dxa" w:w="3202"/>
            <w:vAlign w:val="center"/>
          </w:tcPr>
          <w:p>
            <w:pPr>
              <w:keepNext/>
              <w:spacing w:line="245" w:lineRule="auto" w:before="60" w:after="60"/>
              <w:jc w:val="left"/>
            </w:pPr>
            <w:r>
              <w:rPr>
                <w:b w:val="0"/>
                <w:sz w:val="20"/>
              </w:rPr>
              <w:t>Primary fixed model fits first 80% of outer history</w:t>
            </w:r>
          </w:p>
        </w:tc>
      </w:tr>
      <w:tr>
        <w:trPr>
          <w:cantSplit/>
        </w:trPr>
        <w:tc>
          <w:tcPr>
            <w:tcW w:type="dxa" w:w="3202"/>
            <w:vAlign w:val="center"/>
          </w:tcPr>
          <w:p>
            <w:pPr>
              <w:keepNext/>
              <w:spacing w:line="245" w:lineRule="auto" w:before="60" w:after="60"/>
              <w:jc w:val="left"/>
            </w:pPr>
            <w:r>
              <w:rPr>
                <w:b w:val="0"/>
                <w:sz w:val="20"/>
              </w:rPr>
              <w:t>Policy reference</w:t>
            </w:r>
          </w:p>
        </w:tc>
        <w:tc>
          <w:tcPr>
            <w:tcW w:type="dxa" w:w="3202"/>
            <w:vAlign w:val="center"/>
          </w:tcPr>
          <w:p>
            <w:pPr>
              <w:keepNext/>
              <w:spacing w:line="245" w:lineRule="auto" w:before="60" w:after="60"/>
              <w:jc w:val="left"/>
            </w:pPr>
            <w:r>
              <w:rPr>
                <w:b w:val="0"/>
                <w:sz w:val="20"/>
              </w:rPr>
              <w:t>Last 20% of history; separate earlier reference model</w:t>
            </w:r>
          </w:p>
        </w:tc>
        <w:tc>
          <w:tcPr>
            <w:tcW w:type="dxa" w:w="3202"/>
            <w:vAlign w:val="center"/>
          </w:tcPr>
          <w:p>
            <w:pPr>
              <w:keepNext/>
              <w:spacing w:line="245" w:lineRule="auto" w:before="60" w:after="60"/>
              <w:jc w:val="left"/>
            </w:pPr>
            <w:r>
              <w:rPr>
                <w:b w:val="0"/>
                <w:sz w:val="20"/>
              </w:rPr>
              <w:t>Last 20% of history; scores from primary fixed model</w:t>
            </w:r>
          </w:p>
        </w:tc>
      </w:tr>
      <w:tr>
        <w:trPr>
          <w:cantSplit/>
        </w:trPr>
        <w:tc>
          <w:tcPr>
            <w:tcW w:type="dxa" w:w="3202"/>
            <w:vAlign w:val="center"/>
          </w:tcPr>
          <w:p>
            <w:pPr>
              <w:keepNext/>
              <w:spacing w:line="245" w:lineRule="auto" w:before="60" w:after="60"/>
              <w:jc w:val="left"/>
            </w:pPr>
            <w:r>
              <w:rPr>
                <w:b w:val="0"/>
                <w:sz w:val="20"/>
              </w:rPr>
              <w:t>XGBoost choice</w:t>
            </w:r>
          </w:p>
        </w:tc>
        <w:tc>
          <w:tcPr>
            <w:tcW w:type="dxa" w:w="3202"/>
            <w:vAlign w:val="center"/>
          </w:tcPr>
          <w:p>
            <w:pPr>
              <w:keepNext/>
              <w:spacing w:line="245" w:lineRule="auto" w:before="60" w:after="60"/>
              <w:jc w:val="left"/>
            </w:pPr>
            <w:r>
              <w:rPr>
                <w:b w:val="0"/>
                <w:sz w:val="20"/>
              </w:rPr>
              <w:t>Separate training-local searches for outer/reference models</w:t>
            </w:r>
          </w:p>
        </w:tc>
        <w:tc>
          <w:tcPr>
            <w:tcW w:type="dxa" w:w="3202"/>
            <w:vAlign w:val="center"/>
          </w:tcPr>
          <w:p>
            <w:pPr>
              <w:keepNext/>
              <w:spacing w:line="245" w:lineRule="auto" w:before="60" w:after="60"/>
              <w:jc w:val="left"/>
            </w:pPr>
            <w:r>
              <w:rPr>
                <w:b w:val="0"/>
                <w:sz w:val="20"/>
              </w:rPr>
              <w:t>Search inside fitting area; same chosen settings for refitted control</w:t>
            </w:r>
          </w:p>
        </w:tc>
      </w:tr>
      <w:tr>
        <w:trPr>
          <w:cantSplit/>
        </w:trPr>
        <w:tc>
          <w:tcPr>
            <w:tcW w:type="dxa" w:w="3202"/>
            <w:vAlign w:val="center"/>
          </w:tcPr>
          <w:p>
            <w:pPr>
              <w:keepNext/>
              <w:spacing w:line="245" w:lineRule="auto" w:before="60" w:after="60"/>
              <w:jc w:val="left"/>
            </w:pPr>
            <w:r>
              <w:rPr>
                <w:b w:val="0"/>
                <w:sz w:val="20"/>
              </w:rPr>
              <w:t>Budget cutoff</w:t>
            </w:r>
          </w:p>
        </w:tc>
        <w:tc>
          <w:tcPr>
            <w:tcW w:type="dxa" w:w="3202"/>
            <w:vAlign w:val="center"/>
          </w:tcPr>
          <w:p>
            <w:pPr>
              <w:keepNext/>
              <w:spacing w:line="245" w:lineRule="auto" w:before="60" w:after="60"/>
              <w:jc w:val="left"/>
            </w:pPr>
            <w:r>
              <w:rPr>
                <w:b w:val="0"/>
                <w:sz w:val="20"/>
              </w:rPr>
              <w:t>Exclude boundary score and all ties</w:t>
            </w:r>
          </w:p>
        </w:tc>
        <w:tc>
          <w:tcPr>
            <w:tcW w:type="dxa" w:w="3202"/>
            <w:vAlign w:val="center"/>
          </w:tcPr>
          <w:p>
            <w:pPr>
              <w:keepNext/>
              <w:spacing w:line="245" w:lineRule="auto" w:before="60" w:after="60"/>
              <w:jc w:val="left"/>
            </w:pPr>
            <w:r>
              <w:rPr>
                <w:b w:val="0"/>
                <w:sz w:val="20"/>
              </w:rPr>
              <w:t>Canonical whole-score groups; alerts score &gt;= cutoff</w:t>
            </w:r>
          </w:p>
        </w:tc>
      </w:tr>
      <w:tr>
        <w:trPr>
          <w:cantSplit/>
        </w:trPr>
        <w:tc>
          <w:tcPr>
            <w:tcW w:type="dxa" w:w="3202"/>
            <w:vAlign w:val="center"/>
          </w:tcPr>
          <w:p>
            <w:pPr>
              <w:keepNext/>
              <w:spacing w:line="245" w:lineRule="auto" w:before="60" w:after="60"/>
              <w:jc w:val="left"/>
            </w:pPr>
            <w:r>
              <w:rPr>
                <w:b w:val="0"/>
                <w:sz w:val="20"/>
              </w:rPr>
              <w:t>Primary transfer</w:t>
            </w:r>
          </w:p>
        </w:tc>
        <w:tc>
          <w:tcPr>
            <w:tcW w:type="dxa" w:w="3202"/>
            <w:vAlign w:val="center"/>
          </w:tcPr>
          <w:p>
            <w:pPr>
              <w:keepNext/>
              <w:spacing w:line="245" w:lineRule="auto" w:before="60" w:after="60"/>
              <w:jc w:val="left"/>
            </w:pPr>
            <w:r>
              <w:rPr>
                <w:b w:val="0"/>
                <w:sz w:val="20"/>
              </w:rPr>
              <w:t>Reference cutoff applied after outer refitting</w:t>
            </w:r>
          </w:p>
        </w:tc>
        <w:tc>
          <w:tcPr>
            <w:tcW w:type="dxa" w:w="3202"/>
            <w:vAlign w:val="center"/>
          </w:tcPr>
          <w:p>
            <w:pPr>
              <w:keepNext/>
              <w:spacing w:line="245" w:lineRule="auto" w:before="60" w:after="60"/>
              <w:jc w:val="left"/>
            </w:pPr>
            <w:r>
              <w:rPr>
                <w:b w:val="0"/>
                <w:sz w:val="20"/>
              </w:rPr>
              <w:t>Freeze model and cutoff; refit on all history as a control</w:t>
            </w:r>
          </w:p>
        </w:tc>
      </w:tr>
      <w:tr>
        <w:trPr>
          <w:cantSplit/>
        </w:trPr>
        <w:tc>
          <w:tcPr>
            <w:tcW w:type="dxa" w:w="3202"/>
            <w:vAlign w:val="center"/>
          </w:tcPr>
          <w:p>
            <w:pPr>
              <w:keepNext w:val="0"/>
              <w:spacing w:line="245" w:lineRule="auto" w:before="60" w:after="60"/>
              <w:jc w:val="left"/>
            </w:pPr>
            <w:r>
              <w:rPr>
                <w:b w:val="0"/>
                <w:sz w:val="20"/>
              </w:rPr>
              <w:t>Probability scale</w:t>
            </w:r>
          </w:p>
        </w:tc>
        <w:tc>
          <w:tcPr>
            <w:tcW w:type="dxa" w:w="3202"/>
            <w:vAlign w:val="center"/>
          </w:tcPr>
          <w:p>
            <w:pPr>
              <w:keepNext w:val="0"/>
              <w:spacing w:line="245" w:lineRule="auto" w:before="60" w:after="60"/>
              <w:jc w:val="left"/>
            </w:pPr>
            <w:r>
              <w:rPr>
                <w:b w:val="0"/>
                <w:sz w:val="20"/>
              </w:rPr>
              <w:t>LR prior correction for probability evaluation; raw scores for alerts</w:t>
            </w:r>
          </w:p>
        </w:tc>
        <w:tc>
          <w:tcPr>
            <w:tcW w:type="dxa" w:w="3202"/>
            <w:vAlign w:val="center"/>
          </w:tcPr>
          <w:p>
            <w:pPr>
              <w:keepNext w:val="0"/>
              <w:spacing w:line="245" w:lineRule="auto" w:before="60" w:after="60"/>
              <w:jc w:val="left"/>
            </w:pPr>
            <w:r>
              <w:rPr>
                <w:b w:val="0"/>
                <w:sz w:val="20"/>
              </w:rPr>
              <w:t>Raw scores for fixed and refitted alert rules</w:t>
            </w:r>
          </w:p>
        </w:tc>
      </w:tr>
    </w:tbl>
    <w:p>
      <w:pPr>
        <w:spacing w:after="20"/>
      </w:pPr>
    </w:p>
    <w:p>
      <w:r>
        <w:t>Stage 1 uses ten stratified random folds and five seeds; random predictions are restricted to the same 2,063 rows as record-order evaluation. Random AP is the mean of seed-specific AP values. Expanding-window fits train on earlier record blocks. Structured validation makes the tested population and information boundary explicit [10,11]. Matching test rows does not equalize training sizes or remove all protocol differences.</w:t>
      </w:r>
    </w:p>
    <w:p>
      <w:r>
        <w:t>In Stage 2, the first 80% of each historical prefix is the fitting area and the remainder is the policy reference. XGBoost chooses parameters on a further 80/20 split inside the fitting area using AP, with negative Brier score if the inner reference has no positives. A separate refitted control adds the policy-reference rows to fitting, retains the selected parameters and applies the identical numerical threshold. Test labels enter evaluation, not model, parameter or cutoff selection. The Stage 2 plan was locked before its fits, after the dataset had already been examined in Stage 1; the complete study remains exploratory and retrospective.</w:t>
      </w:r>
    </w:p>
    <w:p>
      <w:pPr>
        <w:pStyle w:val="Heading1"/>
      </w:pPr>
      <w:r>
        <w:t>3.1 Probability, explanation and decision definitions</w:t>
      </w:r>
    </w:p>
    <w:p>
      <w:pPr>
        <w:keepNext/>
      </w:pPr>
      <w:r>
        <w:t>AP is the sum of precision values weighted by recall increments, with tied scores evaluated as a group. Precision P and recall R are evaluated at successive distinct-score groups k, starting from zero recall. The horizontal PR reference is the evaluation cohort prevalence π [7]. AP-minus-pi is reported as a descriptive difference, not a permutation test or an interval estimate. It neither removes all differences between cohorts nor proves decision value. LR prior correction uses only each outer training fold's unweighted prevalence; CART and XGBoost use their fitted outputs.</w:t>
      </w:r>
    </w:p>
    <w:p>
      <w:pPr>
        <w:keepLines/>
        <w:jc w:val="center"/>
      </w:pPr>
      <m:oMath>
        <m:r>
          <m:rPr>
            <m:nor m:val="1"/>
          </m:rPr>
          <w:rPr>
            <w:rFonts w:ascii="Cambria Math" w:hAnsi="Cambria Math"/>
          </w:rPr>
          <m:t>AP</m:t>
        </m:r>
        <m:r>
          <m:rPr>
            <m:nor m:val="1"/>
          </m:rPr>
          <w:rPr>
            <w:rFonts w:ascii="Cambria Math" w:hAnsi="Cambria Math"/>
          </w:rPr>
          <m:t>=</m:t>
        </m:r>
        <m:nary>
          <m:naryPr>
            <m:chr m:val="∑"/>
            <m:limLoc m:val="undOvr"/>
            <m:supHide m:val="1"/>
          </m:naryPr>
          <m:sub>
            <m:r>
              <m:rPr>
                <m:nor m:val="1"/>
              </m:rPr>
              <w:rPr>
                <w:rFonts w:ascii="Cambria Math" w:hAnsi="Cambria Math"/>
              </w:rPr>
              <m:t>k</m:t>
            </m:r>
          </m:sub>
          <m:sup>
            <m:r>
              <m:rPr>
                <m:nor m:val="1"/>
              </m:rPr>
              <w:rPr>
                <w:rFonts w:ascii="Cambria Math" w:hAnsi="Cambria Math"/>
              </w:rPr>
              <m:t/>
            </m:r>
          </m:sup>
          <m:e>
            <m:sSub>
              <m:e>
                <m:r>
                  <m:rPr>
                    <m:nor m:val="1"/>
                  </m:rPr>
                  <w:rPr>
                    <w:rFonts w:ascii="Cambria Math" w:hAnsi="Cambria Math"/>
                  </w:rPr>
                  <m:t>P</m:t>
                </m:r>
              </m:e>
              <m:sub>
                <m:r>
                  <m:rPr>
                    <m:nor m:val="1"/>
                  </m:rPr>
                  <w:rPr>
                    <w:rFonts w:ascii="Cambria Math" w:hAnsi="Cambria Math"/>
                  </w:rPr>
                  <m:t>k</m:t>
                </m:r>
              </m:sub>
            </m:sSub>
            <m:d>
              <m:dPr>
                <m:begChr m:val="("/>
                <m:endChr m:val=")"/>
              </m:dPr>
              <m:e>
                <m:sSub>
                  <m:e>
                    <m:r>
                      <m:rPr>
                        <m:nor m:val="1"/>
                      </m:rPr>
                      <w:rPr>
                        <w:rFonts w:ascii="Cambria Math" w:hAnsi="Cambria Math"/>
                      </w:rPr>
                      <m:t>R</m:t>
                    </m:r>
                  </m:e>
                  <m:sub>
                    <m:r>
                      <m:rPr>
                        <m:nor m:val="1"/>
                      </m:rPr>
                      <w:rPr>
                        <w:rFonts w:ascii="Cambria Math" w:hAnsi="Cambria Math"/>
                      </w:rPr>
                      <m:t>k</m:t>
                    </m:r>
                  </m:sub>
                </m:sSub>
                <m:r>
                  <m:rPr>
                    <m:nor m:val="1"/>
                  </m:rPr>
                  <w:rPr>
                    <w:rFonts w:ascii="Cambria Math" w:hAnsi="Cambria Math"/>
                  </w:rPr>
                  <m:t>−</m:t>
                </m:r>
                <m:sSub>
                  <m:e>
                    <m:r>
                      <m:rPr>
                        <m:nor m:val="1"/>
                      </m:rPr>
                      <w:rPr>
                        <w:rFonts w:ascii="Cambria Math" w:hAnsi="Cambria Math"/>
                      </w:rPr>
                      <m:t>R</m:t>
                    </m:r>
                  </m:e>
                  <m:sub>
                    <m:r>
                      <m:rPr>
                        <m:nor m:val="1"/>
                      </m:rPr>
                      <w:rPr>
                        <w:rFonts w:ascii="Cambria Math" w:hAnsi="Cambria Math"/>
                      </w:rPr>
                      <m:t>k−1</m:t>
                    </m:r>
                  </m:sub>
                </m:sSub>
              </m:e>
            </m:d>
          </m:e>
        </m:nary>
      </m:oMath>
    </w:p>
    <w:p>
      <w:pPr>
        <w:keepNext/>
      </w:pPr>
      <w:r>
        <w:t>Expected calibration error is the bin-count-weighted absolute difference between mean event probability and observed hazardous fraction [12,13]. The present binary event-probability definition uses up to ten quantile bins, collapses duplicate edges and keeps tied probabilities together. Guo and colleagues instead summarize predicted-class confidence and accuracy using equally spaced bins. Binning is an assessment step, not a calibration model fitted on test labels. Brier score (BS) is the binary event-probability mean squared error [14]; the named historical training-prior or retrospective test-prevalence predictor supplies its reference; skill is undefined when the reference error is zero.</w:t>
      </w:r>
    </w:p>
    <w:p>
      <w:pPr>
        <w:keepLines/>
        <w:jc w:val="center"/>
      </w:pPr>
      <m:oMath>
        <m:r>
          <m:rPr>
            <m:nor m:val="1"/>
          </m:rPr>
          <w:rPr>
            <w:rFonts w:ascii="Cambria Math" w:hAnsi="Cambria Math"/>
          </w:rPr>
          <m:t xml:space="preserve">Brier skill</m:t>
        </m:r>
        <m:r>
          <m:rPr>
            <m:nor m:val="1"/>
          </m:rPr>
          <w:rPr>
            <w:rFonts w:ascii="Cambria Math" w:hAnsi="Cambria Math"/>
          </w:rPr>
          <m:t>=</m:t>
        </m:r>
        <m:r>
          <m:rPr>
            <m:nor m:val="1"/>
          </m:rPr>
          <w:rPr>
            <w:rFonts w:ascii="Cambria Math" w:hAnsi="Cambria Math"/>
          </w:rPr>
          <m:t>1</m:t>
        </m:r>
        <m:r>
          <m:rPr>
            <m:nor m:val="1"/>
          </m:rPr>
          <w:rPr>
            <w:rFonts w:ascii="Cambria Math" w:hAnsi="Cambria Math"/>
          </w:rPr>
          <m:t>−</m:t>
        </m:r>
        <m:f>
          <m:num>
            <m:sSub>
              <m:e>
                <m:r>
                  <m:rPr>
                    <m:nor m:val="1"/>
                  </m:rPr>
                  <w:rPr>
                    <w:rFonts w:ascii="Cambria Math" w:hAnsi="Cambria Math"/>
                  </w:rPr>
                  <m:t>BS</m:t>
                </m:r>
              </m:e>
              <m:sub>
                <m:r>
                  <m:rPr>
                    <m:nor m:val="1"/>
                  </m:rPr>
                  <w:rPr>
                    <w:rFonts w:ascii="Cambria Math" w:hAnsi="Cambria Math"/>
                  </w:rPr>
                  <m:t>model</m:t>
                </m:r>
              </m:sub>
            </m:sSub>
          </m:num>
          <m:den>
            <m:sSub>
              <m:e>
                <m:r>
                  <m:rPr>
                    <m:nor m:val="1"/>
                  </m:rPr>
                  <w:rPr>
                    <w:rFonts w:ascii="Cambria Math" w:hAnsi="Cambria Math"/>
                  </w:rPr>
                  <m:t>BS</m:t>
                </m:r>
              </m:e>
              <m:sub>
                <m:r>
                  <m:rPr>
                    <m:nor m:val="1"/>
                  </m:rPr>
                  <w:rPr>
                    <w:rFonts w:ascii="Cambria Math" w:hAnsi="Cambria Math"/>
                  </w:rPr>
                  <m:t>reference</m:t>
                </m:r>
              </m:sub>
            </m:sSub>
          </m:den>
        </m:f>
      </m:oMath>
    </w:p>
    <w:p>
      <w:r>
        <w:t>Prior-only distribution change is a specific modeling assumption [15]. A probability correction is monotone within a fold; differing fold-specific corrections should not be assumed to preserve pooled rankings. Native exact TreeSHAP decomposes each XGBoost raw log-odds prediction into feature contributions and a bias term, using training leaf covers as its tree-path-dependent reference [16,17]. Refitted group ablations ask a different question: how predictions change after a model is trained without the group. They are not causal feature effects.</w:t>
      </w:r>
    </w:p>
    <w:p>
      <w:r>
        <w:t>Cost-sensitive decisions use the hypothetical loss L = r FN + FP, with false-alert cost 1 [18]. Historical budgets are 1%, 5%, 10% and 20%; r takes 5, 10, 20 and 50. A maximizes whole-group alerts within floor(B Nref). B minimizes reference loss. C minimizes it among capacity-feasible groups. Ties in B/C loss select fewer alerts. Equal scores move together; nonempty partial sets use the lowest included score. No alarms use +infinity and all alarms use -infinity. These conventions can underfill capacity and do not impose later capacity.</w:t>
      </w:r>
    </w:p>
    <w:p>
      <w:pPr>
        <w:keepNext/>
      </w:pPr>
      <w:r>
        <w:t>An alert represents one candidate shift for inspection. TP is a hazardous shift flagged, FP a non-hazardous shift flagged and FN a hazardous shift missed. In the following equations, r is the assumed missed-hazard cost relative to false-alert cost 1, N is the evaluated record count, B is the historical capacity fraction and Ntest is the current test-block size. Loss and its difference from no alarms are:</w:t>
      </w:r>
    </w:p>
    <w:p>
      <w:pPr>
        <w:keepNext/>
        <w:keepLines/>
        <w:jc w:val="center"/>
      </w:pPr>
      <m:oMath>
        <m:sSub>
          <m:e>
            <m:r>
              <m:rPr>
                <m:nor m:val="1"/>
              </m:rPr>
              <w:rPr>
                <w:rFonts w:ascii="Cambria Math" w:hAnsi="Cambria Math"/>
              </w:rPr>
              <m:t>L</m:t>
            </m:r>
          </m:e>
          <m:sub>
            <m:r>
              <m:rPr>
                <m:nor m:val="1"/>
              </m:rPr>
              <w:rPr>
                <w:rFonts w:ascii="Cambria Math" w:hAnsi="Cambria Math"/>
              </w:rPr>
              <m:t>100</m:t>
            </m:r>
          </m:sub>
        </m:sSub>
        <m:r>
          <m:rPr>
            <m:nor m:val="1"/>
          </m:rPr>
          <w:rPr>
            <w:rFonts w:ascii="Cambria Math" w:hAnsi="Cambria Math"/>
          </w:rPr>
          <m:t>=</m:t>
        </m:r>
        <m:f>
          <m:num>
            <m:r>
              <m:rPr>
                <m:nor m:val="1"/>
              </m:rPr>
              <w:rPr>
                <w:rFonts w:ascii="Cambria Math" w:hAnsi="Cambria Math"/>
              </w:rPr>
              <m:t>100</m:t>
            </m:r>
            <m:d>
              <m:dPr>
                <m:begChr m:val="("/>
                <m:endChr m:val=")"/>
              </m:dPr>
              <m:e>
                <m:r>
                  <m:rPr>
                    <m:nor m:val="1"/>
                  </m:rPr>
                  <w:rPr>
                    <w:rFonts w:ascii="Cambria Math" w:hAnsi="Cambria Math"/>
                  </w:rPr>
                  <m:t>r</m:t>
                </m:r>
                <m:r>
                  <m:rPr>
                    <m:nor m:val="1"/>
                  </m:rPr>
                  <w:rPr>
                    <w:rFonts w:ascii="Cambria Math" w:hAnsi="Cambria Math"/>
                  </w:rPr>
                  <m:t>FN</m:t>
                </m:r>
                <m:r>
                  <m:rPr>
                    <m:nor m:val="1"/>
                  </m:rPr>
                  <w:rPr>
                    <w:rFonts w:ascii="Cambria Math" w:hAnsi="Cambria Math"/>
                  </w:rPr>
                  <m:t>+</m:t>
                </m:r>
                <m:r>
                  <m:rPr>
                    <m:nor m:val="1"/>
                  </m:rPr>
                  <w:rPr>
                    <w:rFonts w:ascii="Cambria Math" w:hAnsi="Cambria Math"/>
                  </w:rPr>
                  <m:t>FP</m:t>
                </m:r>
              </m:e>
            </m:d>
          </m:num>
          <m:den>
            <m:r>
              <m:rPr>
                <m:nor m:val="1"/>
              </m:rPr>
              <w:rPr>
                <w:rFonts w:ascii="Cambria Math" w:hAnsi="Cambria Math"/>
              </w:rPr>
              <m:t>N</m:t>
            </m:r>
          </m:den>
        </m:f>
      </m:oMath>
    </w:p>
    <w:p>
      <w:pPr>
        <w:keepLines/>
        <w:jc w:val="center"/>
      </w:pPr>
      <m:oMath>
        <m:r>
          <m:rPr>
            <m:nor m:val="1"/>
          </m:rPr>
          <w:rPr>
            <w:rFonts w:ascii="Cambria Math" w:hAnsi="Cambria Math"/>
          </w:rPr>
          <m:t>Δ</m:t>
        </m:r>
        <m:sSub>
          <m:e>
            <m:r>
              <m:rPr>
                <m:nor m:val="1"/>
              </m:rPr>
              <w:rPr>
                <w:rFonts w:ascii="Cambria Math" w:hAnsi="Cambria Math"/>
              </w:rPr>
              <m:t>L</m:t>
            </m:r>
          </m:e>
          <m:sub>
            <m:r>
              <m:rPr>
                <m:nor m:val="1"/>
              </m:rPr>
              <w:rPr>
                <w:rFonts w:ascii="Cambria Math" w:hAnsi="Cambria Math"/>
              </w:rPr>
              <m:t>none,100</m:t>
            </m:r>
          </m:sub>
        </m:sSub>
        <m:r>
          <m:rPr>
            <m:nor m:val="1"/>
          </m:rPr>
          <w:rPr>
            <w:rFonts w:ascii="Cambria Math" w:hAnsi="Cambria Math"/>
          </w:rPr>
          <m:t>=</m:t>
        </m:r>
        <m:f>
          <m:num>
            <m:r>
              <m:rPr>
                <m:nor m:val="1"/>
              </m:rPr>
              <w:rPr>
                <w:rFonts w:ascii="Cambria Math" w:hAnsi="Cambria Math"/>
              </w:rPr>
              <m:t>100</m:t>
            </m:r>
            <m:d>
              <m:dPr>
                <m:begChr m:val="("/>
                <m:endChr m:val=")"/>
              </m:dPr>
              <m:e>
                <m:r>
                  <m:rPr>
                    <m:nor m:val="1"/>
                  </m:rPr>
                  <w:rPr>
                    <w:rFonts w:ascii="Cambria Math" w:hAnsi="Cambria Math"/>
                  </w:rPr>
                  <m:t>FP</m:t>
                </m:r>
                <m:r>
                  <m:rPr>
                    <m:nor m:val="1"/>
                  </m:rPr>
                  <w:rPr>
                    <w:rFonts w:ascii="Cambria Math" w:hAnsi="Cambria Math"/>
                  </w:rPr>
                  <m:t>−</m:t>
                </m:r>
                <m:r>
                  <m:rPr>
                    <m:nor m:val="1"/>
                  </m:rPr>
                  <w:rPr>
                    <w:rFonts w:ascii="Cambria Math" w:hAnsi="Cambria Math"/>
                  </w:rPr>
                  <m:t>r</m:t>
                </m:r>
                <m:r>
                  <m:rPr>
                    <m:nor m:val="1"/>
                  </m:rPr>
                  <w:rPr>
                    <w:rFonts w:ascii="Cambria Math" w:hAnsi="Cambria Math"/>
                  </w:rPr>
                  <m:t>TP</m:t>
                </m:r>
              </m:e>
            </m:d>
          </m:num>
          <m:den>
            <m:r>
              <m:rPr>
                <m:nor m:val="1"/>
              </m:rPr>
              <w:rPr>
                <w:rFonts w:ascii="Cambria Math" w:hAnsi="Cambria Math"/>
              </w:rPr>
              <m:t>N</m:t>
            </m:r>
          </m:den>
        </m:f>
      </m:oMath>
    </w:p>
    <w:p>
      <w:pPr>
        <w:keepNext/>
      </w:pPr>
      <w:r>
        <w:t>Negative loss differences mean lower hypothetical loss. Capacity excess is calculated separately within each test block:</w:t>
      </w:r>
    </w:p>
    <w:p>
      <w:pPr>
        <w:keepLines/>
        <w:jc w:val="center"/>
      </w:pPr>
      <m:oMath>
        <m:r>
          <m:rPr>
            <m:nor m:val="1"/>
          </m:rPr>
          <w:rPr>
            <w:rFonts w:ascii="Cambria Math" w:hAnsi="Cambria Math"/>
          </w:rPr>
          <m:t>Excess</m:t>
        </m:r>
        <m:r>
          <m:rPr>
            <m:nor m:val="1"/>
          </m:rPr>
          <w:rPr>
            <w:rFonts w:ascii="Cambria Math" w:hAnsi="Cambria Math"/>
          </w:rPr>
          <m:t>=</m:t>
        </m:r>
        <m:r>
          <m:rPr>
            <m:nor m:val="1"/>
          </m:rPr>
          <w:rPr>
            <w:rFonts w:ascii="Cambria Math" w:hAnsi="Cambria Math"/>
          </w:rPr>
          <m:t>max</m:t>
        </m:r>
        <m:d>
          <m:dPr>
            <m:begChr m:val="{"/>
            <m:endChr m:val="}"/>
          </m:dPr>
          <m:e>
            <m:r>
              <m:rPr>
                <m:nor m:val="1"/>
              </m:rPr>
              <w:rPr>
                <w:rFonts w:ascii="Cambria Math" w:hAnsi="Cambria Math"/>
              </w:rPr>
              <m:t>0</m:t>
            </m:r>
            <m:r>
              <m:rPr>
                <m:nor m:val="1"/>
              </m:rPr>
              <w:rPr>
                <w:rFonts w:ascii="Cambria Math" w:hAnsi="Cambria Math"/>
              </w:rPr>
              <m:t>,</m:t>
            </m:r>
            <m:r>
              <m:rPr>
                <m:nor m:val="1"/>
              </m:rPr>
              <w:rPr>
                <w:rFonts w:ascii="Cambria Math" w:hAnsi="Cambria Math"/>
              </w:rPr>
              <m:t>Alerts</m:t>
            </m:r>
            <m:r>
              <m:rPr>
                <m:nor m:val="1"/>
              </m:rPr>
              <w:rPr>
                <w:rFonts w:ascii="Cambria Math" w:hAnsi="Cambria Math"/>
              </w:rPr>
              <m:t>−</m:t>
            </m:r>
            <m:d>
              <m:dPr>
                <m:begChr m:val="⌊"/>
                <m:endChr m:val="⌋"/>
              </m:dPr>
              <m:e>
                <m:r>
                  <m:rPr>
                    <m:nor m:val="1"/>
                  </m:rPr>
                  <w:rPr>
                    <w:rFonts w:ascii="Cambria Math" w:hAnsi="Cambria Math"/>
                  </w:rPr>
                  <m:t>B</m:t>
                </m:r>
                <m:sSub>
                  <m:e>
                    <m:r>
                      <m:rPr>
                        <m:nor m:val="1"/>
                      </m:rPr>
                      <w:rPr>
                        <w:rFonts w:ascii="Cambria Math" w:hAnsi="Cambria Math"/>
                      </w:rPr>
                      <m:t>N</m:t>
                    </m:r>
                  </m:e>
                  <m:sub>
                    <m:r>
                      <m:rPr>
                        <m:nor m:val="1"/>
                      </m:rPr>
                      <w:rPr>
                        <w:rFonts w:ascii="Cambria Math" w:hAnsi="Cambria Math"/>
                      </w:rPr>
                      <m:t>test</m:t>
                    </m:r>
                  </m:sub>
                </m:sSub>
              </m:e>
            </m:d>
          </m:e>
        </m:d>
      </m:oMath>
    </w:p>
    <w:p>
      <w:r>
        <w:t>All alerts remain in evaluation, including excess demand. No dispatch, truncation, queueing, separate true-positive inspection cost or accident-severity cost is modeled. Pooled excess sums record block excesses, without cancellation by spare slots elsewhere.</w:t>
      </w:r>
    </w:p>
    <w:p>
      <w:r>
        <w:t>Paired moving-block intervals use 2,000 replicates and block length 32, separately within test record blocks, without wrapping across endpoints or record block boundaries [19,20]. Both compared methods use the same sampled rows; pooled sampling preserves record block sizes. Intervals condition on saved predictions, fitted rules and the current cohort, and exclude full fitting/tuning/selection uncertainty. The original contrasts cover C-A, C-B, secondary B-A and refitted-fixed. The separately specified supplement adds policy-minus-no-alarm and ML-minus-direct-grade contrasts; its rules, seeds and results are recorded separately. Intervals are unadjusted exploratory comparisons.</w:t>
      </w:r>
    </w:p>
    <w:p>
      <w:r>
        <w:t>The direct-rule supplement thresholds seismic, seismoacoustic and ghazard separately on the original historical reference rows [1]. UCI explicitly defines seismic severity from a to d; all three ARFF domains use these codes. The common a&lt;b&lt;c&lt;d ordering is the study's ordinal interpretation for the two other assessments, not a verified deployed policy. The mirror contains seismic codes a, b; the two other fields contain a, b and c, with no observed d. Each field uses the same A/B/C objectives, whole-grade ties and canonical thresholds as ML. Duplicate reference alert sets are collapsed: none uses +infinity, all uses -infinity, and partial sets use their minimum included observed grade. No best grade field is selected from test results. Saved ML scores, cutoffs and alerts are reused exactly; no model is retrained.</w:t>
      </w:r>
    </w:p>
    <w:p>
      <w:pPr>
        <w:pStyle w:val="Heading1"/>
      </w:pPr>
      <w:r>
        <w:t>4 Forecast evidence on comparable test records</w:t>
      </w:r>
    </w:p>
    <w:p>
      <w:pPr>
        <w:pStyle w:val="Caption"/>
        <w:keepNext/>
      </w:pPr>
      <w:r>
        <w:t>Table 3a. AP on 2,063 common test records; prevalence reference pi = 0.0427. AP-minus-pi concerns the record-order column.</w:t>
      </w:r>
    </w:p>
    <w:tbl>
      <w:tblPr>
        <w:tblStyle w:val="TableGrid"/>
        <w:tblW w:type="auto" w:w="0"/>
        <w:jc w:val="center"/>
        <w:tblLook w:firstColumn="1" w:firstRow="1" w:lastColumn="0" w:lastRow="0" w:noHBand="0" w:noVBand="1" w:val="04A0"/>
      </w:tblPr>
      <w:tblGrid>
        <w:gridCol w:w="1601"/>
        <w:gridCol w:w="1601"/>
        <w:gridCol w:w="1601"/>
        <w:gridCol w:w="1601"/>
        <w:gridCol w:w="1601"/>
        <w:gridCol w:w="1601"/>
      </w:tblGrid>
      <w:tr>
        <w:trPr>
          <w:cantSplit/>
          <w:tblHeader/>
        </w:trPr>
        <w:tc>
          <w:tcPr>
            <w:tcW w:type="dxa" w:w="1601"/>
            <w:vAlign w:val="center"/>
            <w:shd w:fill="EDEFF1"/>
          </w:tcPr>
          <w:p>
            <w:pPr>
              <w:keepNext/>
              <w:spacing w:line="245" w:lineRule="auto" w:before="60" w:after="60"/>
              <w:jc w:val="center"/>
            </w:pPr>
            <w:r>
              <w:rPr>
                <w:b/>
                <w:sz w:val="20"/>
              </w:rPr>
              <w:t>Model</w:t>
            </w:r>
          </w:p>
        </w:tc>
        <w:tc>
          <w:tcPr>
            <w:tcW w:type="dxa" w:w="1601"/>
            <w:vAlign w:val="center"/>
            <w:shd w:fill="EDEFF1"/>
          </w:tcPr>
          <w:p>
            <w:pPr>
              <w:keepNext/>
              <w:spacing w:line="245" w:lineRule="auto" w:before="60" w:after="60"/>
              <w:jc w:val="center"/>
            </w:pPr>
            <w:r>
              <w:rPr>
                <w:b/>
                <w:sz w:val="20"/>
              </w:rPr>
              <w:t>Random AP</w:t>
            </w:r>
          </w:p>
        </w:tc>
        <w:tc>
          <w:tcPr>
            <w:tcW w:type="dxa" w:w="1601"/>
            <w:vAlign w:val="center"/>
            <w:shd w:fill="EDEFF1"/>
          </w:tcPr>
          <w:p>
            <w:pPr>
              <w:keepNext/>
              <w:spacing w:line="245" w:lineRule="auto" w:before="60" w:after="60"/>
              <w:jc w:val="center"/>
            </w:pPr>
            <w:r>
              <w:rPr>
                <w:b/>
                <w:sz w:val="20"/>
              </w:rPr>
              <w:t>Record-order AP</w:t>
            </w:r>
          </w:p>
        </w:tc>
        <w:tc>
          <w:tcPr>
            <w:tcW w:type="dxa" w:w="1601"/>
            <w:vAlign w:val="center"/>
            <w:shd w:fill="EDEFF1"/>
          </w:tcPr>
          <w:p>
            <w:pPr>
              <w:keepNext/>
              <w:spacing w:line="245" w:lineRule="auto" w:before="60" w:after="60"/>
              <w:jc w:val="center"/>
            </w:pPr>
            <w:r>
              <w:rPr>
                <w:b/>
                <w:sz w:val="20"/>
              </w:rPr>
              <w:t>AP minus pi</w:t>
            </w:r>
          </w:p>
        </w:tc>
        <w:tc>
          <w:tcPr>
            <w:tcW w:type="dxa" w:w="1601"/>
            <w:vAlign w:val="center"/>
            <w:shd w:fill="EDEFF1"/>
          </w:tcPr>
          <w:p>
            <w:pPr>
              <w:keepNext/>
              <w:spacing w:line="245" w:lineRule="auto" w:before="60" w:after="60"/>
              <w:jc w:val="center"/>
            </w:pPr>
            <w:r>
              <w:rPr>
                <w:b/>
                <w:sz w:val="20"/>
              </w:rPr>
              <w:t>Random minus order</w:t>
            </w:r>
          </w:p>
        </w:tc>
        <w:tc>
          <w:tcPr>
            <w:tcW w:type="dxa" w:w="1601"/>
            <w:vAlign w:val="center"/>
            <w:shd w:fill="EDEFF1"/>
          </w:tcPr>
          <w:p>
            <w:pPr>
              <w:keepNext/>
              <w:spacing w:line="245" w:lineRule="auto" w:before="60" w:after="60"/>
              <w:jc w:val="center"/>
            </w:pPr>
            <w:r>
              <w:rPr>
                <w:b/>
                <w:sz w:val="20"/>
              </w:rPr>
              <w:t>95% paired interval</w:t>
            </w:r>
          </w:p>
        </w:tc>
      </w:tr>
      <w:tr>
        <w:trPr>
          <w:cantSplit/>
        </w:trPr>
        <w:tc>
          <w:tcPr>
            <w:tcW w:type="dxa" w:w="1601"/>
            <w:vAlign w:val="center"/>
          </w:tcPr>
          <w:p>
            <w:pPr>
              <w:keepNext/>
              <w:spacing w:line="245" w:lineRule="auto" w:before="60" w:after="60"/>
              <w:jc w:val="left"/>
            </w:pPr>
            <w:r>
              <w:rPr>
                <w:b w:val="0"/>
                <w:sz w:val="20"/>
              </w:rPr>
              <w:t>LR</w:t>
            </w:r>
          </w:p>
        </w:tc>
        <w:tc>
          <w:tcPr>
            <w:tcW w:type="dxa" w:w="1601"/>
            <w:vAlign w:val="center"/>
          </w:tcPr>
          <w:p>
            <w:pPr>
              <w:keepNext/>
              <w:spacing w:line="245" w:lineRule="auto" w:before="60" w:after="60"/>
              <w:jc w:val="right"/>
            </w:pPr>
            <w:r>
              <w:rPr>
                <w:b w:val="0"/>
                <w:sz w:val="20"/>
              </w:rPr>
              <w:t>0.0953</w:t>
            </w:r>
          </w:p>
        </w:tc>
        <w:tc>
          <w:tcPr>
            <w:tcW w:type="dxa" w:w="1601"/>
            <w:vAlign w:val="center"/>
          </w:tcPr>
          <w:p>
            <w:pPr>
              <w:keepNext/>
              <w:spacing w:line="245" w:lineRule="auto" w:before="60" w:after="60"/>
              <w:jc w:val="right"/>
            </w:pPr>
            <w:r>
              <w:rPr>
                <w:b w:val="0"/>
                <w:sz w:val="20"/>
              </w:rPr>
              <w:t>0.0838</w:t>
            </w:r>
          </w:p>
        </w:tc>
        <w:tc>
          <w:tcPr>
            <w:tcW w:type="dxa" w:w="1601"/>
            <w:vAlign w:val="center"/>
          </w:tcPr>
          <w:p>
            <w:pPr>
              <w:keepNext/>
              <w:spacing w:line="245" w:lineRule="auto" w:before="60" w:after="60"/>
              <w:jc w:val="right"/>
            </w:pPr>
            <w:r>
              <w:rPr>
                <w:b w:val="0"/>
                <w:sz w:val="20"/>
              </w:rPr>
              <w:t>0.0412</w:t>
            </w:r>
          </w:p>
        </w:tc>
        <w:tc>
          <w:tcPr>
            <w:tcW w:type="dxa" w:w="1601"/>
            <w:vAlign w:val="center"/>
          </w:tcPr>
          <w:p>
            <w:pPr>
              <w:keepNext/>
              <w:spacing w:line="245" w:lineRule="auto" w:before="60" w:after="60"/>
              <w:jc w:val="right"/>
            </w:pPr>
            <w:r>
              <w:rPr>
                <w:b w:val="0"/>
                <w:sz w:val="20"/>
              </w:rPr>
              <w:t>0.0114</w:t>
            </w:r>
          </w:p>
        </w:tc>
        <w:tc>
          <w:tcPr>
            <w:tcW w:type="dxa" w:w="1601"/>
            <w:vAlign w:val="center"/>
          </w:tcPr>
          <w:p>
            <w:pPr>
              <w:keepNext/>
              <w:spacing w:line="245" w:lineRule="auto" w:before="60" w:after="60"/>
              <w:jc w:val="right"/>
            </w:pPr>
            <w:r>
              <w:rPr>
                <w:b w:val="0"/>
                <w:sz w:val="20"/>
              </w:rPr>
              <w:t>[-0.0110, 0.0243]</w:t>
            </w:r>
          </w:p>
        </w:tc>
      </w:tr>
      <w:tr>
        <w:trPr>
          <w:cantSplit/>
        </w:trPr>
        <w:tc>
          <w:tcPr>
            <w:tcW w:type="dxa" w:w="1601"/>
            <w:vAlign w:val="center"/>
          </w:tcPr>
          <w:p>
            <w:pPr>
              <w:keepNext/>
              <w:spacing w:line="245" w:lineRule="auto" w:before="60" w:after="60"/>
              <w:jc w:val="left"/>
            </w:pPr>
            <w:r>
              <w:rPr>
                <w:b w:val="0"/>
                <w:sz w:val="20"/>
              </w:rPr>
              <w:t>CART</w:t>
            </w:r>
          </w:p>
        </w:tc>
        <w:tc>
          <w:tcPr>
            <w:tcW w:type="dxa" w:w="1601"/>
            <w:vAlign w:val="center"/>
          </w:tcPr>
          <w:p>
            <w:pPr>
              <w:keepNext/>
              <w:spacing w:line="245" w:lineRule="auto" w:before="60" w:after="60"/>
              <w:jc w:val="right"/>
            </w:pPr>
            <w:r>
              <w:rPr>
                <w:b w:val="0"/>
                <w:sz w:val="20"/>
              </w:rPr>
              <w:t>0.0972</w:t>
            </w:r>
          </w:p>
        </w:tc>
        <w:tc>
          <w:tcPr>
            <w:tcW w:type="dxa" w:w="1601"/>
            <w:vAlign w:val="center"/>
          </w:tcPr>
          <w:p>
            <w:pPr>
              <w:keepNext/>
              <w:spacing w:line="245" w:lineRule="auto" w:before="60" w:after="60"/>
              <w:jc w:val="right"/>
            </w:pPr>
            <w:r>
              <w:rPr>
                <w:b w:val="0"/>
                <w:sz w:val="20"/>
              </w:rPr>
              <w:t>0.0784</w:t>
            </w:r>
          </w:p>
        </w:tc>
        <w:tc>
          <w:tcPr>
            <w:tcW w:type="dxa" w:w="1601"/>
            <w:vAlign w:val="center"/>
          </w:tcPr>
          <w:p>
            <w:pPr>
              <w:keepNext/>
              <w:spacing w:line="245" w:lineRule="auto" w:before="60" w:after="60"/>
              <w:jc w:val="right"/>
            </w:pPr>
            <w:r>
              <w:rPr>
                <w:b w:val="0"/>
                <w:sz w:val="20"/>
              </w:rPr>
              <w:t>0.0357</w:t>
            </w:r>
          </w:p>
        </w:tc>
        <w:tc>
          <w:tcPr>
            <w:tcW w:type="dxa" w:w="1601"/>
            <w:vAlign w:val="center"/>
          </w:tcPr>
          <w:p>
            <w:pPr>
              <w:keepNext/>
              <w:spacing w:line="245" w:lineRule="auto" w:before="60" w:after="60"/>
              <w:jc w:val="right"/>
            </w:pPr>
            <w:r>
              <w:rPr>
                <w:b w:val="0"/>
                <w:sz w:val="20"/>
              </w:rPr>
              <w:t>0.0188</w:t>
            </w:r>
          </w:p>
        </w:tc>
        <w:tc>
          <w:tcPr>
            <w:tcW w:type="dxa" w:w="1601"/>
            <w:vAlign w:val="center"/>
          </w:tcPr>
          <w:p>
            <w:pPr>
              <w:keepNext/>
              <w:spacing w:line="245" w:lineRule="auto" w:before="60" w:after="60"/>
              <w:jc w:val="right"/>
            </w:pPr>
            <w:r>
              <w:rPr>
                <w:b w:val="0"/>
                <w:sz w:val="20"/>
              </w:rPr>
              <w:t>[0.0064, 0.0323]</w:t>
            </w:r>
          </w:p>
        </w:tc>
      </w:tr>
      <w:tr>
        <w:trPr>
          <w:cantSplit/>
        </w:trPr>
        <w:tc>
          <w:tcPr>
            <w:tcW w:type="dxa" w:w="1601"/>
            <w:vAlign w:val="center"/>
          </w:tcPr>
          <w:p>
            <w:pPr>
              <w:keepNext w:val="0"/>
              <w:spacing w:line="245" w:lineRule="auto" w:before="60" w:after="60"/>
              <w:jc w:val="left"/>
            </w:pPr>
            <w:r>
              <w:rPr>
                <w:b w:val="0"/>
                <w:sz w:val="20"/>
              </w:rPr>
              <w:t>XGBoost</w:t>
            </w:r>
          </w:p>
        </w:tc>
        <w:tc>
          <w:tcPr>
            <w:tcW w:type="dxa" w:w="1601"/>
            <w:vAlign w:val="center"/>
          </w:tcPr>
          <w:p>
            <w:pPr>
              <w:keepNext w:val="0"/>
              <w:spacing w:line="245" w:lineRule="auto" w:before="60" w:after="60"/>
              <w:jc w:val="right"/>
            </w:pPr>
            <w:r>
              <w:rPr>
                <w:b w:val="0"/>
                <w:sz w:val="20"/>
              </w:rPr>
              <w:t>0.0995</w:t>
            </w:r>
          </w:p>
        </w:tc>
        <w:tc>
          <w:tcPr>
            <w:tcW w:type="dxa" w:w="1601"/>
            <w:vAlign w:val="center"/>
          </w:tcPr>
          <w:p>
            <w:pPr>
              <w:keepNext w:val="0"/>
              <w:spacing w:line="245" w:lineRule="auto" w:before="60" w:after="60"/>
              <w:jc w:val="right"/>
            </w:pPr>
            <w:r>
              <w:rPr>
                <w:b w:val="0"/>
                <w:sz w:val="20"/>
              </w:rPr>
              <w:t>0.0862</w:t>
            </w:r>
          </w:p>
        </w:tc>
        <w:tc>
          <w:tcPr>
            <w:tcW w:type="dxa" w:w="1601"/>
            <w:vAlign w:val="center"/>
          </w:tcPr>
          <w:p>
            <w:pPr>
              <w:keepNext w:val="0"/>
              <w:spacing w:line="245" w:lineRule="auto" w:before="60" w:after="60"/>
              <w:jc w:val="right"/>
            </w:pPr>
            <w:r>
              <w:rPr>
                <w:b w:val="0"/>
                <w:sz w:val="20"/>
              </w:rPr>
              <w:t>0.0436</w:t>
            </w:r>
          </w:p>
        </w:tc>
        <w:tc>
          <w:tcPr>
            <w:tcW w:type="dxa" w:w="1601"/>
            <w:vAlign w:val="center"/>
          </w:tcPr>
          <w:p>
            <w:pPr>
              <w:keepNext w:val="0"/>
              <w:spacing w:line="245" w:lineRule="auto" w:before="60" w:after="60"/>
              <w:jc w:val="right"/>
            </w:pPr>
            <w:r>
              <w:rPr>
                <w:b w:val="0"/>
                <w:sz w:val="20"/>
              </w:rPr>
              <w:t>0.0133</w:t>
            </w:r>
          </w:p>
        </w:tc>
        <w:tc>
          <w:tcPr>
            <w:tcW w:type="dxa" w:w="1601"/>
            <w:vAlign w:val="center"/>
          </w:tcPr>
          <w:p>
            <w:pPr>
              <w:keepNext w:val="0"/>
              <w:spacing w:line="245" w:lineRule="auto" w:before="60" w:after="60"/>
              <w:jc w:val="right"/>
            </w:pPr>
            <w:r>
              <w:rPr>
                <w:b w:val="0"/>
                <w:sz w:val="20"/>
              </w:rPr>
              <w:t>[0.0004, 0.0256]</w:t>
            </w:r>
          </w:p>
        </w:tc>
      </w:tr>
    </w:tbl>
    <w:p>
      <w:pPr>
        <w:spacing w:after="20"/>
      </w:pPr>
    </w:p>
    <w:p>
      <w:pPr>
        <w:pStyle w:val="Caption"/>
        <w:keepNext/>
      </w:pPr>
      <w:r>
        <w:t>Table 3b. Attenuation of the AP protocol gap after matching test records.</w:t>
      </w:r>
    </w:p>
    <w:tbl>
      <w:tblPr>
        <w:tblStyle w:val="TableGrid"/>
        <w:tblW w:type="auto" w:w="0"/>
        <w:jc w:val="center"/>
        <w:tblLook w:firstColumn="1" w:firstRow="1" w:lastColumn="0" w:lastRow="0" w:noHBand="0" w:noVBand="1" w:val="04A0"/>
      </w:tblPr>
      <w:tblGrid>
        <w:gridCol w:w="2401"/>
        <w:gridCol w:w="2401"/>
        <w:gridCol w:w="2401"/>
        <w:gridCol w:w="2401"/>
      </w:tblGrid>
      <w:tr>
        <w:trPr>
          <w:cantSplit/>
          <w:tblHeader/>
        </w:trPr>
        <w:tc>
          <w:tcPr>
            <w:tcW w:type="dxa" w:w="2401"/>
            <w:vAlign w:val="center"/>
            <w:shd w:fill="EDEFF1"/>
          </w:tcPr>
          <w:p>
            <w:pPr>
              <w:keepNext/>
              <w:spacing w:line="245" w:lineRule="auto" w:before="60" w:after="60"/>
              <w:jc w:val="center"/>
            </w:pPr>
            <w:r>
              <w:rPr>
                <w:b/>
                <w:sz w:val="20"/>
              </w:rPr>
              <w:t>Model</w:t>
            </w:r>
          </w:p>
        </w:tc>
        <w:tc>
          <w:tcPr>
            <w:tcW w:type="dxa" w:w="2401"/>
            <w:vAlign w:val="center"/>
            <w:shd w:fill="EDEFF1"/>
          </w:tcPr>
          <w:p>
            <w:pPr>
              <w:keepNext/>
              <w:spacing w:line="245" w:lineRule="auto" w:before="60" w:after="60"/>
              <w:jc w:val="center"/>
            </w:pPr>
            <w:r>
              <w:rPr>
                <w:b/>
                <w:sz w:val="20"/>
              </w:rPr>
              <w:t>Different-cohort gap</w:t>
            </w:r>
          </w:p>
        </w:tc>
        <w:tc>
          <w:tcPr>
            <w:tcW w:type="dxa" w:w="2401"/>
            <w:vAlign w:val="center"/>
            <w:shd w:fill="EDEFF1"/>
          </w:tcPr>
          <w:p>
            <w:pPr>
              <w:keepNext/>
              <w:spacing w:line="245" w:lineRule="auto" w:before="60" w:after="60"/>
              <w:jc w:val="center"/>
            </w:pPr>
            <w:r>
              <w:rPr>
                <w:b/>
                <w:sz w:val="20"/>
              </w:rPr>
              <w:t>Common-cohort gap</w:t>
            </w:r>
          </w:p>
        </w:tc>
        <w:tc>
          <w:tcPr>
            <w:tcW w:type="dxa" w:w="2401"/>
            <w:vAlign w:val="center"/>
            <w:shd w:fill="EDEFF1"/>
          </w:tcPr>
          <w:p>
            <w:pPr>
              <w:keepNext/>
              <w:spacing w:line="245" w:lineRule="auto" w:before="60" w:after="60"/>
              <w:jc w:val="center"/>
            </w:pPr>
            <w:r>
              <w:rPr>
                <w:b/>
                <w:sz w:val="20"/>
              </w:rPr>
              <w:t>Attenuation</w:t>
            </w:r>
          </w:p>
        </w:tc>
      </w:tr>
      <w:tr>
        <w:trPr>
          <w:cantSplit/>
        </w:trPr>
        <w:tc>
          <w:tcPr>
            <w:tcW w:type="dxa" w:w="2401"/>
            <w:vAlign w:val="center"/>
          </w:tcPr>
          <w:p>
            <w:pPr>
              <w:keepNext/>
              <w:spacing w:line="245" w:lineRule="auto" w:before="60" w:after="60"/>
              <w:jc w:val="left"/>
            </w:pPr>
            <w:r>
              <w:rPr>
                <w:b w:val="0"/>
                <w:sz w:val="20"/>
              </w:rPr>
              <w:t>LR</w:t>
            </w:r>
          </w:p>
        </w:tc>
        <w:tc>
          <w:tcPr>
            <w:tcW w:type="dxa" w:w="2401"/>
            <w:vAlign w:val="center"/>
          </w:tcPr>
          <w:p>
            <w:pPr>
              <w:keepNext/>
              <w:spacing w:line="245" w:lineRule="auto" w:before="60" w:after="60"/>
              <w:jc w:val="right"/>
            </w:pPr>
            <w:r>
              <w:rPr>
                <w:b w:val="0"/>
                <w:sz w:val="20"/>
              </w:rPr>
              <w:t>0.11141</w:t>
            </w:r>
          </w:p>
        </w:tc>
        <w:tc>
          <w:tcPr>
            <w:tcW w:type="dxa" w:w="2401"/>
            <w:vAlign w:val="center"/>
          </w:tcPr>
          <w:p>
            <w:pPr>
              <w:keepNext/>
              <w:spacing w:line="245" w:lineRule="auto" w:before="60" w:after="60"/>
              <w:jc w:val="right"/>
            </w:pPr>
            <w:r>
              <w:rPr>
                <w:b w:val="0"/>
                <w:sz w:val="20"/>
              </w:rPr>
              <w:t>0.01145</w:t>
            </w:r>
          </w:p>
        </w:tc>
        <w:tc>
          <w:tcPr>
            <w:tcW w:type="dxa" w:w="2401"/>
            <w:vAlign w:val="center"/>
          </w:tcPr>
          <w:p>
            <w:pPr>
              <w:keepNext/>
              <w:spacing w:line="245" w:lineRule="auto" w:before="60" w:after="60"/>
              <w:jc w:val="right"/>
            </w:pPr>
            <w:r>
              <w:rPr>
                <w:b w:val="0"/>
                <w:sz w:val="20"/>
              </w:rPr>
              <w:t>89.7%</w:t>
            </w:r>
          </w:p>
        </w:tc>
      </w:tr>
      <w:tr>
        <w:trPr>
          <w:cantSplit/>
        </w:trPr>
        <w:tc>
          <w:tcPr>
            <w:tcW w:type="dxa" w:w="2401"/>
            <w:vAlign w:val="center"/>
          </w:tcPr>
          <w:p>
            <w:pPr>
              <w:keepNext/>
              <w:spacing w:line="245" w:lineRule="auto" w:before="60" w:after="60"/>
              <w:jc w:val="left"/>
            </w:pPr>
            <w:r>
              <w:rPr>
                <w:b w:val="0"/>
                <w:sz w:val="20"/>
              </w:rPr>
              <w:t>CART</w:t>
            </w:r>
          </w:p>
        </w:tc>
        <w:tc>
          <w:tcPr>
            <w:tcW w:type="dxa" w:w="2401"/>
            <w:vAlign w:val="center"/>
          </w:tcPr>
          <w:p>
            <w:pPr>
              <w:keepNext/>
              <w:spacing w:line="245" w:lineRule="auto" w:before="60" w:after="60"/>
              <w:jc w:val="right"/>
            </w:pPr>
            <w:r>
              <w:rPr>
                <w:b w:val="0"/>
                <w:sz w:val="20"/>
              </w:rPr>
              <w:t>0.14330</w:t>
            </w:r>
          </w:p>
        </w:tc>
        <w:tc>
          <w:tcPr>
            <w:tcW w:type="dxa" w:w="2401"/>
            <w:vAlign w:val="center"/>
          </w:tcPr>
          <w:p>
            <w:pPr>
              <w:keepNext/>
              <w:spacing w:line="245" w:lineRule="auto" w:before="60" w:after="60"/>
              <w:jc w:val="right"/>
            </w:pPr>
            <w:r>
              <w:rPr>
                <w:b w:val="0"/>
                <w:sz w:val="20"/>
              </w:rPr>
              <w:t>0.01876</w:t>
            </w:r>
          </w:p>
        </w:tc>
        <w:tc>
          <w:tcPr>
            <w:tcW w:type="dxa" w:w="2401"/>
            <w:vAlign w:val="center"/>
          </w:tcPr>
          <w:p>
            <w:pPr>
              <w:keepNext/>
              <w:spacing w:line="245" w:lineRule="auto" w:before="60" w:after="60"/>
              <w:jc w:val="right"/>
            </w:pPr>
            <w:r>
              <w:rPr>
                <w:b w:val="0"/>
                <w:sz w:val="20"/>
              </w:rPr>
              <w:t>86.9%</w:t>
            </w:r>
          </w:p>
        </w:tc>
      </w:tr>
      <w:tr>
        <w:trPr>
          <w:cantSplit/>
        </w:trPr>
        <w:tc>
          <w:tcPr>
            <w:tcW w:type="dxa" w:w="2401"/>
            <w:vAlign w:val="center"/>
          </w:tcPr>
          <w:p>
            <w:pPr>
              <w:keepNext w:val="0"/>
              <w:spacing w:line="245" w:lineRule="auto" w:before="60" w:after="60"/>
              <w:jc w:val="left"/>
            </w:pPr>
            <w:r>
              <w:rPr>
                <w:b w:val="0"/>
                <w:sz w:val="20"/>
              </w:rPr>
              <w:t>XGBoost</w:t>
            </w:r>
          </w:p>
        </w:tc>
        <w:tc>
          <w:tcPr>
            <w:tcW w:type="dxa" w:w="2401"/>
            <w:vAlign w:val="center"/>
          </w:tcPr>
          <w:p>
            <w:pPr>
              <w:keepNext w:val="0"/>
              <w:spacing w:line="245" w:lineRule="auto" w:before="60" w:after="60"/>
              <w:jc w:val="right"/>
            </w:pPr>
            <w:r>
              <w:rPr>
                <w:b w:val="0"/>
                <w:sz w:val="20"/>
              </w:rPr>
              <w:t>0.12525</w:t>
            </w:r>
          </w:p>
        </w:tc>
        <w:tc>
          <w:tcPr>
            <w:tcW w:type="dxa" w:w="2401"/>
            <w:vAlign w:val="center"/>
          </w:tcPr>
          <w:p>
            <w:pPr>
              <w:keepNext w:val="0"/>
              <w:spacing w:line="245" w:lineRule="auto" w:before="60" w:after="60"/>
              <w:jc w:val="right"/>
            </w:pPr>
            <w:r>
              <w:rPr>
                <w:b w:val="0"/>
                <w:sz w:val="20"/>
              </w:rPr>
              <w:t>0.01328</w:t>
            </w:r>
          </w:p>
        </w:tc>
        <w:tc>
          <w:tcPr>
            <w:tcW w:type="dxa" w:w="2401"/>
            <w:vAlign w:val="center"/>
          </w:tcPr>
          <w:p>
            <w:pPr>
              <w:keepNext w:val="0"/>
              <w:spacing w:line="245" w:lineRule="auto" w:before="60" w:after="60"/>
              <w:jc w:val="right"/>
            </w:pPr>
            <w:r>
              <w:rPr>
                <w:b w:val="0"/>
                <w:sz w:val="20"/>
              </w:rPr>
              <w:t>89.4%</w:t>
            </w:r>
          </w:p>
        </w:tc>
      </w:tr>
    </w:tbl>
    <w:p>
      <w:pPr>
        <w:spacing w:after="20"/>
      </w:pPr>
    </w:p>
    <w:p>
      <w:r>
        <w:t>The different-cohort gap compares random validation on 2,578 records with record-order validation on 2,063; the common-cohort gap evaluates both on the same 2,063 records. Attenuation = 1 - common-cohort gap / different-cohort gap, calculated before rounding. The record-order predictions and fitted random models are unchanged. Attenuation is descriptive cohort sensitivity, not a causal decomposition or a confidence interval.</w:t>
      </w:r>
    </w:p>
    <w:p>
      <w:r>
        <w:t>The interval in Table 3a belongs to the protocol difference, not to AP-minus-pi. All common-cohort point AP values exceed the prevalence reference; that descriptive observation alone is not a significance test against a random-ranking null. Finite-sample random-order AP and the horizontal PR reference are distinct concepts. No global label permutation is introduced.</w:t>
      </w:r>
    </w:p>
    <w:p>
      <w:r>
        <w:t>Restricting the comparison to common rows reduces the original different-cohort gap by 89.7% for LR, 86.9% for CART, 89.4% for XGBoost. The comparison changes which records contribute to the random score, not its fitted models. Cohort matching establishes evaluation-population sensitivity, while residual differences combine training history, sample size and tuning. Neither attenuation nor the residual is a causal estimate of leakage or drift. Table 3b makes the original and matched gaps directly comparable; the Stage 1 technical report retains the full protocol detail.</w:t>
      </w:r>
    </w:p>
    <w:p>
      <w:r>
        <w:t>Record-block-specific XGBoost results further separate ranking from cohort composition: record block 1: AP 0.1341 at prevalence 0.0698; record block 2: AP 0.0284 at prevalence 0.0194; record block 3: AP 0.0731 at prevalence 0.0465; record block 4: AP 0.0618 at prevalence 0.0349. These are Stage 1 outer-model predictions, not Stage 2 fixed-model scores. The supplementary holdout overlaps these records and is not used to choose a model, subset or budget.</w:t>
      </w:r>
    </w:p>
    <w:p>
      <w:pPr>
        <w:pStyle w:val="Heading1"/>
      </w:pPr>
      <w:r>
        <w:t>4.1 Probability improvement depends on the reference</w:t>
      </w:r>
    </w:p>
    <w:p>
      <w:r>
        <w:t>Training-prior correction reduces LR ECE from 0.2904 to 0.0271 and Brier score from 0.1462 to 0.0439. This compares the same model outputs before and after the probability-scale correction. Brier skill asks whether the corrected forecasts improve on a separately defined reference, so the sign of skill can differ across references without contradicting improved ECE.</w:t>
      </w:r>
    </w:p>
    <w:p>
      <w:pPr>
        <w:pStyle w:val="Caption"/>
        <w:keepNext/>
      </w:pPr>
      <w:r>
        <w:t>Table 4. Common-cohort probability references. LR is prior-corrected; CART and XGBoost retain raw probabilities.</w:t>
      </w:r>
    </w:p>
    <w:tbl>
      <w:tblPr>
        <w:tblStyle w:val="TableGrid"/>
        <w:tblW w:type="auto" w:w="0"/>
        <w:jc w:val="center"/>
        <w:tblLook w:firstColumn="1" w:firstRow="1" w:lastColumn="0" w:lastRow="0" w:noHBand="0" w:noVBand="1" w:val="04A0"/>
      </w:tblPr>
      <w:tblGrid>
        <w:gridCol w:w="1601"/>
        <w:gridCol w:w="1601"/>
        <w:gridCol w:w="1601"/>
        <w:gridCol w:w="1601"/>
        <w:gridCol w:w="1601"/>
        <w:gridCol w:w="1601"/>
      </w:tblGrid>
      <w:tr>
        <w:trPr>
          <w:cantSplit/>
          <w:tblHeader/>
        </w:trPr>
        <w:tc>
          <w:tcPr>
            <w:tcW w:type="dxa" w:w="1601"/>
            <w:vAlign w:val="center"/>
            <w:shd w:fill="EDEFF1"/>
          </w:tcPr>
          <w:p>
            <w:pPr>
              <w:keepNext/>
              <w:spacing w:line="245" w:lineRule="auto" w:before="60" w:after="60"/>
              <w:jc w:val="center"/>
            </w:pPr>
            <w:r>
              <w:rPr>
                <w:b/>
                <w:sz w:val="20"/>
              </w:rPr>
              <w:t>Model</w:t>
            </w:r>
          </w:p>
        </w:tc>
        <w:tc>
          <w:tcPr>
            <w:tcW w:type="dxa" w:w="1601"/>
            <w:vAlign w:val="center"/>
            <w:shd w:fill="EDEFF1"/>
          </w:tcPr>
          <w:p>
            <w:pPr>
              <w:keepNext/>
              <w:spacing w:line="245" w:lineRule="auto" w:before="60" w:after="60"/>
              <w:jc w:val="center"/>
            </w:pPr>
            <w:r>
              <w:rPr>
                <w:b/>
                <w:sz w:val="20"/>
              </w:rPr>
              <w:t>Model Brier</w:t>
            </w:r>
          </w:p>
        </w:tc>
        <w:tc>
          <w:tcPr>
            <w:tcW w:type="dxa" w:w="1601"/>
            <w:vAlign w:val="center"/>
            <w:shd w:fill="EDEFF1"/>
          </w:tcPr>
          <w:p>
            <w:pPr>
              <w:keepNext/>
              <w:spacing w:line="245" w:lineRule="auto" w:before="60" w:after="60"/>
              <w:jc w:val="center"/>
            </w:pPr>
            <w:r>
              <w:rPr>
                <w:b/>
                <w:sz w:val="20"/>
              </w:rPr>
              <w:t>Historical Brier</w:t>
            </w:r>
          </w:p>
        </w:tc>
        <w:tc>
          <w:tcPr>
            <w:tcW w:type="dxa" w:w="1601"/>
            <w:vAlign w:val="center"/>
            <w:shd w:fill="EDEFF1"/>
          </w:tcPr>
          <w:p>
            <w:pPr>
              <w:keepNext/>
              <w:spacing w:line="245" w:lineRule="auto" w:before="60" w:after="60"/>
              <w:jc w:val="center"/>
            </w:pPr>
            <w:r>
              <w:rPr>
                <w:b/>
                <w:sz w:val="20"/>
              </w:rPr>
              <w:t>Historical skill</w:t>
            </w:r>
          </w:p>
        </w:tc>
        <w:tc>
          <w:tcPr>
            <w:tcW w:type="dxa" w:w="1601"/>
            <w:vAlign w:val="center"/>
            <w:shd w:fill="EDEFF1"/>
          </w:tcPr>
          <w:p>
            <w:pPr>
              <w:keepNext/>
              <w:spacing w:line="245" w:lineRule="auto" w:before="60" w:after="60"/>
              <w:jc w:val="center"/>
            </w:pPr>
            <w:r>
              <w:rPr>
                <w:b/>
                <w:sz w:val="20"/>
              </w:rPr>
              <w:t>Retrospective Brier</w:t>
            </w:r>
          </w:p>
        </w:tc>
        <w:tc>
          <w:tcPr>
            <w:tcW w:type="dxa" w:w="1601"/>
            <w:vAlign w:val="center"/>
            <w:shd w:fill="EDEFF1"/>
          </w:tcPr>
          <w:p>
            <w:pPr>
              <w:keepNext/>
              <w:spacing w:line="245" w:lineRule="auto" w:before="60" w:after="60"/>
              <w:jc w:val="center"/>
            </w:pPr>
            <w:r>
              <w:rPr>
                <w:b/>
                <w:sz w:val="20"/>
              </w:rPr>
              <w:t>Retrospective skill</w:t>
            </w:r>
          </w:p>
        </w:tc>
      </w:tr>
      <w:tr>
        <w:trPr>
          <w:cantSplit/>
        </w:trPr>
        <w:tc>
          <w:tcPr>
            <w:tcW w:type="dxa" w:w="1601"/>
            <w:vAlign w:val="center"/>
          </w:tcPr>
          <w:p>
            <w:pPr>
              <w:keepNext/>
              <w:spacing w:line="245" w:lineRule="auto" w:before="60" w:after="60"/>
              <w:jc w:val="left"/>
            </w:pPr>
            <w:r>
              <w:rPr>
                <w:b w:val="0"/>
                <w:sz w:val="20"/>
              </w:rPr>
              <w:t>LR</w:t>
            </w:r>
          </w:p>
        </w:tc>
        <w:tc>
          <w:tcPr>
            <w:tcW w:type="dxa" w:w="1601"/>
            <w:vAlign w:val="center"/>
          </w:tcPr>
          <w:p>
            <w:pPr>
              <w:keepNext/>
              <w:spacing w:line="245" w:lineRule="auto" w:before="60" w:after="60"/>
              <w:jc w:val="right"/>
            </w:pPr>
            <w:r>
              <w:rPr>
                <w:b w:val="0"/>
                <w:sz w:val="20"/>
              </w:rPr>
              <w:t>0.0439</w:t>
            </w:r>
          </w:p>
        </w:tc>
        <w:tc>
          <w:tcPr>
            <w:tcW w:type="dxa" w:w="1601"/>
            <w:vAlign w:val="center"/>
          </w:tcPr>
          <w:p>
            <w:pPr>
              <w:keepNext/>
              <w:spacing w:line="245" w:lineRule="auto" w:before="60" w:after="60"/>
              <w:jc w:val="right"/>
            </w:pPr>
            <w:r>
              <w:rPr>
                <w:b w:val="0"/>
                <w:sz w:val="20"/>
              </w:rPr>
              <w:t>0.0455</w:t>
            </w:r>
          </w:p>
        </w:tc>
        <w:tc>
          <w:tcPr>
            <w:tcW w:type="dxa" w:w="1601"/>
            <w:vAlign w:val="center"/>
          </w:tcPr>
          <w:p>
            <w:pPr>
              <w:keepNext/>
              <w:spacing w:line="245" w:lineRule="auto" w:before="60" w:after="60"/>
              <w:jc w:val="right"/>
            </w:pPr>
            <w:r>
              <w:rPr>
                <w:b w:val="0"/>
                <w:sz w:val="20"/>
              </w:rPr>
              <w:t>0.0342</w:t>
            </w:r>
          </w:p>
        </w:tc>
        <w:tc>
          <w:tcPr>
            <w:tcW w:type="dxa" w:w="1601"/>
            <w:vAlign w:val="center"/>
          </w:tcPr>
          <w:p>
            <w:pPr>
              <w:keepNext/>
              <w:spacing w:line="245" w:lineRule="auto" w:before="60" w:after="60"/>
              <w:jc w:val="right"/>
            </w:pPr>
            <w:r>
              <w:rPr>
                <w:b w:val="0"/>
                <w:sz w:val="20"/>
              </w:rPr>
              <w:t>0.0408</w:t>
            </w:r>
          </w:p>
        </w:tc>
        <w:tc>
          <w:tcPr>
            <w:tcW w:type="dxa" w:w="1601"/>
            <w:vAlign w:val="center"/>
          </w:tcPr>
          <w:p>
            <w:pPr>
              <w:keepNext/>
              <w:spacing w:line="245" w:lineRule="auto" w:before="60" w:after="60"/>
              <w:jc w:val="right"/>
            </w:pPr>
            <w:r>
              <w:rPr>
                <w:b w:val="0"/>
                <w:sz w:val="20"/>
              </w:rPr>
              <w:t>-0.0751</w:t>
            </w:r>
          </w:p>
        </w:tc>
      </w:tr>
      <w:tr>
        <w:trPr>
          <w:cantSplit/>
        </w:trPr>
        <w:tc>
          <w:tcPr>
            <w:tcW w:type="dxa" w:w="1601"/>
            <w:vAlign w:val="center"/>
          </w:tcPr>
          <w:p>
            <w:pPr>
              <w:keepNext/>
              <w:spacing w:line="245" w:lineRule="auto" w:before="60" w:after="60"/>
              <w:jc w:val="left"/>
            </w:pPr>
            <w:r>
              <w:rPr>
                <w:b w:val="0"/>
                <w:sz w:val="20"/>
              </w:rPr>
              <w:t>CART</w:t>
            </w:r>
          </w:p>
        </w:tc>
        <w:tc>
          <w:tcPr>
            <w:tcW w:type="dxa" w:w="1601"/>
            <w:vAlign w:val="center"/>
          </w:tcPr>
          <w:p>
            <w:pPr>
              <w:keepNext/>
              <w:spacing w:line="245" w:lineRule="auto" w:before="60" w:after="60"/>
              <w:jc w:val="right"/>
            </w:pPr>
            <w:r>
              <w:rPr>
                <w:b w:val="0"/>
                <w:sz w:val="20"/>
              </w:rPr>
              <w:t>0.0433</w:t>
            </w:r>
          </w:p>
        </w:tc>
        <w:tc>
          <w:tcPr>
            <w:tcW w:type="dxa" w:w="1601"/>
            <w:vAlign w:val="center"/>
          </w:tcPr>
          <w:p>
            <w:pPr>
              <w:keepNext/>
              <w:spacing w:line="245" w:lineRule="auto" w:before="60" w:after="60"/>
              <w:jc w:val="right"/>
            </w:pPr>
            <w:r>
              <w:rPr>
                <w:b w:val="0"/>
                <w:sz w:val="20"/>
              </w:rPr>
              <w:t>0.0455</w:t>
            </w:r>
          </w:p>
        </w:tc>
        <w:tc>
          <w:tcPr>
            <w:tcW w:type="dxa" w:w="1601"/>
            <w:vAlign w:val="center"/>
          </w:tcPr>
          <w:p>
            <w:pPr>
              <w:keepNext/>
              <w:spacing w:line="245" w:lineRule="auto" w:before="60" w:after="60"/>
              <w:jc w:val="right"/>
            </w:pPr>
            <w:r>
              <w:rPr>
                <w:b w:val="0"/>
                <w:sz w:val="20"/>
              </w:rPr>
              <w:t>0.0472</w:t>
            </w:r>
          </w:p>
        </w:tc>
        <w:tc>
          <w:tcPr>
            <w:tcW w:type="dxa" w:w="1601"/>
            <w:vAlign w:val="center"/>
          </w:tcPr>
          <w:p>
            <w:pPr>
              <w:keepNext/>
              <w:spacing w:line="245" w:lineRule="auto" w:before="60" w:after="60"/>
              <w:jc w:val="right"/>
            </w:pPr>
            <w:r>
              <w:rPr>
                <w:b w:val="0"/>
                <w:sz w:val="20"/>
              </w:rPr>
              <w:t>0.0408</w:t>
            </w:r>
          </w:p>
        </w:tc>
        <w:tc>
          <w:tcPr>
            <w:tcW w:type="dxa" w:w="1601"/>
            <w:vAlign w:val="center"/>
          </w:tcPr>
          <w:p>
            <w:pPr>
              <w:keepNext/>
              <w:spacing w:line="245" w:lineRule="auto" w:before="60" w:after="60"/>
              <w:jc w:val="right"/>
            </w:pPr>
            <w:r>
              <w:rPr>
                <w:b w:val="0"/>
                <w:sz w:val="20"/>
              </w:rPr>
              <w:t>-0.0607</w:t>
            </w:r>
          </w:p>
        </w:tc>
      </w:tr>
      <w:tr>
        <w:trPr>
          <w:cantSplit/>
        </w:trPr>
        <w:tc>
          <w:tcPr>
            <w:tcW w:type="dxa" w:w="1601"/>
            <w:vAlign w:val="center"/>
          </w:tcPr>
          <w:p>
            <w:pPr>
              <w:keepNext w:val="0"/>
              <w:spacing w:line="245" w:lineRule="auto" w:before="60" w:after="60"/>
              <w:jc w:val="left"/>
            </w:pPr>
            <w:r>
              <w:rPr>
                <w:b w:val="0"/>
                <w:sz w:val="20"/>
              </w:rPr>
              <w:t>XGBoost</w:t>
            </w:r>
          </w:p>
        </w:tc>
        <w:tc>
          <w:tcPr>
            <w:tcW w:type="dxa" w:w="1601"/>
            <w:vAlign w:val="center"/>
          </w:tcPr>
          <w:p>
            <w:pPr>
              <w:keepNext w:val="0"/>
              <w:spacing w:line="245" w:lineRule="auto" w:before="60" w:after="60"/>
              <w:jc w:val="right"/>
            </w:pPr>
            <w:r>
              <w:rPr>
                <w:b w:val="0"/>
                <w:sz w:val="20"/>
              </w:rPr>
              <w:t>0.0429</w:t>
            </w:r>
          </w:p>
        </w:tc>
        <w:tc>
          <w:tcPr>
            <w:tcW w:type="dxa" w:w="1601"/>
            <w:vAlign w:val="center"/>
          </w:tcPr>
          <w:p>
            <w:pPr>
              <w:keepNext w:val="0"/>
              <w:spacing w:line="245" w:lineRule="auto" w:before="60" w:after="60"/>
              <w:jc w:val="right"/>
            </w:pPr>
            <w:r>
              <w:rPr>
                <w:b w:val="0"/>
                <w:sz w:val="20"/>
              </w:rPr>
              <w:t>0.0455</w:t>
            </w:r>
          </w:p>
        </w:tc>
        <w:tc>
          <w:tcPr>
            <w:tcW w:type="dxa" w:w="1601"/>
            <w:vAlign w:val="center"/>
          </w:tcPr>
          <w:p>
            <w:pPr>
              <w:keepNext w:val="0"/>
              <w:spacing w:line="245" w:lineRule="auto" w:before="60" w:after="60"/>
              <w:jc w:val="right"/>
            </w:pPr>
            <w:r>
              <w:rPr>
                <w:b w:val="0"/>
                <w:sz w:val="20"/>
              </w:rPr>
              <w:t>0.0573</w:t>
            </w:r>
          </w:p>
        </w:tc>
        <w:tc>
          <w:tcPr>
            <w:tcW w:type="dxa" w:w="1601"/>
            <w:vAlign w:val="center"/>
          </w:tcPr>
          <w:p>
            <w:pPr>
              <w:keepNext w:val="0"/>
              <w:spacing w:line="245" w:lineRule="auto" w:before="60" w:after="60"/>
              <w:jc w:val="right"/>
            </w:pPr>
            <w:r>
              <w:rPr>
                <w:b w:val="0"/>
                <w:sz w:val="20"/>
              </w:rPr>
              <w:t>0.0408</w:t>
            </w:r>
          </w:p>
        </w:tc>
        <w:tc>
          <w:tcPr>
            <w:tcW w:type="dxa" w:w="1601"/>
            <w:vAlign w:val="center"/>
          </w:tcPr>
          <w:p>
            <w:pPr>
              <w:keepNext w:val="0"/>
              <w:spacing w:line="245" w:lineRule="auto" w:before="60" w:after="60"/>
              <w:jc w:val="right"/>
            </w:pPr>
            <w:r>
              <w:rPr>
                <w:b w:val="0"/>
                <w:sz w:val="20"/>
              </w:rPr>
              <w:t>-0.0494</w:t>
            </w:r>
          </w:p>
        </w:tc>
      </w:tr>
    </w:tbl>
    <w:p>
      <w:pPr>
        <w:spacing w:after="20"/>
      </w:pPr>
    </w:p>
    <w:p>
      <w:pPr>
        <w:keepNext/>
        <w:jc w:val="center"/>
      </w:pPr>
      <w:r>
        <w:drawing>
          <wp:inline xmlns:a="http://schemas.openxmlformats.org/drawingml/2006/main" xmlns:pic="http://schemas.openxmlformats.org/drawingml/2006/picture">
            <wp:extent cx="5669280" cy="2346542"/>
            <wp:docPr id="2" name="Picture 2"/>
            <wp:cNvGraphicFramePr>
              <a:graphicFrameLocks noChangeAspect="1"/>
            </wp:cNvGraphicFramePr>
            <a:graphic>
              <a:graphicData uri="http://schemas.openxmlformats.org/drawingml/2006/picture">
                <pic:pic>
                  <pic:nvPicPr>
                    <pic:cNvPr id="0" name="calibration_detail.png"/>
                    <pic:cNvPicPr/>
                  </pic:nvPicPr>
                  <pic:blipFill>
                    <a:blip r:embed="rId11">
                      <a:extLst>
                        <a:ext uri="{96DAC541-7B7A-43D3-8B79-37D633B846F1}">
                          <asvg:svgBlip xmlns:asvg="http://schemas.microsoft.com/office/drawing/2016/SVG/main" r:embed="rId12"/>
                        </a:ext>
                      </a:extLst>
                    </a:blip>
                    <a:stretch>
                      <a:fillRect/>
                    </a:stretch>
                  </pic:blipFill>
                  <pic:spPr>
                    <a:xfrm>
                      <a:off x="0" y="0"/>
                      <a:ext cx="5669280" cy="2346542"/>
                    </a:xfrm>
                    <a:prstGeom prst="rect"/>
                  </pic:spPr>
                </pic:pic>
              </a:graphicData>
            </a:graphic>
          </wp:inline>
        </w:drawing>
      </w:r>
    </w:p>
    <w:p>
      <w:pPr>
        <w:pStyle w:val="Caption"/>
        <w:keepLines/>
      </w:pPr>
      <w:r>
        <w:t>Figure 2. LR calibration before and after training-prior correction on the common test cohort. Quantile bins retain ties; point size reflects bin count. The fitted panel spans 0-100%; the corrected panel zooms to 0-30% on both axes. Bin counts and n are displayed.</w:t>
      </w:r>
    </w:p>
    <w:p>
      <w:r>
        <w:t>The historical constant is deployable within each recorded protocol because it uses training labels only. The retrospective constant uses the evaluated prevalence for assessment and does not generate predictions. Stage 2 does not apply cost cutoffs to corrected LR probabilities: its A/B/C rules operate on raw reference scores. A calibration gain therefore does not constitute an observed reduction in Stage 2 warning loss.</w:t>
      </w:r>
    </w:p>
    <w:p>
      <w:pPr>
        <w:pStyle w:val="Heading1"/>
      </w:pPr>
      <w:r>
        <w:t>4.2 Feature use and incremental predictive evidence</w:t>
      </w:r>
    </w:p>
    <w:p>
      <w:pPr>
        <w:pStyle w:val="Caption"/>
        <w:keepNext/>
      </w:pPr>
      <w:r>
        <w:t>Table 5. Full design versus a refitted learner using all three hazard-rating fields.</w:t>
      </w:r>
    </w:p>
    <w:tbl>
      <w:tblPr>
        <w:tblStyle w:val="TableGrid"/>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1921"/>
            <w:vAlign w:val="center"/>
            <w:shd w:fill="EDEFF1"/>
          </w:tcPr>
          <w:p>
            <w:pPr>
              <w:keepNext/>
              <w:spacing w:line="245" w:lineRule="auto" w:before="60" w:after="60"/>
              <w:jc w:val="center"/>
            </w:pPr>
            <w:r>
              <w:rPr>
                <w:b/>
                <w:sz w:val="20"/>
              </w:rPr>
              <w:t>Model</w:t>
            </w:r>
          </w:p>
        </w:tc>
        <w:tc>
          <w:tcPr>
            <w:tcW w:type="dxa" w:w="1921"/>
            <w:vAlign w:val="center"/>
            <w:shd w:fill="EDEFF1"/>
          </w:tcPr>
          <w:p>
            <w:pPr>
              <w:keepNext/>
              <w:spacing w:line="245" w:lineRule="auto" w:before="60" w:after="60"/>
              <w:jc w:val="center"/>
            </w:pPr>
            <w:r>
              <w:rPr>
                <w:b/>
                <w:sz w:val="20"/>
              </w:rPr>
              <w:t>Full AP</w:t>
            </w:r>
          </w:p>
        </w:tc>
        <w:tc>
          <w:tcPr>
            <w:tcW w:type="dxa" w:w="1921"/>
            <w:vAlign w:val="center"/>
            <w:shd w:fill="EDEFF1"/>
          </w:tcPr>
          <w:p>
            <w:pPr>
              <w:keepNext/>
              <w:spacing w:line="245" w:lineRule="auto" w:before="60" w:after="60"/>
              <w:jc w:val="center"/>
            </w:pPr>
            <w:r>
              <w:rPr>
                <w:b/>
                <w:sz w:val="20"/>
              </w:rPr>
              <w:t>Ratings-only AP</w:t>
            </w:r>
          </w:p>
        </w:tc>
        <w:tc>
          <w:tcPr>
            <w:tcW w:type="dxa" w:w="1921"/>
            <w:vAlign w:val="center"/>
            <w:shd w:fill="EDEFF1"/>
          </w:tcPr>
          <w:p>
            <w:pPr>
              <w:keepNext/>
              <w:spacing w:line="245" w:lineRule="auto" w:before="60" w:after="60"/>
              <w:jc w:val="center"/>
            </w:pPr>
            <w:r>
              <w:rPr>
                <w:b/>
                <w:sz w:val="20"/>
              </w:rPr>
              <w:t>Full minus ratings</w:t>
            </w:r>
          </w:p>
        </w:tc>
        <w:tc>
          <w:tcPr>
            <w:tcW w:type="dxa" w:w="1921"/>
            <w:vAlign w:val="center"/>
            <w:shd w:fill="EDEFF1"/>
          </w:tcPr>
          <w:p>
            <w:pPr>
              <w:keepNext/>
              <w:spacing w:line="245" w:lineRule="auto" w:before="60" w:after="60"/>
              <w:jc w:val="center"/>
            </w:pPr>
            <w:r>
              <w:rPr>
                <w:b/>
                <w:sz w:val="20"/>
              </w:rPr>
              <w:t>95% paired interval</w:t>
            </w:r>
          </w:p>
        </w:tc>
      </w:tr>
      <w:tr>
        <w:trPr>
          <w:cantSplit/>
        </w:trPr>
        <w:tc>
          <w:tcPr>
            <w:tcW w:type="dxa" w:w="1921"/>
            <w:vAlign w:val="center"/>
          </w:tcPr>
          <w:p>
            <w:pPr>
              <w:keepNext/>
              <w:spacing w:line="245" w:lineRule="auto" w:before="60" w:after="60"/>
              <w:jc w:val="left"/>
            </w:pPr>
            <w:r>
              <w:rPr>
                <w:b w:val="0"/>
                <w:sz w:val="20"/>
              </w:rPr>
              <w:t>LR</w:t>
            </w:r>
          </w:p>
        </w:tc>
        <w:tc>
          <w:tcPr>
            <w:tcW w:type="dxa" w:w="1921"/>
            <w:vAlign w:val="center"/>
          </w:tcPr>
          <w:p>
            <w:pPr>
              <w:keepNext/>
              <w:spacing w:line="245" w:lineRule="auto" w:before="60" w:after="60"/>
              <w:jc w:val="right"/>
            </w:pPr>
            <w:r>
              <w:rPr>
                <w:b w:val="0"/>
                <w:sz w:val="20"/>
              </w:rPr>
              <w:t>0.0838</w:t>
            </w:r>
          </w:p>
        </w:tc>
        <w:tc>
          <w:tcPr>
            <w:tcW w:type="dxa" w:w="1921"/>
            <w:vAlign w:val="center"/>
          </w:tcPr>
          <w:p>
            <w:pPr>
              <w:keepNext/>
              <w:spacing w:line="245" w:lineRule="auto" w:before="60" w:after="60"/>
              <w:jc w:val="right"/>
            </w:pPr>
            <w:r>
              <w:rPr>
                <w:b w:val="0"/>
                <w:sz w:val="20"/>
              </w:rPr>
              <w:t>0.0596</w:t>
            </w:r>
          </w:p>
        </w:tc>
        <w:tc>
          <w:tcPr>
            <w:tcW w:type="dxa" w:w="1921"/>
            <w:vAlign w:val="center"/>
          </w:tcPr>
          <w:p>
            <w:pPr>
              <w:keepNext/>
              <w:spacing w:line="245" w:lineRule="auto" w:before="60" w:after="60"/>
              <w:jc w:val="right"/>
            </w:pPr>
            <w:r>
              <w:rPr>
                <w:b w:val="0"/>
                <w:sz w:val="20"/>
              </w:rPr>
              <w:t>0.0243</w:t>
            </w:r>
          </w:p>
        </w:tc>
        <w:tc>
          <w:tcPr>
            <w:tcW w:type="dxa" w:w="1921"/>
            <w:vAlign w:val="center"/>
          </w:tcPr>
          <w:p>
            <w:pPr>
              <w:keepNext/>
              <w:spacing w:line="245" w:lineRule="auto" w:before="60" w:after="60"/>
              <w:jc w:val="right"/>
            </w:pPr>
            <w:r>
              <w:rPr>
                <w:b w:val="0"/>
                <w:sz w:val="20"/>
              </w:rPr>
              <w:t>[-0.0039, 0.0619]</w:t>
            </w:r>
          </w:p>
        </w:tc>
      </w:tr>
      <w:tr>
        <w:trPr>
          <w:cantSplit/>
        </w:trPr>
        <w:tc>
          <w:tcPr>
            <w:tcW w:type="dxa" w:w="1921"/>
            <w:vAlign w:val="center"/>
          </w:tcPr>
          <w:p>
            <w:pPr>
              <w:keepNext/>
              <w:spacing w:line="245" w:lineRule="auto" w:before="60" w:after="60"/>
              <w:jc w:val="left"/>
            </w:pPr>
            <w:r>
              <w:rPr>
                <w:b w:val="0"/>
                <w:sz w:val="20"/>
              </w:rPr>
              <w:t>CART</w:t>
            </w:r>
          </w:p>
        </w:tc>
        <w:tc>
          <w:tcPr>
            <w:tcW w:type="dxa" w:w="1921"/>
            <w:vAlign w:val="center"/>
          </w:tcPr>
          <w:p>
            <w:pPr>
              <w:keepNext/>
              <w:spacing w:line="245" w:lineRule="auto" w:before="60" w:after="60"/>
              <w:jc w:val="right"/>
            </w:pPr>
            <w:r>
              <w:rPr>
                <w:b w:val="0"/>
                <w:sz w:val="20"/>
              </w:rPr>
              <w:t>0.0784</w:t>
            </w:r>
          </w:p>
        </w:tc>
        <w:tc>
          <w:tcPr>
            <w:tcW w:type="dxa" w:w="1921"/>
            <w:vAlign w:val="center"/>
          </w:tcPr>
          <w:p>
            <w:pPr>
              <w:keepNext/>
              <w:spacing w:line="245" w:lineRule="auto" w:before="60" w:after="60"/>
              <w:jc w:val="right"/>
            </w:pPr>
            <w:r>
              <w:rPr>
                <w:b w:val="0"/>
                <w:sz w:val="20"/>
              </w:rPr>
              <w:t>0.0738</w:t>
            </w:r>
          </w:p>
        </w:tc>
        <w:tc>
          <w:tcPr>
            <w:tcW w:type="dxa" w:w="1921"/>
            <w:vAlign w:val="center"/>
          </w:tcPr>
          <w:p>
            <w:pPr>
              <w:keepNext/>
              <w:spacing w:line="245" w:lineRule="auto" w:before="60" w:after="60"/>
              <w:jc w:val="right"/>
            </w:pPr>
            <w:r>
              <w:rPr>
                <w:b w:val="0"/>
                <w:sz w:val="20"/>
              </w:rPr>
              <w:t>0.0046</w:t>
            </w:r>
          </w:p>
        </w:tc>
        <w:tc>
          <w:tcPr>
            <w:tcW w:type="dxa" w:w="1921"/>
            <w:vAlign w:val="center"/>
          </w:tcPr>
          <w:p>
            <w:pPr>
              <w:keepNext/>
              <w:spacing w:line="245" w:lineRule="auto" w:before="60" w:after="60"/>
              <w:jc w:val="right"/>
            </w:pPr>
            <w:r>
              <w:rPr>
                <w:b w:val="0"/>
                <w:sz w:val="20"/>
              </w:rPr>
              <w:t>[-0.0252, 0.0264]</w:t>
            </w:r>
          </w:p>
        </w:tc>
      </w:tr>
      <w:tr>
        <w:trPr>
          <w:cantSplit/>
        </w:trPr>
        <w:tc>
          <w:tcPr>
            <w:tcW w:type="dxa" w:w="1921"/>
            <w:vAlign w:val="center"/>
          </w:tcPr>
          <w:p>
            <w:pPr>
              <w:keepNext w:val="0"/>
              <w:spacing w:line="245" w:lineRule="auto" w:before="60" w:after="60"/>
              <w:jc w:val="left"/>
            </w:pPr>
            <w:r>
              <w:rPr>
                <w:b w:val="0"/>
                <w:sz w:val="20"/>
              </w:rPr>
              <w:t>XGBoost</w:t>
            </w:r>
          </w:p>
        </w:tc>
        <w:tc>
          <w:tcPr>
            <w:tcW w:type="dxa" w:w="1921"/>
            <w:vAlign w:val="center"/>
          </w:tcPr>
          <w:p>
            <w:pPr>
              <w:keepNext w:val="0"/>
              <w:spacing w:line="245" w:lineRule="auto" w:before="60" w:after="60"/>
              <w:jc w:val="right"/>
            </w:pPr>
            <w:r>
              <w:rPr>
                <w:b w:val="0"/>
                <w:sz w:val="20"/>
              </w:rPr>
              <w:t>0.0862</w:t>
            </w:r>
          </w:p>
        </w:tc>
        <w:tc>
          <w:tcPr>
            <w:tcW w:type="dxa" w:w="1921"/>
            <w:vAlign w:val="center"/>
          </w:tcPr>
          <w:p>
            <w:pPr>
              <w:keepNext w:val="0"/>
              <w:spacing w:line="245" w:lineRule="auto" w:before="60" w:after="60"/>
              <w:jc w:val="right"/>
            </w:pPr>
            <w:r>
              <w:rPr>
                <w:b w:val="0"/>
                <w:sz w:val="20"/>
              </w:rPr>
              <w:t>0.0766</w:t>
            </w:r>
          </w:p>
        </w:tc>
        <w:tc>
          <w:tcPr>
            <w:tcW w:type="dxa" w:w="1921"/>
            <w:vAlign w:val="center"/>
          </w:tcPr>
          <w:p>
            <w:pPr>
              <w:keepNext w:val="0"/>
              <w:spacing w:line="245" w:lineRule="auto" w:before="60" w:after="60"/>
              <w:jc w:val="right"/>
            </w:pPr>
            <w:r>
              <w:rPr>
                <w:b w:val="0"/>
                <w:sz w:val="20"/>
              </w:rPr>
              <w:t>0.0096</w:t>
            </w:r>
          </w:p>
        </w:tc>
        <w:tc>
          <w:tcPr>
            <w:tcW w:type="dxa" w:w="1921"/>
            <w:vAlign w:val="center"/>
          </w:tcPr>
          <w:p>
            <w:pPr>
              <w:keepNext w:val="0"/>
              <w:spacing w:line="245" w:lineRule="auto" w:before="60" w:after="60"/>
              <w:jc w:val="right"/>
            </w:pPr>
            <w:r>
              <w:rPr>
                <w:b w:val="0"/>
                <w:sz w:val="20"/>
              </w:rPr>
              <w:t>[-0.0148, 0.0413]</w:t>
            </w:r>
          </w:p>
        </w:tc>
      </w:tr>
    </w:tbl>
    <w:p>
      <w:pPr>
        <w:spacing w:after="20"/>
      </w:pPr>
    </w:p>
    <w:p>
      <w:r>
        <w:t>Ratings-only denotes a separately fitted LR, CART or XGBoost using seismic, seismoacoustic and ghazard together. It is not a direct grade-to-alarm rule or the mine's deployed practice. The paired gain intervals include zero under the retained configurations. XGBoost ablations reuse full-design training-selected parameters, so the contrasts are conditional design comparisons rather than equally retuned optima for every subset.</w:t>
      </w:r>
    </w:p>
    <w:p>
      <w:pPr>
        <w:keepNext/>
        <w:jc w:val="center"/>
      </w:pPr>
      <w:r>
        <w:drawing>
          <wp:inline xmlns:a="http://schemas.openxmlformats.org/drawingml/2006/main" xmlns:pic="http://schemas.openxmlformats.org/drawingml/2006/picture">
            <wp:extent cx="5852160" cy="2816891"/>
            <wp:docPr id="3" name="Picture 3"/>
            <wp:cNvGraphicFramePr>
              <a:graphicFrameLocks noChangeAspect="1"/>
            </wp:cNvGraphicFramePr>
            <a:graphic>
              <a:graphicData uri="http://schemas.openxmlformats.org/drawingml/2006/picture">
                <pic:pic>
                  <pic:nvPicPr>
                    <pic:cNvPr id="0" name="shap_readable.png"/>
                    <pic:cNvPicPr/>
                  </pic:nvPicPr>
                  <pic:blipFill>
                    <a:blip r:embed="rId13">
                      <a:extLst>
                        <a:ext uri="{96DAC541-7B7A-43D3-8B79-37D633B846F1}">
                          <asvg:svgBlip xmlns:asvg="http://schemas.microsoft.com/office/drawing/2016/SVG/main" r:embed="rId14"/>
                        </a:ext>
                      </a:extLst>
                    </a:blip>
                    <a:stretch>
                      <a:fillRect/>
                    </a:stretch>
                  </pic:blipFill>
                  <pic:spPr>
                    <a:xfrm>
                      <a:off x="0" y="0"/>
                      <a:ext cx="5852160" cy="2816891"/>
                    </a:xfrm>
                    <a:prstGeom prst="rect"/>
                  </pic:spPr>
                </pic:pic>
              </a:graphicData>
            </a:graphic>
          </wp:inline>
        </w:drawing>
      </w:r>
    </w:p>
    <w:p>
      <w:pPr>
        <w:pStyle w:val="Caption"/>
        <w:keepLines/>
      </w:pPr>
      <w:r>
        <w:t>Figure 3. Full-feature XGBoost attribution and block-specific shares. Contributions describe the fitted models on raw log-odds; the eight displayed features are selected by global mean absolute contribution. Each heatmap cell is its share of the sum over all 17 features in the block.</w:t>
      </w:r>
    </w:p>
    <w:p>
      <w:r>
        <w:t>The leading contributions are energy, nbumps2, gpuls. Removing the seismic-activity group and refitting yields AP 0.1292 versus 0.0862 for the full design; the paired difference is 0.0430 with interval [-0.0034, 0.1067]. The interval includes zero. Large attribution and uncertain refitted benefit can coexist because they concern different models and questions. Correlated inputs, interactions and sampling variability are possible explanations, not identified causes. No subset is selected from these test results.</w:t>
      </w:r>
    </w:p>
    <w:p>
      <w:pPr>
        <w:pStyle w:val="Heading1"/>
      </w:pPr>
      <w:r>
        <w:t>5 Warning loss, detections and inspection demand</w:t>
      </w:r>
    </w:p>
    <w:p>
      <w:pPr>
        <w:pStyle w:val="Caption"/>
        <w:keepNext/>
      </w:pPr>
      <w:r>
        <w:t>Table 6. Stage 2 fixed XGBoost, r=10, pooled over 2,063 records. Negative loss differences favor the policy over no alarms.</w:t>
      </w:r>
    </w:p>
    <w:tbl>
      <w:tblPr>
        <w:tblStyle w:val="TableGrid"/>
        <w:tblW w:type="auto" w:w="0"/>
        <w:jc w:val="center"/>
        <w:tblLook w:firstColumn="1" w:firstRow="1" w:lastColumn="0" w:lastRow="0" w:noHBand="0" w:noVBand="1" w:val="04A0"/>
      </w:tblPr>
      <w:tblGrid>
        <w:gridCol w:w="1067"/>
        <w:gridCol w:w="1067"/>
        <w:gridCol w:w="1067"/>
        <w:gridCol w:w="1067"/>
        <w:gridCol w:w="1067"/>
        <w:gridCol w:w="1067"/>
        <w:gridCol w:w="1067"/>
        <w:gridCol w:w="1067"/>
        <w:gridCol w:w="1067"/>
      </w:tblGrid>
      <w:tr>
        <w:trPr>
          <w:cantSplit/>
          <w:tblHeader/>
        </w:trPr>
        <w:tc>
          <w:tcPr>
            <w:tcW w:type="dxa" w:w="1067"/>
            <w:vAlign w:val="center"/>
            <w:shd w:fill="EDEFF1"/>
          </w:tcPr>
          <w:p>
            <w:pPr>
              <w:keepNext/>
              <w:spacing w:line="245" w:lineRule="auto" w:before="60" w:after="60"/>
              <w:jc w:val="center"/>
            </w:pPr>
            <w:r>
              <w:rPr>
                <w:b/>
                <w:sz w:val="18"/>
              </w:rPr>
              <w:t>Rule</w:t>
            </w:r>
          </w:p>
        </w:tc>
        <w:tc>
          <w:tcPr>
            <w:tcW w:type="dxa" w:w="1067"/>
            <w:vAlign w:val="center"/>
            <w:shd w:fill="EDEFF1"/>
          </w:tcPr>
          <w:p>
            <w:pPr>
              <w:keepNext/>
              <w:spacing w:line="245" w:lineRule="auto" w:before="60" w:after="60"/>
              <w:jc w:val="center"/>
            </w:pPr>
            <w:r>
              <w:rPr>
                <w:b/>
                <w:sz w:val="18"/>
              </w:rPr>
              <w:t>Budget</w:t>
            </w:r>
          </w:p>
        </w:tc>
        <w:tc>
          <w:tcPr>
            <w:tcW w:type="dxa" w:w="1067"/>
            <w:vAlign w:val="center"/>
            <w:shd w:fill="EDEFF1"/>
          </w:tcPr>
          <w:p>
            <w:pPr>
              <w:keepNext/>
              <w:spacing w:line="245" w:lineRule="auto" w:before="60" w:after="60"/>
              <w:jc w:val="center"/>
            </w:pPr>
            <w:r>
              <w:rPr>
                <w:b/>
                <w:sz w:val="18"/>
              </w:rPr>
              <w:t>L100</w:t>
            </w:r>
          </w:p>
        </w:tc>
        <w:tc>
          <w:tcPr>
            <w:tcW w:type="dxa" w:w="1067"/>
            <w:vAlign w:val="center"/>
            <w:shd w:fill="EDEFF1"/>
          </w:tcPr>
          <w:p>
            <w:pPr>
              <w:keepNext/>
              <w:spacing w:line="245" w:lineRule="auto" w:before="60" w:after="60"/>
              <w:jc w:val="center"/>
            </w:pPr>
            <w:r>
              <w:rPr>
                <w:b/>
                <w:sz w:val="18"/>
              </w:rPr>
              <w:t>Delta vs none</w:t>
            </w:r>
          </w:p>
        </w:tc>
        <w:tc>
          <w:tcPr>
            <w:tcW w:type="dxa" w:w="1067"/>
            <w:vAlign w:val="center"/>
            <w:shd w:fill="EDEFF1"/>
          </w:tcPr>
          <w:p>
            <w:pPr>
              <w:keepNext/>
              <w:spacing w:line="245" w:lineRule="auto" w:before="60" w:after="60"/>
              <w:jc w:val="center"/>
            </w:pPr>
            <w:r>
              <w:rPr>
                <w:b/>
                <w:sz w:val="18"/>
              </w:rPr>
              <w:t>TP</w:t>
            </w:r>
          </w:p>
        </w:tc>
        <w:tc>
          <w:tcPr>
            <w:tcW w:type="dxa" w:w="1067"/>
            <w:vAlign w:val="center"/>
            <w:shd w:fill="EDEFF1"/>
          </w:tcPr>
          <w:p>
            <w:pPr>
              <w:keepNext/>
              <w:spacing w:line="245" w:lineRule="auto" w:before="60" w:after="60"/>
              <w:jc w:val="center"/>
            </w:pPr>
            <w:r>
              <w:rPr>
                <w:b/>
                <w:sz w:val="18"/>
              </w:rPr>
              <w:t>FN</w:t>
            </w:r>
          </w:p>
        </w:tc>
        <w:tc>
          <w:tcPr>
            <w:tcW w:type="dxa" w:w="1067"/>
            <w:vAlign w:val="center"/>
            <w:shd w:fill="EDEFF1"/>
          </w:tcPr>
          <w:p>
            <w:pPr>
              <w:keepNext/>
              <w:spacing w:line="245" w:lineRule="auto" w:before="60" w:after="60"/>
              <w:jc w:val="center"/>
            </w:pPr>
            <w:r>
              <w:rPr>
                <w:b/>
                <w:sz w:val="18"/>
              </w:rPr>
              <w:t>FP</w:t>
            </w:r>
          </w:p>
        </w:tc>
        <w:tc>
          <w:tcPr>
            <w:tcW w:type="dxa" w:w="1067"/>
            <w:vAlign w:val="center"/>
            <w:shd w:fill="EDEFF1"/>
          </w:tcPr>
          <w:p>
            <w:pPr>
              <w:keepNext/>
              <w:spacing w:line="245" w:lineRule="auto" w:before="60" w:after="60"/>
              <w:jc w:val="center"/>
            </w:pPr>
            <w:r>
              <w:rPr>
                <w:b/>
                <w:sz w:val="18"/>
              </w:rPr>
              <w:t>Alerts</w:t>
            </w:r>
          </w:p>
        </w:tc>
        <w:tc>
          <w:tcPr>
            <w:tcW w:type="dxa" w:w="1067"/>
            <w:vAlign w:val="center"/>
            <w:shd w:fill="EDEFF1"/>
          </w:tcPr>
          <w:p>
            <w:pPr>
              <w:keepNext/>
              <w:spacing w:line="245" w:lineRule="auto" w:before="60" w:after="60"/>
              <w:jc w:val="center"/>
            </w:pPr>
            <w:r>
              <w:rPr>
                <w:b/>
                <w:sz w:val="18"/>
              </w:rPr>
              <w:t>Excess</w:t>
            </w:r>
          </w:p>
        </w:tc>
      </w:tr>
      <w:tr>
        <w:trPr>
          <w:cantSplit/>
        </w:trPr>
        <w:tc>
          <w:tcPr>
            <w:tcW w:type="dxa" w:w="1067"/>
            <w:vAlign w:val="center"/>
          </w:tcPr>
          <w:p>
            <w:pPr>
              <w:keepNext/>
              <w:spacing w:line="245" w:lineRule="auto" w:before="60" w:after="60"/>
              <w:jc w:val="left"/>
            </w:pPr>
            <w:r>
              <w:rPr>
                <w:b w:val="0"/>
                <w:sz w:val="18"/>
              </w:rPr>
              <w:t>none</w:t>
            </w:r>
          </w:p>
        </w:tc>
        <w:tc>
          <w:tcPr>
            <w:tcW w:type="dxa" w:w="1067"/>
            <w:vAlign w:val="center"/>
          </w:tcPr>
          <w:p>
            <w:pPr>
              <w:keepNext/>
              <w:spacing w:line="245" w:lineRule="auto" w:before="60" w:after="60"/>
              <w:jc w:val="right"/>
            </w:pPr>
            <w:r>
              <w:rPr>
                <w:b w:val="0"/>
                <w:sz w:val="18"/>
              </w:rPr>
              <w:t>-</w:t>
            </w:r>
          </w:p>
        </w:tc>
        <w:tc>
          <w:tcPr>
            <w:tcW w:type="dxa" w:w="1067"/>
            <w:vAlign w:val="center"/>
          </w:tcPr>
          <w:p>
            <w:pPr>
              <w:keepNext/>
              <w:spacing w:line="245" w:lineRule="auto" w:before="60" w:after="60"/>
              <w:jc w:val="right"/>
            </w:pPr>
            <w:r>
              <w:rPr>
                <w:b w:val="0"/>
                <w:sz w:val="18"/>
              </w:rPr>
              <w:t>42.66</w:t>
            </w:r>
          </w:p>
        </w:tc>
        <w:tc>
          <w:tcPr>
            <w:tcW w:type="dxa" w:w="1067"/>
            <w:vAlign w:val="center"/>
          </w:tcPr>
          <w:p>
            <w:pPr>
              <w:keepNext/>
              <w:spacing w:line="245" w:lineRule="auto" w:before="60" w:after="60"/>
              <w:jc w:val="right"/>
            </w:pPr>
            <w:r>
              <w:rPr>
                <w:b w:val="0"/>
                <w:sz w:val="18"/>
              </w:rPr>
              <w:t>0.00</w:t>
            </w:r>
          </w:p>
        </w:tc>
        <w:tc>
          <w:tcPr>
            <w:tcW w:type="dxa" w:w="1067"/>
            <w:vAlign w:val="center"/>
          </w:tcPr>
          <w:p>
            <w:pPr>
              <w:keepNext/>
              <w:spacing w:line="245" w:lineRule="auto" w:before="60" w:after="60"/>
              <w:jc w:val="right"/>
            </w:pPr>
            <w:r>
              <w:rPr>
                <w:b w:val="0"/>
                <w:sz w:val="18"/>
              </w:rPr>
              <w:t>0</w:t>
            </w:r>
          </w:p>
        </w:tc>
        <w:tc>
          <w:tcPr>
            <w:tcW w:type="dxa" w:w="1067"/>
            <w:vAlign w:val="center"/>
          </w:tcPr>
          <w:p>
            <w:pPr>
              <w:keepNext/>
              <w:spacing w:line="245" w:lineRule="auto" w:before="60" w:after="60"/>
              <w:jc w:val="right"/>
            </w:pPr>
            <w:r>
              <w:rPr>
                <w:b w:val="0"/>
                <w:sz w:val="18"/>
              </w:rPr>
              <w:t>88</w:t>
            </w:r>
          </w:p>
        </w:tc>
        <w:tc>
          <w:tcPr>
            <w:tcW w:type="dxa" w:w="1067"/>
            <w:vAlign w:val="center"/>
          </w:tcPr>
          <w:p>
            <w:pPr>
              <w:keepNext/>
              <w:spacing w:line="245" w:lineRule="auto" w:before="60" w:after="60"/>
              <w:jc w:val="right"/>
            </w:pPr>
            <w:r>
              <w:rPr>
                <w:b w:val="0"/>
                <w:sz w:val="18"/>
              </w:rPr>
              <w:t>0</w:t>
            </w:r>
          </w:p>
        </w:tc>
        <w:tc>
          <w:tcPr>
            <w:tcW w:type="dxa" w:w="1067"/>
            <w:vAlign w:val="center"/>
          </w:tcPr>
          <w:p>
            <w:pPr>
              <w:keepNext/>
              <w:spacing w:line="245" w:lineRule="auto" w:before="60" w:after="60"/>
              <w:jc w:val="right"/>
            </w:pPr>
            <w:r>
              <w:rPr>
                <w:b w:val="0"/>
                <w:sz w:val="18"/>
              </w:rPr>
              <w:t>0</w:t>
            </w:r>
          </w:p>
        </w:tc>
        <w:tc>
          <w:tcPr>
            <w:tcW w:type="dxa" w:w="1067"/>
            <w:vAlign w:val="center"/>
          </w:tcPr>
          <w:p>
            <w:pPr>
              <w:keepNext/>
              <w:spacing w:line="245" w:lineRule="auto" w:before="60" w:after="60"/>
              <w:jc w:val="right"/>
            </w:pPr>
            <w:r>
              <w:rPr>
                <w:b w:val="0"/>
                <w:sz w:val="18"/>
              </w:rPr>
              <w:t>-</w:t>
            </w:r>
          </w:p>
        </w:tc>
      </w:tr>
      <w:tr>
        <w:trPr>
          <w:cantSplit/>
        </w:trPr>
        <w:tc>
          <w:tcPr>
            <w:tcW w:type="dxa" w:w="1067"/>
            <w:vAlign w:val="center"/>
          </w:tcPr>
          <w:p>
            <w:pPr>
              <w:keepNext/>
              <w:spacing w:line="245" w:lineRule="auto" w:before="60" w:after="60"/>
              <w:jc w:val="left"/>
            </w:pPr>
            <w:r>
              <w:rPr>
                <w:b w:val="0"/>
                <w:sz w:val="18"/>
              </w:rPr>
              <w:t>A</w:t>
            </w:r>
          </w:p>
        </w:tc>
        <w:tc>
          <w:tcPr>
            <w:tcW w:type="dxa" w:w="1067"/>
            <w:vAlign w:val="center"/>
          </w:tcPr>
          <w:p>
            <w:pPr>
              <w:keepNext/>
              <w:spacing w:line="245" w:lineRule="auto" w:before="60" w:after="60"/>
              <w:jc w:val="right"/>
            </w:pPr>
            <w:r>
              <w:rPr>
                <w:b w:val="0"/>
                <w:sz w:val="18"/>
              </w:rPr>
              <w:t>1%</w:t>
            </w:r>
          </w:p>
        </w:tc>
        <w:tc>
          <w:tcPr>
            <w:tcW w:type="dxa" w:w="1067"/>
            <w:vAlign w:val="center"/>
          </w:tcPr>
          <w:p>
            <w:pPr>
              <w:keepNext/>
              <w:spacing w:line="245" w:lineRule="auto" w:before="60" w:after="60"/>
              <w:jc w:val="right"/>
            </w:pPr>
            <w:r>
              <w:rPr>
                <w:b w:val="0"/>
                <w:sz w:val="18"/>
              </w:rPr>
              <w:t>45.52</w:t>
            </w:r>
          </w:p>
        </w:tc>
        <w:tc>
          <w:tcPr>
            <w:tcW w:type="dxa" w:w="1067"/>
            <w:vAlign w:val="center"/>
          </w:tcPr>
          <w:p>
            <w:pPr>
              <w:keepNext/>
              <w:spacing w:line="245" w:lineRule="auto" w:before="60" w:after="60"/>
              <w:jc w:val="right"/>
            </w:pPr>
            <w:r>
              <w:rPr>
                <w:b w:val="0"/>
                <w:sz w:val="18"/>
              </w:rPr>
              <w:t>2.86</w:t>
            </w:r>
          </w:p>
        </w:tc>
        <w:tc>
          <w:tcPr>
            <w:tcW w:type="dxa" w:w="1067"/>
            <w:vAlign w:val="center"/>
          </w:tcPr>
          <w:p>
            <w:pPr>
              <w:keepNext/>
              <w:spacing w:line="245" w:lineRule="auto" w:before="60" w:after="60"/>
              <w:jc w:val="right"/>
            </w:pPr>
            <w:r>
              <w:rPr>
                <w:b w:val="0"/>
                <w:sz w:val="18"/>
              </w:rPr>
              <w:t>0</w:t>
            </w:r>
          </w:p>
        </w:tc>
        <w:tc>
          <w:tcPr>
            <w:tcW w:type="dxa" w:w="1067"/>
            <w:vAlign w:val="center"/>
          </w:tcPr>
          <w:p>
            <w:pPr>
              <w:keepNext/>
              <w:spacing w:line="245" w:lineRule="auto" w:before="60" w:after="60"/>
              <w:jc w:val="right"/>
            </w:pPr>
            <w:r>
              <w:rPr>
                <w:b w:val="0"/>
                <w:sz w:val="18"/>
              </w:rPr>
              <w:t>88</w:t>
            </w:r>
          </w:p>
        </w:tc>
        <w:tc>
          <w:tcPr>
            <w:tcW w:type="dxa" w:w="1067"/>
            <w:vAlign w:val="center"/>
          </w:tcPr>
          <w:p>
            <w:pPr>
              <w:keepNext/>
              <w:spacing w:line="245" w:lineRule="auto" w:before="60" w:after="60"/>
              <w:jc w:val="right"/>
            </w:pPr>
            <w:r>
              <w:rPr>
                <w:b w:val="0"/>
                <w:sz w:val="18"/>
              </w:rPr>
              <w:t>59</w:t>
            </w:r>
          </w:p>
        </w:tc>
        <w:tc>
          <w:tcPr>
            <w:tcW w:type="dxa" w:w="1067"/>
            <w:vAlign w:val="center"/>
          </w:tcPr>
          <w:p>
            <w:pPr>
              <w:keepNext/>
              <w:spacing w:line="245" w:lineRule="auto" w:before="60" w:after="60"/>
              <w:jc w:val="right"/>
            </w:pPr>
            <w:r>
              <w:rPr>
                <w:b w:val="0"/>
                <w:sz w:val="18"/>
              </w:rPr>
              <w:t>59</w:t>
            </w:r>
          </w:p>
        </w:tc>
        <w:tc>
          <w:tcPr>
            <w:tcW w:type="dxa" w:w="1067"/>
            <w:vAlign w:val="center"/>
          </w:tcPr>
          <w:p>
            <w:pPr>
              <w:keepNext/>
              <w:spacing w:line="245" w:lineRule="auto" w:before="60" w:after="60"/>
              <w:jc w:val="right"/>
            </w:pPr>
            <w:r>
              <w:rPr>
                <w:b w:val="0"/>
                <w:sz w:val="18"/>
              </w:rPr>
              <w:t>39</w:t>
            </w:r>
          </w:p>
        </w:tc>
      </w:tr>
      <w:tr>
        <w:trPr>
          <w:cantSplit/>
        </w:trPr>
        <w:tc>
          <w:tcPr>
            <w:tcW w:type="dxa" w:w="1067"/>
            <w:vAlign w:val="center"/>
          </w:tcPr>
          <w:p>
            <w:pPr>
              <w:keepNext/>
              <w:spacing w:line="245" w:lineRule="auto" w:before="60" w:after="60"/>
              <w:jc w:val="left"/>
            </w:pPr>
            <w:r>
              <w:rPr>
                <w:b w:val="0"/>
                <w:sz w:val="18"/>
              </w:rPr>
              <w:t>A</w:t>
            </w:r>
          </w:p>
        </w:tc>
        <w:tc>
          <w:tcPr>
            <w:tcW w:type="dxa" w:w="1067"/>
            <w:vAlign w:val="center"/>
          </w:tcPr>
          <w:p>
            <w:pPr>
              <w:keepNext/>
              <w:spacing w:line="245" w:lineRule="auto" w:before="60" w:after="60"/>
              <w:jc w:val="right"/>
            </w:pPr>
            <w:r>
              <w:rPr>
                <w:b w:val="0"/>
                <w:sz w:val="18"/>
              </w:rPr>
              <w:t>5%</w:t>
            </w:r>
          </w:p>
        </w:tc>
        <w:tc>
          <w:tcPr>
            <w:tcW w:type="dxa" w:w="1067"/>
            <w:vAlign w:val="center"/>
          </w:tcPr>
          <w:p>
            <w:pPr>
              <w:keepNext/>
              <w:spacing w:line="245" w:lineRule="auto" w:before="60" w:after="60"/>
              <w:jc w:val="right"/>
            </w:pPr>
            <w:r>
              <w:rPr>
                <w:b w:val="0"/>
                <w:sz w:val="18"/>
              </w:rPr>
              <w:t>45.90</w:t>
            </w:r>
          </w:p>
        </w:tc>
        <w:tc>
          <w:tcPr>
            <w:tcW w:type="dxa" w:w="1067"/>
            <w:vAlign w:val="center"/>
          </w:tcPr>
          <w:p>
            <w:pPr>
              <w:keepNext/>
              <w:spacing w:line="245" w:lineRule="auto" w:before="60" w:after="60"/>
              <w:jc w:val="right"/>
            </w:pPr>
            <w:r>
              <w:rPr>
                <w:b w:val="0"/>
                <w:sz w:val="18"/>
              </w:rPr>
              <w:t>3.25</w:t>
            </w:r>
          </w:p>
        </w:tc>
        <w:tc>
          <w:tcPr>
            <w:tcW w:type="dxa" w:w="1067"/>
            <w:vAlign w:val="center"/>
          </w:tcPr>
          <w:p>
            <w:pPr>
              <w:keepNext/>
              <w:spacing w:line="245" w:lineRule="auto" w:before="60" w:after="60"/>
              <w:jc w:val="right"/>
            </w:pPr>
            <w:r>
              <w:rPr>
                <w:b w:val="0"/>
                <w:sz w:val="18"/>
              </w:rPr>
              <w:t>9</w:t>
            </w:r>
          </w:p>
        </w:tc>
        <w:tc>
          <w:tcPr>
            <w:tcW w:type="dxa" w:w="1067"/>
            <w:vAlign w:val="center"/>
          </w:tcPr>
          <w:p>
            <w:pPr>
              <w:keepNext/>
              <w:spacing w:line="245" w:lineRule="auto" w:before="60" w:after="60"/>
              <w:jc w:val="right"/>
            </w:pPr>
            <w:r>
              <w:rPr>
                <w:b w:val="0"/>
                <w:sz w:val="18"/>
              </w:rPr>
              <w:t>79</w:t>
            </w:r>
          </w:p>
        </w:tc>
        <w:tc>
          <w:tcPr>
            <w:tcW w:type="dxa" w:w="1067"/>
            <w:vAlign w:val="center"/>
          </w:tcPr>
          <w:p>
            <w:pPr>
              <w:keepNext/>
              <w:spacing w:line="245" w:lineRule="auto" w:before="60" w:after="60"/>
              <w:jc w:val="right"/>
            </w:pPr>
            <w:r>
              <w:rPr>
                <w:b w:val="0"/>
                <w:sz w:val="18"/>
              </w:rPr>
              <w:t>157</w:t>
            </w:r>
          </w:p>
        </w:tc>
        <w:tc>
          <w:tcPr>
            <w:tcW w:type="dxa" w:w="1067"/>
            <w:vAlign w:val="center"/>
          </w:tcPr>
          <w:p>
            <w:pPr>
              <w:keepNext/>
              <w:spacing w:line="245" w:lineRule="auto" w:before="60" w:after="60"/>
              <w:jc w:val="right"/>
            </w:pPr>
            <w:r>
              <w:rPr>
                <w:b w:val="0"/>
                <w:sz w:val="18"/>
              </w:rPr>
              <w:t>166</w:t>
            </w:r>
          </w:p>
        </w:tc>
        <w:tc>
          <w:tcPr>
            <w:tcW w:type="dxa" w:w="1067"/>
            <w:vAlign w:val="center"/>
          </w:tcPr>
          <w:p>
            <w:pPr>
              <w:keepNext/>
              <w:spacing w:line="245" w:lineRule="auto" w:before="60" w:after="60"/>
              <w:jc w:val="right"/>
            </w:pPr>
            <w:r>
              <w:rPr>
                <w:b w:val="0"/>
                <w:sz w:val="18"/>
              </w:rPr>
              <w:t>81</w:t>
            </w:r>
          </w:p>
        </w:tc>
      </w:tr>
      <w:tr>
        <w:trPr>
          <w:cantSplit/>
        </w:trPr>
        <w:tc>
          <w:tcPr>
            <w:tcW w:type="dxa" w:w="1067"/>
            <w:vAlign w:val="center"/>
          </w:tcPr>
          <w:p>
            <w:pPr>
              <w:keepNext/>
              <w:spacing w:line="245" w:lineRule="auto" w:before="60" w:after="60"/>
              <w:jc w:val="left"/>
            </w:pPr>
            <w:r>
              <w:rPr>
                <w:b w:val="0"/>
                <w:sz w:val="18"/>
              </w:rPr>
              <w:t>A</w:t>
            </w:r>
          </w:p>
        </w:tc>
        <w:tc>
          <w:tcPr>
            <w:tcW w:type="dxa" w:w="1067"/>
            <w:vAlign w:val="center"/>
          </w:tcPr>
          <w:p>
            <w:pPr>
              <w:keepNext/>
              <w:spacing w:line="245" w:lineRule="auto" w:before="60" w:after="60"/>
              <w:jc w:val="right"/>
            </w:pPr>
            <w:r>
              <w:rPr>
                <w:b w:val="0"/>
                <w:sz w:val="18"/>
              </w:rPr>
              <w:t>10%</w:t>
            </w:r>
          </w:p>
        </w:tc>
        <w:tc>
          <w:tcPr>
            <w:tcW w:type="dxa" w:w="1067"/>
            <w:vAlign w:val="center"/>
          </w:tcPr>
          <w:p>
            <w:pPr>
              <w:keepNext/>
              <w:spacing w:line="245" w:lineRule="auto" w:before="60" w:after="60"/>
              <w:jc w:val="right"/>
            </w:pPr>
            <w:r>
              <w:rPr>
                <w:b w:val="0"/>
                <w:sz w:val="18"/>
              </w:rPr>
              <w:t>47.21</w:t>
            </w:r>
          </w:p>
        </w:tc>
        <w:tc>
          <w:tcPr>
            <w:tcW w:type="dxa" w:w="1067"/>
            <w:vAlign w:val="center"/>
          </w:tcPr>
          <w:p>
            <w:pPr>
              <w:keepNext/>
              <w:spacing w:line="245" w:lineRule="auto" w:before="60" w:after="60"/>
              <w:jc w:val="right"/>
            </w:pPr>
            <w:r>
              <w:rPr>
                <w:b w:val="0"/>
                <w:sz w:val="18"/>
              </w:rPr>
              <w:t>4.56</w:t>
            </w:r>
          </w:p>
        </w:tc>
        <w:tc>
          <w:tcPr>
            <w:tcW w:type="dxa" w:w="1067"/>
            <w:vAlign w:val="center"/>
          </w:tcPr>
          <w:p>
            <w:pPr>
              <w:keepNext/>
              <w:spacing w:line="245" w:lineRule="auto" w:before="60" w:after="60"/>
              <w:jc w:val="right"/>
            </w:pPr>
            <w:r>
              <w:rPr>
                <w:b w:val="0"/>
                <w:sz w:val="18"/>
              </w:rPr>
              <w:t>14</w:t>
            </w:r>
          </w:p>
        </w:tc>
        <w:tc>
          <w:tcPr>
            <w:tcW w:type="dxa" w:w="1067"/>
            <w:vAlign w:val="center"/>
          </w:tcPr>
          <w:p>
            <w:pPr>
              <w:keepNext/>
              <w:spacing w:line="245" w:lineRule="auto" w:before="60" w:after="60"/>
              <w:jc w:val="right"/>
            </w:pPr>
            <w:r>
              <w:rPr>
                <w:b w:val="0"/>
                <w:sz w:val="18"/>
              </w:rPr>
              <w:t>74</w:t>
            </w:r>
          </w:p>
        </w:tc>
        <w:tc>
          <w:tcPr>
            <w:tcW w:type="dxa" w:w="1067"/>
            <w:vAlign w:val="center"/>
          </w:tcPr>
          <w:p>
            <w:pPr>
              <w:keepNext/>
              <w:spacing w:line="245" w:lineRule="auto" w:before="60" w:after="60"/>
              <w:jc w:val="right"/>
            </w:pPr>
            <w:r>
              <w:rPr>
                <w:b w:val="0"/>
                <w:sz w:val="18"/>
              </w:rPr>
              <w:t>234</w:t>
            </w:r>
          </w:p>
        </w:tc>
        <w:tc>
          <w:tcPr>
            <w:tcW w:type="dxa" w:w="1067"/>
            <w:vAlign w:val="center"/>
          </w:tcPr>
          <w:p>
            <w:pPr>
              <w:keepNext/>
              <w:spacing w:line="245" w:lineRule="auto" w:before="60" w:after="60"/>
              <w:jc w:val="right"/>
            </w:pPr>
            <w:r>
              <w:rPr>
                <w:b w:val="0"/>
                <w:sz w:val="18"/>
              </w:rPr>
              <w:t>248</w:t>
            </w:r>
          </w:p>
        </w:tc>
        <w:tc>
          <w:tcPr>
            <w:tcW w:type="dxa" w:w="1067"/>
            <w:vAlign w:val="center"/>
          </w:tcPr>
          <w:p>
            <w:pPr>
              <w:keepNext/>
              <w:spacing w:line="245" w:lineRule="auto" w:before="60" w:after="60"/>
              <w:jc w:val="right"/>
            </w:pPr>
            <w:r>
              <w:rPr>
                <w:b w:val="0"/>
                <w:sz w:val="18"/>
              </w:rPr>
              <w:t>84</w:t>
            </w:r>
          </w:p>
        </w:tc>
      </w:tr>
      <w:tr>
        <w:trPr>
          <w:cantSplit/>
        </w:trPr>
        <w:tc>
          <w:tcPr>
            <w:tcW w:type="dxa" w:w="1067"/>
            <w:vAlign w:val="center"/>
          </w:tcPr>
          <w:p>
            <w:pPr>
              <w:keepNext/>
              <w:spacing w:line="245" w:lineRule="auto" w:before="60" w:after="60"/>
              <w:jc w:val="left"/>
            </w:pPr>
            <w:r>
              <w:rPr>
                <w:b w:val="0"/>
                <w:sz w:val="18"/>
              </w:rPr>
              <w:t>A</w:t>
            </w:r>
          </w:p>
        </w:tc>
        <w:tc>
          <w:tcPr>
            <w:tcW w:type="dxa" w:w="1067"/>
            <w:vAlign w:val="center"/>
          </w:tcPr>
          <w:p>
            <w:pPr>
              <w:keepNext/>
              <w:spacing w:line="245" w:lineRule="auto" w:before="60" w:after="60"/>
              <w:jc w:val="right"/>
            </w:pPr>
            <w:r>
              <w:rPr>
                <w:b w:val="0"/>
                <w:sz w:val="18"/>
              </w:rPr>
              <w:t>20%</w:t>
            </w:r>
          </w:p>
        </w:tc>
        <w:tc>
          <w:tcPr>
            <w:tcW w:type="dxa" w:w="1067"/>
            <w:vAlign w:val="center"/>
          </w:tcPr>
          <w:p>
            <w:pPr>
              <w:keepNext/>
              <w:spacing w:line="245" w:lineRule="auto" w:before="60" w:after="60"/>
              <w:jc w:val="right"/>
            </w:pPr>
            <w:r>
              <w:rPr>
                <w:b w:val="0"/>
                <w:sz w:val="18"/>
              </w:rPr>
              <w:t>56.33</w:t>
            </w:r>
          </w:p>
        </w:tc>
        <w:tc>
          <w:tcPr>
            <w:tcW w:type="dxa" w:w="1067"/>
            <w:vAlign w:val="center"/>
          </w:tcPr>
          <w:p>
            <w:pPr>
              <w:keepNext/>
              <w:spacing w:line="245" w:lineRule="auto" w:before="60" w:after="60"/>
              <w:jc w:val="right"/>
            </w:pPr>
            <w:r>
              <w:rPr>
                <w:b w:val="0"/>
                <w:sz w:val="18"/>
              </w:rPr>
              <w:t>13.67</w:t>
            </w:r>
          </w:p>
        </w:tc>
        <w:tc>
          <w:tcPr>
            <w:tcW w:type="dxa" w:w="1067"/>
            <w:vAlign w:val="center"/>
          </w:tcPr>
          <w:p>
            <w:pPr>
              <w:keepNext/>
              <w:spacing w:line="245" w:lineRule="auto" w:before="60" w:after="60"/>
              <w:jc w:val="right"/>
            </w:pPr>
            <w:r>
              <w:rPr>
                <w:b w:val="0"/>
                <w:sz w:val="18"/>
              </w:rPr>
              <w:t>25</w:t>
            </w:r>
          </w:p>
        </w:tc>
        <w:tc>
          <w:tcPr>
            <w:tcW w:type="dxa" w:w="1067"/>
            <w:vAlign w:val="center"/>
          </w:tcPr>
          <w:p>
            <w:pPr>
              <w:keepNext/>
              <w:spacing w:line="245" w:lineRule="auto" w:before="60" w:after="60"/>
              <w:jc w:val="right"/>
            </w:pPr>
            <w:r>
              <w:rPr>
                <w:b w:val="0"/>
                <w:sz w:val="18"/>
              </w:rPr>
              <w:t>63</w:t>
            </w:r>
          </w:p>
        </w:tc>
        <w:tc>
          <w:tcPr>
            <w:tcW w:type="dxa" w:w="1067"/>
            <w:vAlign w:val="center"/>
          </w:tcPr>
          <w:p>
            <w:pPr>
              <w:keepNext/>
              <w:spacing w:line="245" w:lineRule="auto" w:before="60" w:after="60"/>
              <w:jc w:val="right"/>
            </w:pPr>
            <w:r>
              <w:rPr>
                <w:b w:val="0"/>
                <w:sz w:val="18"/>
              </w:rPr>
              <w:t>532</w:t>
            </w:r>
          </w:p>
        </w:tc>
        <w:tc>
          <w:tcPr>
            <w:tcW w:type="dxa" w:w="1067"/>
            <w:vAlign w:val="center"/>
          </w:tcPr>
          <w:p>
            <w:pPr>
              <w:keepNext/>
              <w:spacing w:line="245" w:lineRule="auto" w:before="60" w:after="60"/>
              <w:jc w:val="right"/>
            </w:pPr>
            <w:r>
              <w:rPr>
                <w:b w:val="0"/>
                <w:sz w:val="18"/>
              </w:rPr>
              <w:t>557</w:t>
            </w:r>
          </w:p>
        </w:tc>
        <w:tc>
          <w:tcPr>
            <w:tcW w:type="dxa" w:w="1067"/>
            <w:vAlign w:val="center"/>
          </w:tcPr>
          <w:p>
            <w:pPr>
              <w:keepNext/>
              <w:spacing w:line="245" w:lineRule="auto" w:before="60" w:after="60"/>
              <w:jc w:val="right"/>
            </w:pPr>
            <w:r>
              <w:rPr>
                <w:b w:val="0"/>
                <w:sz w:val="18"/>
              </w:rPr>
              <w:t>227</w:t>
            </w:r>
          </w:p>
        </w:tc>
      </w:tr>
      <w:tr>
        <w:trPr>
          <w:cantSplit/>
        </w:trPr>
        <w:tc>
          <w:tcPr>
            <w:tcW w:type="dxa" w:w="1067"/>
            <w:vAlign w:val="center"/>
          </w:tcPr>
          <w:p>
            <w:pPr>
              <w:keepNext/>
              <w:spacing w:line="245" w:lineRule="auto" w:before="60" w:after="60"/>
              <w:jc w:val="left"/>
            </w:pPr>
            <w:r>
              <w:rPr>
                <w:b w:val="0"/>
                <w:sz w:val="18"/>
              </w:rPr>
              <w:t>B</w:t>
            </w:r>
          </w:p>
        </w:tc>
        <w:tc>
          <w:tcPr>
            <w:tcW w:type="dxa" w:w="1067"/>
            <w:vAlign w:val="center"/>
          </w:tcPr>
          <w:p>
            <w:pPr>
              <w:keepNext/>
              <w:spacing w:line="245" w:lineRule="auto" w:before="60" w:after="60"/>
              <w:jc w:val="right"/>
            </w:pPr>
            <w:r>
              <w:rPr>
                <w:b w:val="0"/>
                <w:sz w:val="18"/>
              </w:rPr>
              <w:t>-</w:t>
            </w:r>
          </w:p>
        </w:tc>
        <w:tc>
          <w:tcPr>
            <w:tcW w:type="dxa" w:w="1067"/>
            <w:vAlign w:val="center"/>
          </w:tcPr>
          <w:p>
            <w:pPr>
              <w:keepNext/>
              <w:spacing w:line="245" w:lineRule="auto" w:before="60" w:after="60"/>
              <w:jc w:val="right"/>
            </w:pPr>
            <w:r>
              <w:rPr>
                <w:b w:val="0"/>
                <w:sz w:val="18"/>
              </w:rPr>
              <w:t>44.06</w:t>
            </w:r>
          </w:p>
        </w:tc>
        <w:tc>
          <w:tcPr>
            <w:tcW w:type="dxa" w:w="1067"/>
            <w:vAlign w:val="center"/>
          </w:tcPr>
          <w:p>
            <w:pPr>
              <w:keepNext/>
              <w:spacing w:line="245" w:lineRule="auto" w:before="60" w:after="60"/>
              <w:jc w:val="right"/>
            </w:pPr>
            <w:r>
              <w:rPr>
                <w:b w:val="0"/>
                <w:sz w:val="18"/>
              </w:rPr>
              <w:t>1.41</w:t>
            </w:r>
          </w:p>
        </w:tc>
        <w:tc>
          <w:tcPr>
            <w:tcW w:type="dxa" w:w="1067"/>
            <w:vAlign w:val="center"/>
          </w:tcPr>
          <w:p>
            <w:pPr>
              <w:keepNext/>
              <w:spacing w:line="245" w:lineRule="auto" w:before="60" w:after="60"/>
              <w:jc w:val="right"/>
            </w:pPr>
            <w:r>
              <w:rPr>
                <w:b w:val="0"/>
                <w:sz w:val="18"/>
              </w:rPr>
              <w:t>35</w:t>
            </w:r>
          </w:p>
        </w:tc>
        <w:tc>
          <w:tcPr>
            <w:tcW w:type="dxa" w:w="1067"/>
            <w:vAlign w:val="center"/>
          </w:tcPr>
          <w:p>
            <w:pPr>
              <w:keepNext/>
              <w:spacing w:line="245" w:lineRule="auto" w:before="60" w:after="60"/>
              <w:jc w:val="right"/>
            </w:pPr>
            <w:r>
              <w:rPr>
                <w:b w:val="0"/>
                <w:sz w:val="18"/>
              </w:rPr>
              <w:t>53</w:t>
            </w:r>
          </w:p>
        </w:tc>
        <w:tc>
          <w:tcPr>
            <w:tcW w:type="dxa" w:w="1067"/>
            <w:vAlign w:val="center"/>
          </w:tcPr>
          <w:p>
            <w:pPr>
              <w:keepNext/>
              <w:spacing w:line="245" w:lineRule="auto" w:before="60" w:after="60"/>
              <w:jc w:val="right"/>
            </w:pPr>
            <w:r>
              <w:rPr>
                <w:b w:val="0"/>
                <w:sz w:val="18"/>
              </w:rPr>
              <w:t>379</w:t>
            </w:r>
          </w:p>
        </w:tc>
        <w:tc>
          <w:tcPr>
            <w:tcW w:type="dxa" w:w="1067"/>
            <w:vAlign w:val="center"/>
          </w:tcPr>
          <w:p>
            <w:pPr>
              <w:keepNext/>
              <w:spacing w:line="245" w:lineRule="auto" w:before="60" w:after="60"/>
              <w:jc w:val="right"/>
            </w:pPr>
            <w:r>
              <w:rPr>
                <w:b w:val="0"/>
                <w:sz w:val="18"/>
              </w:rPr>
              <w:t>414</w:t>
            </w:r>
          </w:p>
        </w:tc>
        <w:tc>
          <w:tcPr>
            <w:tcW w:type="dxa" w:w="1067"/>
            <w:vAlign w:val="center"/>
          </w:tcPr>
          <w:p>
            <w:pPr>
              <w:keepNext/>
              <w:spacing w:line="245" w:lineRule="auto" w:before="60" w:after="60"/>
              <w:jc w:val="right"/>
            </w:pPr>
            <w:r>
              <w:rPr>
                <w:b w:val="0"/>
                <w:sz w:val="18"/>
              </w:rPr>
              <w:t>-</w:t>
            </w:r>
          </w:p>
        </w:tc>
      </w:tr>
      <w:tr>
        <w:trPr>
          <w:cantSplit/>
        </w:trPr>
        <w:tc>
          <w:tcPr>
            <w:tcW w:type="dxa" w:w="1067"/>
            <w:vAlign w:val="center"/>
          </w:tcPr>
          <w:p>
            <w:pPr>
              <w:keepNext/>
              <w:spacing w:line="245" w:lineRule="auto" w:before="60" w:after="60"/>
              <w:jc w:val="left"/>
            </w:pPr>
            <w:r>
              <w:rPr>
                <w:b w:val="0"/>
                <w:sz w:val="18"/>
              </w:rPr>
              <w:t>C</w:t>
            </w:r>
          </w:p>
        </w:tc>
        <w:tc>
          <w:tcPr>
            <w:tcW w:type="dxa" w:w="1067"/>
            <w:vAlign w:val="center"/>
          </w:tcPr>
          <w:p>
            <w:pPr>
              <w:keepNext/>
              <w:spacing w:line="245" w:lineRule="auto" w:before="60" w:after="60"/>
              <w:jc w:val="right"/>
            </w:pPr>
            <w:r>
              <w:rPr>
                <w:b w:val="0"/>
                <w:sz w:val="18"/>
              </w:rPr>
              <w:t>1%</w:t>
            </w:r>
          </w:p>
        </w:tc>
        <w:tc>
          <w:tcPr>
            <w:tcW w:type="dxa" w:w="1067"/>
            <w:vAlign w:val="center"/>
          </w:tcPr>
          <w:p>
            <w:pPr>
              <w:keepNext/>
              <w:spacing w:line="245" w:lineRule="auto" w:before="60" w:after="60"/>
              <w:jc w:val="right"/>
            </w:pPr>
            <w:r>
              <w:rPr>
                <w:b w:val="0"/>
                <w:sz w:val="18"/>
              </w:rPr>
              <w:t>42.66</w:t>
            </w:r>
          </w:p>
        </w:tc>
        <w:tc>
          <w:tcPr>
            <w:tcW w:type="dxa" w:w="1067"/>
            <w:vAlign w:val="center"/>
          </w:tcPr>
          <w:p>
            <w:pPr>
              <w:keepNext/>
              <w:spacing w:line="245" w:lineRule="auto" w:before="60" w:after="60"/>
              <w:jc w:val="right"/>
            </w:pPr>
            <w:r>
              <w:rPr>
                <w:b w:val="0"/>
                <w:sz w:val="18"/>
              </w:rPr>
              <w:t>0.00</w:t>
            </w:r>
          </w:p>
        </w:tc>
        <w:tc>
          <w:tcPr>
            <w:tcW w:type="dxa" w:w="1067"/>
            <w:vAlign w:val="center"/>
          </w:tcPr>
          <w:p>
            <w:pPr>
              <w:keepNext/>
              <w:spacing w:line="245" w:lineRule="auto" w:before="60" w:after="60"/>
              <w:jc w:val="right"/>
            </w:pPr>
            <w:r>
              <w:rPr>
                <w:b w:val="0"/>
                <w:sz w:val="18"/>
              </w:rPr>
              <w:t>0</w:t>
            </w:r>
          </w:p>
        </w:tc>
        <w:tc>
          <w:tcPr>
            <w:tcW w:type="dxa" w:w="1067"/>
            <w:vAlign w:val="center"/>
          </w:tcPr>
          <w:p>
            <w:pPr>
              <w:keepNext/>
              <w:spacing w:line="245" w:lineRule="auto" w:before="60" w:after="60"/>
              <w:jc w:val="right"/>
            </w:pPr>
            <w:r>
              <w:rPr>
                <w:b w:val="0"/>
                <w:sz w:val="18"/>
              </w:rPr>
              <w:t>88</w:t>
            </w:r>
          </w:p>
        </w:tc>
        <w:tc>
          <w:tcPr>
            <w:tcW w:type="dxa" w:w="1067"/>
            <w:vAlign w:val="center"/>
          </w:tcPr>
          <w:p>
            <w:pPr>
              <w:keepNext/>
              <w:spacing w:line="245" w:lineRule="auto" w:before="60" w:after="60"/>
              <w:jc w:val="right"/>
            </w:pPr>
            <w:r>
              <w:rPr>
                <w:b w:val="0"/>
                <w:sz w:val="18"/>
              </w:rPr>
              <w:t>0</w:t>
            </w:r>
          </w:p>
        </w:tc>
        <w:tc>
          <w:tcPr>
            <w:tcW w:type="dxa" w:w="1067"/>
            <w:vAlign w:val="center"/>
          </w:tcPr>
          <w:p>
            <w:pPr>
              <w:keepNext/>
              <w:spacing w:line="245" w:lineRule="auto" w:before="60" w:after="60"/>
              <w:jc w:val="right"/>
            </w:pPr>
            <w:r>
              <w:rPr>
                <w:b w:val="0"/>
                <w:sz w:val="18"/>
              </w:rPr>
              <w:t>0</w:t>
            </w:r>
          </w:p>
        </w:tc>
        <w:tc>
          <w:tcPr>
            <w:tcW w:type="dxa" w:w="1067"/>
            <w:vAlign w:val="center"/>
          </w:tcPr>
          <w:p>
            <w:pPr>
              <w:keepNext/>
              <w:spacing w:line="245" w:lineRule="auto" w:before="60" w:after="60"/>
              <w:jc w:val="right"/>
            </w:pPr>
            <w:r>
              <w:rPr>
                <w:b w:val="0"/>
                <w:sz w:val="18"/>
              </w:rPr>
              <w:t>0</w:t>
            </w:r>
          </w:p>
        </w:tc>
      </w:tr>
      <w:tr>
        <w:trPr>
          <w:cantSplit/>
        </w:trPr>
        <w:tc>
          <w:tcPr>
            <w:tcW w:type="dxa" w:w="1067"/>
            <w:vAlign w:val="center"/>
          </w:tcPr>
          <w:p>
            <w:pPr>
              <w:keepNext/>
              <w:spacing w:line="245" w:lineRule="auto" w:before="60" w:after="60"/>
              <w:jc w:val="left"/>
            </w:pPr>
            <w:r>
              <w:rPr>
                <w:b w:val="0"/>
                <w:sz w:val="18"/>
              </w:rPr>
              <w:t>C</w:t>
            </w:r>
          </w:p>
        </w:tc>
        <w:tc>
          <w:tcPr>
            <w:tcW w:type="dxa" w:w="1067"/>
            <w:vAlign w:val="center"/>
          </w:tcPr>
          <w:p>
            <w:pPr>
              <w:keepNext/>
              <w:spacing w:line="245" w:lineRule="auto" w:before="60" w:after="60"/>
              <w:jc w:val="right"/>
            </w:pPr>
            <w:r>
              <w:rPr>
                <w:b w:val="0"/>
                <w:sz w:val="18"/>
              </w:rPr>
              <w:t>5%</w:t>
            </w:r>
          </w:p>
        </w:tc>
        <w:tc>
          <w:tcPr>
            <w:tcW w:type="dxa" w:w="1067"/>
            <w:vAlign w:val="center"/>
          </w:tcPr>
          <w:p>
            <w:pPr>
              <w:keepNext/>
              <w:spacing w:line="245" w:lineRule="auto" w:before="60" w:after="60"/>
              <w:jc w:val="right"/>
            </w:pPr>
            <w:r>
              <w:rPr>
                <w:b w:val="0"/>
                <w:sz w:val="18"/>
              </w:rPr>
              <w:t>43.33</w:t>
            </w:r>
          </w:p>
        </w:tc>
        <w:tc>
          <w:tcPr>
            <w:tcW w:type="dxa" w:w="1067"/>
            <w:vAlign w:val="center"/>
          </w:tcPr>
          <w:p>
            <w:pPr>
              <w:keepNext/>
              <w:spacing w:line="245" w:lineRule="auto" w:before="60" w:after="60"/>
              <w:jc w:val="right"/>
            </w:pPr>
            <w:r>
              <w:rPr>
                <w:b w:val="0"/>
                <w:sz w:val="18"/>
              </w:rPr>
              <w:t>0.68</w:t>
            </w:r>
          </w:p>
        </w:tc>
        <w:tc>
          <w:tcPr>
            <w:tcW w:type="dxa" w:w="1067"/>
            <w:vAlign w:val="center"/>
          </w:tcPr>
          <w:p>
            <w:pPr>
              <w:keepNext/>
              <w:spacing w:line="245" w:lineRule="auto" w:before="60" w:after="60"/>
              <w:jc w:val="right"/>
            </w:pPr>
            <w:r>
              <w:rPr>
                <w:b w:val="0"/>
                <w:sz w:val="18"/>
              </w:rPr>
              <w:t>1</w:t>
            </w:r>
          </w:p>
        </w:tc>
        <w:tc>
          <w:tcPr>
            <w:tcW w:type="dxa" w:w="1067"/>
            <w:vAlign w:val="center"/>
          </w:tcPr>
          <w:p>
            <w:pPr>
              <w:keepNext/>
              <w:spacing w:line="245" w:lineRule="auto" w:before="60" w:after="60"/>
              <w:jc w:val="right"/>
            </w:pPr>
            <w:r>
              <w:rPr>
                <w:b w:val="0"/>
                <w:sz w:val="18"/>
              </w:rPr>
              <w:t>87</w:t>
            </w:r>
          </w:p>
        </w:tc>
        <w:tc>
          <w:tcPr>
            <w:tcW w:type="dxa" w:w="1067"/>
            <w:vAlign w:val="center"/>
          </w:tcPr>
          <w:p>
            <w:pPr>
              <w:keepNext/>
              <w:spacing w:line="245" w:lineRule="auto" w:before="60" w:after="60"/>
              <w:jc w:val="right"/>
            </w:pPr>
            <w:r>
              <w:rPr>
                <w:b w:val="0"/>
                <w:sz w:val="18"/>
              </w:rPr>
              <w:t>24</w:t>
            </w:r>
          </w:p>
        </w:tc>
        <w:tc>
          <w:tcPr>
            <w:tcW w:type="dxa" w:w="1067"/>
            <w:vAlign w:val="center"/>
          </w:tcPr>
          <w:p>
            <w:pPr>
              <w:keepNext/>
              <w:spacing w:line="245" w:lineRule="auto" w:before="60" w:after="60"/>
              <w:jc w:val="right"/>
            </w:pPr>
            <w:r>
              <w:rPr>
                <w:b w:val="0"/>
                <w:sz w:val="18"/>
              </w:rPr>
              <w:t>25</w:t>
            </w:r>
          </w:p>
        </w:tc>
        <w:tc>
          <w:tcPr>
            <w:tcW w:type="dxa" w:w="1067"/>
            <w:vAlign w:val="center"/>
          </w:tcPr>
          <w:p>
            <w:pPr>
              <w:keepNext/>
              <w:spacing w:line="245" w:lineRule="auto" w:before="60" w:after="60"/>
              <w:jc w:val="right"/>
            </w:pPr>
            <w:r>
              <w:rPr>
                <w:b w:val="0"/>
                <w:sz w:val="18"/>
              </w:rPr>
              <w:t>0</w:t>
            </w:r>
          </w:p>
        </w:tc>
      </w:tr>
      <w:tr>
        <w:trPr>
          <w:cantSplit/>
        </w:trPr>
        <w:tc>
          <w:tcPr>
            <w:tcW w:type="dxa" w:w="1067"/>
            <w:vAlign w:val="center"/>
          </w:tcPr>
          <w:p>
            <w:pPr>
              <w:keepNext/>
              <w:spacing w:line="245" w:lineRule="auto" w:before="60" w:after="60"/>
              <w:jc w:val="left"/>
            </w:pPr>
            <w:r>
              <w:rPr>
                <w:b w:val="0"/>
                <w:sz w:val="18"/>
              </w:rPr>
              <w:t>C</w:t>
            </w:r>
          </w:p>
        </w:tc>
        <w:tc>
          <w:tcPr>
            <w:tcW w:type="dxa" w:w="1067"/>
            <w:vAlign w:val="center"/>
          </w:tcPr>
          <w:p>
            <w:pPr>
              <w:keepNext/>
              <w:spacing w:line="245" w:lineRule="auto" w:before="60" w:after="60"/>
              <w:jc w:val="right"/>
            </w:pPr>
            <w:r>
              <w:rPr>
                <w:b w:val="0"/>
                <w:sz w:val="18"/>
              </w:rPr>
              <w:t>10%</w:t>
            </w:r>
          </w:p>
        </w:tc>
        <w:tc>
          <w:tcPr>
            <w:tcW w:type="dxa" w:w="1067"/>
            <w:vAlign w:val="center"/>
          </w:tcPr>
          <w:p>
            <w:pPr>
              <w:keepNext/>
              <w:spacing w:line="245" w:lineRule="auto" w:before="60" w:after="60"/>
              <w:jc w:val="right"/>
            </w:pPr>
            <w:r>
              <w:rPr>
                <w:b w:val="0"/>
                <w:sz w:val="18"/>
              </w:rPr>
              <w:t>43.48</w:t>
            </w:r>
          </w:p>
        </w:tc>
        <w:tc>
          <w:tcPr>
            <w:tcW w:type="dxa" w:w="1067"/>
            <w:vAlign w:val="center"/>
          </w:tcPr>
          <w:p>
            <w:pPr>
              <w:keepNext/>
              <w:spacing w:line="245" w:lineRule="auto" w:before="60" w:after="60"/>
              <w:jc w:val="right"/>
            </w:pPr>
            <w:r>
              <w:rPr>
                <w:b w:val="0"/>
                <w:sz w:val="18"/>
              </w:rPr>
              <w:t>0.82</w:t>
            </w:r>
          </w:p>
        </w:tc>
        <w:tc>
          <w:tcPr>
            <w:tcW w:type="dxa" w:w="1067"/>
            <w:vAlign w:val="center"/>
          </w:tcPr>
          <w:p>
            <w:pPr>
              <w:keepNext/>
              <w:spacing w:line="245" w:lineRule="auto" w:before="60" w:after="60"/>
              <w:jc w:val="right"/>
            </w:pPr>
            <w:r>
              <w:rPr>
                <w:b w:val="0"/>
                <w:sz w:val="18"/>
              </w:rPr>
              <w:t>1</w:t>
            </w:r>
          </w:p>
        </w:tc>
        <w:tc>
          <w:tcPr>
            <w:tcW w:type="dxa" w:w="1067"/>
            <w:vAlign w:val="center"/>
          </w:tcPr>
          <w:p>
            <w:pPr>
              <w:keepNext/>
              <w:spacing w:line="245" w:lineRule="auto" w:before="60" w:after="60"/>
              <w:jc w:val="right"/>
            </w:pPr>
            <w:r>
              <w:rPr>
                <w:b w:val="0"/>
                <w:sz w:val="18"/>
              </w:rPr>
              <w:t>87</w:t>
            </w:r>
          </w:p>
        </w:tc>
        <w:tc>
          <w:tcPr>
            <w:tcW w:type="dxa" w:w="1067"/>
            <w:vAlign w:val="center"/>
          </w:tcPr>
          <w:p>
            <w:pPr>
              <w:keepNext/>
              <w:spacing w:line="245" w:lineRule="auto" w:before="60" w:after="60"/>
              <w:jc w:val="right"/>
            </w:pPr>
            <w:r>
              <w:rPr>
                <w:b w:val="0"/>
                <w:sz w:val="18"/>
              </w:rPr>
              <w:t>27</w:t>
            </w:r>
          </w:p>
        </w:tc>
        <w:tc>
          <w:tcPr>
            <w:tcW w:type="dxa" w:w="1067"/>
            <w:vAlign w:val="center"/>
          </w:tcPr>
          <w:p>
            <w:pPr>
              <w:keepNext/>
              <w:spacing w:line="245" w:lineRule="auto" w:before="60" w:after="60"/>
              <w:jc w:val="right"/>
            </w:pPr>
            <w:r>
              <w:rPr>
                <w:b w:val="0"/>
                <w:sz w:val="18"/>
              </w:rPr>
              <w:t>28</w:t>
            </w:r>
          </w:p>
        </w:tc>
        <w:tc>
          <w:tcPr>
            <w:tcW w:type="dxa" w:w="1067"/>
            <w:vAlign w:val="center"/>
          </w:tcPr>
          <w:p>
            <w:pPr>
              <w:keepNext/>
              <w:spacing w:line="245" w:lineRule="auto" w:before="60" w:after="60"/>
              <w:jc w:val="right"/>
            </w:pPr>
            <w:r>
              <w:rPr>
                <w:b w:val="0"/>
                <w:sz w:val="18"/>
              </w:rPr>
              <w:t>0</w:t>
            </w:r>
          </w:p>
        </w:tc>
      </w:tr>
      <w:tr>
        <w:trPr>
          <w:cantSplit/>
        </w:trPr>
        <w:tc>
          <w:tcPr>
            <w:tcW w:type="dxa" w:w="1067"/>
            <w:vAlign w:val="center"/>
          </w:tcPr>
          <w:p>
            <w:pPr>
              <w:keepNext w:val="0"/>
              <w:spacing w:line="245" w:lineRule="auto" w:before="60" w:after="60"/>
              <w:jc w:val="left"/>
            </w:pPr>
            <w:r>
              <w:rPr>
                <w:b w:val="0"/>
                <w:sz w:val="18"/>
              </w:rPr>
              <w:t>C</w:t>
            </w:r>
          </w:p>
        </w:tc>
        <w:tc>
          <w:tcPr>
            <w:tcW w:type="dxa" w:w="1067"/>
            <w:vAlign w:val="center"/>
          </w:tcPr>
          <w:p>
            <w:pPr>
              <w:keepNext w:val="0"/>
              <w:spacing w:line="245" w:lineRule="auto" w:before="60" w:after="60"/>
              <w:jc w:val="right"/>
            </w:pPr>
            <w:r>
              <w:rPr>
                <w:b w:val="0"/>
                <w:sz w:val="18"/>
              </w:rPr>
              <w:t>20%</w:t>
            </w:r>
          </w:p>
        </w:tc>
        <w:tc>
          <w:tcPr>
            <w:tcW w:type="dxa" w:w="1067"/>
            <w:vAlign w:val="center"/>
          </w:tcPr>
          <w:p>
            <w:pPr>
              <w:keepNext w:val="0"/>
              <w:spacing w:line="245" w:lineRule="auto" w:before="60" w:after="60"/>
              <w:jc w:val="right"/>
            </w:pPr>
            <w:r>
              <w:rPr>
                <w:b w:val="0"/>
                <w:sz w:val="18"/>
              </w:rPr>
              <w:t>43.24</w:t>
            </w:r>
          </w:p>
        </w:tc>
        <w:tc>
          <w:tcPr>
            <w:tcW w:type="dxa" w:w="1067"/>
            <w:vAlign w:val="center"/>
          </w:tcPr>
          <w:p>
            <w:pPr>
              <w:keepNext w:val="0"/>
              <w:spacing w:line="245" w:lineRule="auto" w:before="60" w:after="60"/>
              <w:jc w:val="right"/>
            </w:pPr>
            <w:r>
              <w:rPr>
                <w:b w:val="0"/>
                <w:sz w:val="18"/>
              </w:rPr>
              <w:t>0.58</w:t>
            </w:r>
          </w:p>
        </w:tc>
        <w:tc>
          <w:tcPr>
            <w:tcW w:type="dxa" w:w="1067"/>
            <w:vAlign w:val="center"/>
          </w:tcPr>
          <w:p>
            <w:pPr>
              <w:keepNext w:val="0"/>
              <w:spacing w:line="245" w:lineRule="auto" w:before="60" w:after="60"/>
              <w:jc w:val="right"/>
            </w:pPr>
            <w:r>
              <w:rPr>
                <w:b w:val="0"/>
                <w:sz w:val="18"/>
              </w:rPr>
              <w:t>2</w:t>
            </w:r>
          </w:p>
        </w:tc>
        <w:tc>
          <w:tcPr>
            <w:tcW w:type="dxa" w:w="1067"/>
            <w:vAlign w:val="center"/>
          </w:tcPr>
          <w:p>
            <w:pPr>
              <w:keepNext w:val="0"/>
              <w:spacing w:line="245" w:lineRule="auto" w:before="60" w:after="60"/>
              <w:jc w:val="right"/>
            </w:pPr>
            <w:r>
              <w:rPr>
                <w:b w:val="0"/>
                <w:sz w:val="18"/>
              </w:rPr>
              <w:t>86</w:t>
            </w:r>
          </w:p>
        </w:tc>
        <w:tc>
          <w:tcPr>
            <w:tcW w:type="dxa" w:w="1067"/>
            <w:vAlign w:val="center"/>
          </w:tcPr>
          <w:p>
            <w:pPr>
              <w:keepNext w:val="0"/>
              <w:spacing w:line="245" w:lineRule="auto" w:before="60" w:after="60"/>
              <w:jc w:val="right"/>
            </w:pPr>
            <w:r>
              <w:rPr>
                <w:b w:val="0"/>
                <w:sz w:val="18"/>
              </w:rPr>
              <w:t>32</w:t>
            </w:r>
          </w:p>
        </w:tc>
        <w:tc>
          <w:tcPr>
            <w:tcW w:type="dxa" w:w="1067"/>
            <w:vAlign w:val="center"/>
          </w:tcPr>
          <w:p>
            <w:pPr>
              <w:keepNext w:val="0"/>
              <w:spacing w:line="245" w:lineRule="auto" w:before="60" w:after="60"/>
              <w:jc w:val="right"/>
            </w:pPr>
            <w:r>
              <w:rPr>
                <w:b w:val="0"/>
                <w:sz w:val="18"/>
              </w:rPr>
              <w:t>34</w:t>
            </w:r>
          </w:p>
        </w:tc>
        <w:tc>
          <w:tcPr>
            <w:tcW w:type="dxa" w:w="1067"/>
            <w:vAlign w:val="center"/>
          </w:tcPr>
          <w:p>
            <w:pPr>
              <w:keepNext w:val="0"/>
              <w:spacing w:line="245" w:lineRule="auto" w:before="60" w:after="60"/>
              <w:jc w:val="right"/>
            </w:pPr>
            <w:r>
              <w:rPr>
                <w:b w:val="0"/>
                <w:sz w:val="18"/>
              </w:rPr>
              <w:t>0</w:t>
            </w:r>
          </w:p>
        </w:tc>
      </w:tr>
    </w:tbl>
    <w:p>
      <w:pPr>
        <w:spacing w:after="20"/>
      </w:pPr>
    </w:p>
    <w:p>
      <w:r>
        <w:t>The point loss of C equals the no-alarm comparator at 1% and is higher at the other three budgets. The new frozen-policy intervals below assess this particular contrast. Lower C loss than A is compatible with a higher loss than no alarms: reducing false alerts can lower assumed cost while also reducing detections.</w:t>
      </w:r>
    </w:p>
    <w:p>
      <w:r>
        <w:t>At r=10 the block-specific C-minus-no-alarm loss ranges are record block 1: 0.00 to 2.13; record block 2: 0.00; record block 3: 0.00; record block 4: 0.00 to 1.16 units per 100 records. These ranges retain all four budgets; pooled findings are not attributed uniformly to every record block. Historical budgets constrain reference selection, so methods with the same budget can generate different later workloads.</w:t>
      </w:r>
    </w:p>
    <w:p>
      <w:r>
        <w:t>For the 20% budget at r=10, pooled C-A changes detections from 25 to 2 and reduces excess demand by 227 alerts. The loss difference is -13.09 per 100 records. This is a measured workload-coverage tradeoff under the assumed loss, not a demonstrated safety improvement. Actual inspection execution and accident avoidance are not observed.</w:t>
      </w:r>
    </w:p>
    <w:p>
      <w:r>
        <w:t>At r=10 and budget 20%, record block 1 C-A is 1.36 per 100 records, with paired 95% interval [-0.97, 5.43]. The interval contains zero.</w:t>
      </w:r>
    </w:p>
    <w:p>
      <w:r>
        <w:t>At r=10 and budget 20%, record block 2 C-A is -36.50 per 100 records, with paired 95% interval [-49.13, -27.18]. The interval is entirely below zero.</w:t>
      </w:r>
    </w:p>
    <w:p>
      <w:pPr>
        <w:pStyle w:val="Heading1"/>
      </w:pPr>
      <w:r>
        <w:t>5.1 Frozen policies compared with no alarms</w:t>
      </w:r>
    </w:p>
    <w:p>
      <w:pPr>
        <w:keepNext/>
        <w:jc w:val="center"/>
      </w:pPr>
      <w:r>
        <w:drawing>
          <wp:inline xmlns:a="http://schemas.openxmlformats.org/drawingml/2006/main" xmlns:pic="http://schemas.openxmlformats.org/drawingml/2006/picture">
            <wp:extent cx="5852160" cy="5395964"/>
            <wp:docPr id="4" name="Picture 4"/>
            <wp:cNvGraphicFramePr>
              <a:graphicFrameLocks noChangeAspect="1"/>
            </wp:cNvGraphicFramePr>
            <a:graphic>
              <a:graphicData uri="http://schemas.openxmlformats.org/drawingml/2006/picture">
                <pic:pic>
                  <pic:nvPicPr>
                    <pic:cNvPr id="0" name="decision_tradeoffs.png"/>
                    <pic:cNvPicPr/>
                  </pic:nvPicPr>
                  <pic:blipFill>
                    <a:blip r:embed="rId15">
                      <a:extLst>
                        <a:ext uri="{96DAC541-7B7A-43D3-8B79-37D633B846F1}">
                          <asvg:svgBlip xmlns:asvg="http://schemas.microsoft.com/office/drawing/2016/SVG/main" r:embed="rId16"/>
                        </a:ext>
                      </a:extLst>
                    </a:blip>
                    <a:stretch>
                      <a:fillRect/>
                    </a:stretch>
                  </pic:blipFill>
                  <pic:spPr>
                    <a:xfrm>
                      <a:off x="0" y="0"/>
                      <a:ext cx="5852160" cy="5395964"/>
                    </a:xfrm>
                    <a:prstGeom prst="rect"/>
                  </pic:spPr>
                </pic:pic>
              </a:graphicData>
            </a:graphic>
          </wp:inline>
        </w:drawing>
      </w:r>
    </w:p>
    <w:p>
      <w:pPr>
        <w:pStyle w:val="Caption"/>
        <w:keepLines/>
      </w:pPr>
      <w:r>
        <w:t>Figure 4. Fixed-XGBoost C at r=10 across four historical budgets. Left: loss versus no alarms per 100 records (negative favors C), with conditional 95% block intervals. Right: alerts (gray) and hazardous shifts flagged, TP (green); P denotes all hazardous shifts. Shaded pooling is supplementary. Zero intervals reflect identical decisions. Intervals exclude fitting and selection uncertainty.</w:t>
      </w:r>
    </w:p>
    <w:p>
      <w:pPr>
        <w:pStyle w:val="Caption"/>
        <w:keepNext/>
      </w:pPr>
      <w:r>
        <w:t>Table 7. Frozen XGBoost C minus no alarms at r=10, per 100 records. Brackets are paired 95% intervals; negative favors C.</w:t>
      </w:r>
    </w:p>
    <w:tbl>
      <w:tblPr>
        <w:tblStyle w:val="TableGrid"/>
        <w:tblW w:type="auto" w:w="0"/>
        <w:jc w:val="center"/>
        <w:tblLayout w:type="fixed"/>
        <w:tblLook w:firstColumn="1" w:firstRow="1" w:lastColumn="0" w:lastRow="0" w:noHBand="0" w:noVBand="1" w:val="04A0"/>
      </w:tblPr>
      <w:tblGrid>
        <w:gridCol w:w="864"/>
        <w:gridCol w:w="1872"/>
        <w:gridCol w:w="3312"/>
        <w:gridCol w:w="864"/>
        <w:gridCol w:w="864"/>
        <w:gridCol w:w="1296"/>
      </w:tblGrid>
      <w:tr>
        <w:trPr>
          <w:cantSplit/>
          <w:tblHeader/>
        </w:trPr>
        <w:tc>
          <w:tcPr>
            <w:tcW w:type="dxa" w:w="864"/>
            <w:vAlign w:val="center"/>
            <w:shd w:fill="EDEFF1"/>
          </w:tcPr>
          <w:p>
            <w:pPr>
              <w:keepNext/>
              <w:spacing w:line="245" w:lineRule="auto" w:before="60" w:after="60"/>
              <w:jc w:val="center"/>
            </w:pPr>
            <w:r>
              <w:rPr>
                <w:b/>
                <w:sz w:val="20"/>
              </w:rPr>
              <w:t>Record block</w:t>
            </w:r>
          </w:p>
        </w:tc>
        <w:tc>
          <w:tcPr>
            <w:tcW w:type="dxa" w:w="1872"/>
            <w:vAlign w:val="center"/>
            <w:shd w:fill="EDEFF1"/>
          </w:tcPr>
          <w:p>
            <w:pPr>
              <w:keepNext/>
              <w:spacing w:line="245" w:lineRule="auto" w:before="60" w:after="60"/>
              <w:jc w:val="center"/>
            </w:pPr>
            <w:r>
              <w:rPr>
                <w:b/>
                <w:sz w:val="20"/>
              </w:rPr>
              <w:t>Budget</w:t>
            </w:r>
          </w:p>
        </w:tc>
        <w:tc>
          <w:tcPr>
            <w:tcW w:type="dxa" w:w="3312"/>
            <w:vAlign w:val="center"/>
            <w:shd w:fill="EDEFF1"/>
          </w:tcPr>
          <w:p>
            <w:pPr>
              <w:keepNext/>
              <w:spacing w:line="245" w:lineRule="auto" w:before="60" w:after="60"/>
              <w:jc w:val="center"/>
            </w:pPr>
            <w:r>
              <w:rPr>
                <w:b/>
                <w:sz w:val="20"/>
              </w:rPr>
              <w:t>Delta [95% interval]</w:t>
            </w:r>
          </w:p>
        </w:tc>
        <w:tc>
          <w:tcPr>
            <w:tcW w:type="dxa" w:w="864"/>
            <w:vAlign w:val="center"/>
            <w:shd w:fill="EDEFF1"/>
          </w:tcPr>
          <w:p>
            <w:pPr>
              <w:keepNext/>
              <w:spacing w:line="245" w:lineRule="auto" w:before="60" w:after="60"/>
              <w:jc w:val="center"/>
            </w:pPr>
            <w:r>
              <w:rPr>
                <w:b/>
                <w:sz w:val="20"/>
              </w:rPr>
              <w:t>TP</w:t>
            </w:r>
          </w:p>
        </w:tc>
        <w:tc>
          <w:tcPr>
            <w:tcW w:type="dxa" w:w="864"/>
            <w:vAlign w:val="center"/>
            <w:shd w:fill="EDEFF1"/>
          </w:tcPr>
          <w:p>
            <w:pPr>
              <w:keepNext/>
              <w:spacing w:line="245" w:lineRule="auto" w:before="60" w:after="60"/>
              <w:jc w:val="center"/>
            </w:pPr>
            <w:r>
              <w:rPr>
                <w:b/>
                <w:sz w:val="20"/>
              </w:rPr>
              <w:t>FN</w:t>
            </w:r>
          </w:p>
        </w:tc>
        <w:tc>
          <w:tcPr>
            <w:tcW w:type="dxa" w:w="1296"/>
            <w:vAlign w:val="center"/>
            <w:shd w:fill="EDEFF1"/>
          </w:tcPr>
          <w:p>
            <w:pPr>
              <w:keepNext/>
              <w:spacing w:line="245" w:lineRule="auto" w:before="60" w:after="60"/>
              <w:jc w:val="center"/>
            </w:pPr>
            <w:r>
              <w:rPr>
                <w:b/>
                <w:sz w:val="20"/>
              </w:rPr>
              <w:t>Alerts</w:t>
            </w:r>
          </w:p>
        </w:tc>
      </w:tr>
      <w:tr>
        <w:trPr>
          <w:cantSplit/>
        </w:trPr>
        <w:tc>
          <w:tcPr>
            <w:tcW w:type="dxa" w:w="864"/>
            <w:vAlign w:val="center"/>
          </w:tcPr>
          <w:p>
            <w:pPr>
              <w:keepNext/>
              <w:spacing w:line="245" w:lineRule="auto" w:before="60" w:after="60"/>
              <w:jc w:val="left"/>
            </w:pPr>
            <w:r>
              <w:rPr>
                <w:b w:val="0"/>
                <w:sz w:val="20"/>
              </w:rPr>
              <w:t>1</w:t>
            </w:r>
          </w:p>
        </w:tc>
        <w:tc>
          <w:tcPr>
            <w:tcW w:type="dxa" w:w="1872"/>
            <w:vAlign w:val="center"/>
          </w:tcPr>
          <w:p>
            <w:pPr>
              <w:keepNext/>
              <w:spacing w:line="245" w:lineRule="auto" w:before="60" w:after="60"/>
              <w:jc w:val="right"/>
            </w:pPr>
            <w:r>
              <w:rPr>
                <w:b w:val="0"/>
                <w:sz w:val="20"/>
              </w:rPr>
              <w:t>1%</w:t>
            </w:r>
          </w:p>
        </w:tc>
        <w:tc>
          <w:tcPr>
            <w:tcW w:type="dxa" w:w="3312"/>
            <w:vAlign w:val="center"/>
          </w:tcPr>
          <w:p>
            <w:pPr>
              <w:keepNext/>
              <w:spacing w:line="245" w:lineRule="auto" w:before="60" w:after="60"/>
              <w:jc w:val="right"/>
            </w:pPr>
            <w:r>
              <w:rPr>
                <w:b w:val="0"/>
                <w:sz w:val="20"/>
              </w:rPr>
              <w:t>0.00 [0.00, 0.00]</w:t>
            </w:r>
          </w:p>
        </w:tc>
        <w:tc>
          <w:tcPr>
            <w:tcW w:type="dxa" w:w="864"/>
            <w:vAlign w:val="center"/>
          </w:tcPr>
          <w:p>
            <w:pPr>
              <w:keepNext/>
              <w:spacing w:line="245" w:lineRule="auto" w:before="60" w:after="60"/>
              <w:jc w:val="right"/>
            </w:pPr>
            <w:r>
              <w:rPr>
                <w:b w:val="0"/>
                <w:sz w:val="20"/>
              </w:rPr>
              <w:t>0</w:t>
            </w:r>
          </w:p>
        </w:tc>
        <w:tc>
          <w:tcPr>
            <w:tcW w:type="dxa" w:w="864"/>
            <w:vAlign w:val="center"/>
          </w:tcPr>
          <w:p>
            <w:pPr>
              <w:keepNext/>
              <w:spacing w:line="245" w:lineRule="auto" w:before="60" w:after="60"/>
              <w:jc w:val="right"/>
            </w:pPr>
            <w:r>
              <w:rPr>
                <w:b w:val="0"/>
                <w:sz w:val="20"/>
              </w:rPr>
              <w:t>36</w:t>
            </w:r>
          </w:p>
        </w:tc>
        <w:tc>
          <w:tcPr>
            <w:tcW w:type="dxa" w:w="1296"/>
            <w:vAlign w:val="center"/>
          </w:tcPr>
          <w:p>
            <w:pPr>
              <w:keepNext/>
              <w:spacing w:line="245" w:lineRule="auto" w:before="60" w:after="60"/>
              <w:jc w:val="right"/>
            </w:pPr>
            <w:r>
              <w:rPr>
                <w:b w:val="0"/>
                <w:sz w:val="20"/>
              </w:rPr>
              <w:t>0</w:t>
            </w:r>
          </w:p>
        </w:tc>
      </w:tr>
      <w:tr>
        <w:trPr>
          <w:cantSplit/>
        </w:trPr>
        <w:tc>
          <w:tcPr>
            <w:tcW w:type="dxa" w:w="864"/>
            <w:vAlign w:val="center"/>
          </w:tcPr>
          <w:p>
            <w:pPr>
              <w:keepNext w:val="0"/>
              <w:spacing w:line="245" w:lineRule="auto" w:before="60" w:after="60"/>
              <w:jc w:val="left"/>
            </w:pPr>
            <w:r>
              <w:rPr>
                <w:b w:val="0"/>
                <w:sz w:val="20"/>
              </w:rPr>
              <w:t>1</w:t>
            </w:r>
          </w:p>
        </w:tc>
        <w:tc>
          <w:tcPr>
            <w:tcW w:type="dxa" w:w="1872"/>
            <w:vAlign w:val="center"/>
          </w:tcPr>
          <w:p>
            <w:pPr>
              <w:keepNext w:val="0"/>
              <w:spacing w:line="245" w:lineRule="auto" w:before="60" w:after="60"/>
              <w:jc w:val="right"/>
            </w:pPr>
            <w:r>
              <w:rPr>
                <w:b w:val="0"/>
                <w:sz w:val="20"/>
              </w:rPr>
              <w:t>5%</w:t>
            </w:r>
          </w:p>
        </w:tc>
        <w:tc>
          <w:tcPr>
            <w:tcW w:type="dxa" w:w="3312"/>
            <w:vAlign w:val="center"/>
          </w:tcPr>
          <w:p>
            <w:pPr>
              <w:keepNext w:val="0"/>
              <w:spacing w:line="245" w:lineRule="auto" w:before="60" w:after="60"/>
              <w:jc w:val="right"/>
            </w:pPr>
            <w:r>
              <w:rPr>
                <w:b w:val="0"/>
                <w:sz w:val="20"/>
              </w:rPr>
              <w:t>1.55 [0.39, 3.10]</w:t>
            </w:r>
          </w:p>
        </w:tc>
        <w:tc>
          <w:tcPr>
            <w:tcW w:type="dxa" w:w="864"/>
            <w:vAlign w:val="center"/>
          </w:tcPr>
          <w:p>
            <w:pPr>
              <w:keepNext w:val="0"/>
              <w:spacing w:line="245" w:lineRule="auto" w:before="60" w:after="60"/>
              <w:jc w:val="right"/>
            </w:pPr>
            <w:r>
              <w:rPr>
                <w:b w:val="0"/>
                <w:sz w:val="20"/>
              </w:rPr>
              <w:t>0</w:t>
            </w:r>
          </w:p>
        </w:tc>
        <w:tc>
          <w:tcPr>
            <w:tcW w:type="dxa" w:w="864"/>
            <w:vAlign w:val="center"/>
          </w:tcPr>
          <w:p>
            <w:pPr>
              <w:keepNext w:val="0"/>
              <w:spacing w:line="245" w:lineRule="auto" w:before="60" w:after="60"/>
              <w:jc w:val="right"/>
            </w:pPr>
            <w:r>
              <w:rPr>
                <w:b w:val="0"/>
                <w:sz w:val="20"/>
              </w:rPr>
              <w:t>36</w:t>
            </w:r>
          </w:p>
        </w:tc>
        <w:tc>
          <w:tcPr>
            <w:tcW w:type="dxa" w:w="1296"/>
            <w:vAlign w:val="center"/>
          </w:tcPr>
          <w:p>
            <w:pPr>
              <w:keepNext w:val="0"/>
              <w:spacing w:line="245" w:lineRule="auto" w:before="60" w:after="60"/>
              <w:jc w:val="right"/>
            </w:pPr>
            <w:r>
              <w:rPr>
                <w:b w:val="0"/>
                <w:sz w:val="20"/>
              </w:rPr>
              <w:t>8</w:t>
            </w:r>
          </w:p>
        </w:tc>
      </w:tr>
      <w:tr>
        <w:trPr>
          <w:cantSplit/>
        </w:trPr>
        <w:tc>
          <w:tcPr>
            <w:tcW w:type="dxa" w:w="864"/>
            <w:vAlign w:val="center"/>
          </w:tcPr>
          <w:p>
            <w:pPr>
              <w:keepNext w:val="0"/>
              <w:spacing w:line="245" w:lineRule="auto" w:before="60" w:after="60"/>
              <w:jc w:val="left"/>
            </w:pPr>
            <w:r>
              <w:rPr>
                <w:b w:val="0"/>
                <w:sz w:val="20"/>
              </w:rPr>
              <w:t>1</w:t>
            </w:r>
          </w:p>
        </w:tc>
        <w:tc>
          <w:tcPr>
            <w:tcW w:type="dxa" w:w="1872"/>
            <w:vAlign w:val="center"/>
          </w:tcPr>
          <w:p>
            <w:pPr>
              <w:keepNext w:val="0"/>
              <w:spacing w:line="245" w:lineRule="auto" w:before="60" w:after="60"/>
              <w:jc w:val="right"/>
            </w:pPr>
            <w:r>
              <w:rPr>
                <w:b w:val="0"/>
                <w:sz w:val="20"/>
              </w:rPr>
              <w:t>10%</w:t>
            </w:r>
          </w:p>
        </w:tc>
        <w:tc>
          <w:tcPr>
            <w:tcW w:type="dxa" w:w="3312"/>
            <w:vAlign w:val="center"/>
          </w:tcPr>
          <w:p>
            <w:pPr>
              <w:keepNext w:val="0"/>
              <w:spacing w:line="245" w:lineRule="auto" w:before="60" w:after="60"/>
              <w:jc w:val="right"/>
            </w:pPr>
            <w:r>
              <w:rPr>
                <w:b w:val="0"/>
                <w:sz w:val="20"/>
              </w:rPr>
              <w:t>2.13 [0.78, 4.07]</w:t>
            </w:r>
          </w:p>
        </w:tc>
        <w:tc>
          <w:tcPr>
            <w:tcW w:type="dxa" w:w="864"/>
            <w:vAlign w:val="center"/>
          </w:tcPr>
          <w:p>
            <w:pPr>
              <w:keepNext w:val="0"/>
              <w:spacing w:line="245" w:lineRule="auto" w:before="60" w:after="60"/>
              <w:jc w:val="right"/>
            </w:pPr>
            <w:r>
              <w:rPr>
                <w:b w:val="0"/>
                <w:sz w:val="20"/>
              </w:rPr>
              <w:t>0</w:t>
            </w:r>
          </w:p>
        </w:tc>
        <w:tc>
          <w:tcPr>
            <w:tcW w:type="dxa" w:w="864"/>
            <w:vAlign w:val="center"/>
          </w:tcPr>
          <w:p>
            <w:pPr>
              <w:keepNext w:val="0"/>
              <w:spacing w:line="245" w:lineRule="auto" w:before="60" w:after="60"/>
              <w:jc w:val="right"/>
            </w:pPr>
            <w:r>
              <w:rPr>
                <w:b w:val="0"/>
                <w:sz w:val="20"/>
              </w:rPr>
              <w:t>36</w:t>
            </w:r>
          </w:p>
        </w:tc>
        <w:tc>
          <w:tcPr>
            <w:tcW w:type="dxa" w:w="1296"/>
            <w:vAlign w:val="center"/>
          </w:tcPr>
          <w:p>
            <w:pPr>
              <w:keepNext w:val="0"/>
              <w:spacing w:line="245" w:lineRule="auto" w:before="60" w:after="60"/>
              <w:jc w:val="right"/>
            </w:pPr>
            <w:r>
              <w:rPr>
                <w:b w:val="0"/>
                <w:sz w:val="20"/>
              </w:rPr>
              <w:t>11</w:t>
            </w:r>
          </w:p>
        </w:tc>
      </w:tr>
      <w:tr>
        <w:trPr>
          <w:cantSplit/>
        </w:trPr>
        <w:tc>
          <w:tcPr>
            <w:tcW w:type="dxa" w:w="864"/>
            <w:vAlign w:val="center"/>
          </w:tcPr>
          <w:p>
            <w:pPr>
              <w:keepNext w:val="0"/>
              <w:spacing w:line="245" w:lineRule="auto" w:before="60" w:after="60"/>
              <w:jc w:val="left"/>
            </w:pPr>
            <w:r>
              <w:rPr>
                <w:b w:val="0"/>
                <w:sz w:val="20"/>
              </w:rPr>
              <w:t>1</w:t>
            </w:r>
          </w:p>
        </w:tc>
        <w:tc>
          <w:tcPr>
            <w:tcW w:type="dxa" w:w="1872"/>
            <w:vAlign w:val="center"/>
          </w:tcPr>
          <w:p>
            <w:pPr>
              <w:keepNext w:val="0"/>
              <w:spacing w:line="245" w:lineRule="auto" w:before="60" w:after="60"/>
              <w:jc w:val="right"/>
            </w:pPr>
            <w:r>
              <w:rPr>
                <w:b w:val="0"/>
                <w:sz w:val="20"/>
              </w:rPr>
              <w:t>20%</w:t>
            </w:r>
          </w:p>
        </w:tc>
        <w:tc>
          <w:tcPr>
            <w:tcW w:type="dxa" w:w="3312"/>
            <w:vAlign w:val="center"/>
          </w:tcPr>
          <w:p>
            <w:pPr>
              <w:keepNext w:val="0"/>
              <w:spacing w:line="245" w:lineRule="auto" w:before="60" w:after="60"/>
              <w:jc w:val="right"/>
            </w:pPr>
            <w:r>
              <w:rPr>
                <w:b w:val="0"/>
                <w:sz w:val="20"/>
              </w:rPr>
              <w:t>1.16 [-3.88, 4.84]</w:t>
            </w:r>
          </w:p>
        </w:tc>
        <w:tc>
          <w:tcPr>
            <w:tcW w:type="dxa" w:w="864"/>
            <w:vAlign w:val="center"/>
          </w:tcPr>
          <w:p>
            <w:pPr>
              <w:keepNext w:val="0"/>
              <w:spacing w:line="245" w:lineRule="auto" w:before="60" w:after="60"/>
              <w:jc w:val="right"/>
            </w:pPr>
            <w:r>
              <w:rPr>
                <w:b w:val="0"/>
                <w:sz w:val="20"/>
              </w:rPr>
              <w:t>1</w:t>
            </w:r>
          </w:p>
        </w:tc>
        <w:tc>
          <w:tcPr>
            <w:tcW w:type="dxa" w:w="864"/>
            <w:vAlign w:val="center"/>
          </w:tcPr>
          <w:p>
            <w:pPr>
              <w:keepNext w:val="0"/>
              <w:spacing w:line="245" w:lineRule="auto" w:before="60" w:after="60"/>
              <w:jc w:val="right"/>
            </w:pPr>
            <w:r>
              <w:rPr>
                <w:b w:val="0"/>
                <w:sz w:val="20"/>
              </w:rPr>
              <w:t>35</w:t>
            </w:r>
          </w:p>
        </w:tc>
        <w:tc>
          <w:tcPr>
            <w:tcW w:type="dxa" w:w="1296"/>
            <w:vAlign w:val="center"/>
          </w:tcPr>
          <w:p>
            <w:pPr>
              <w:keepNext w:val="0"/>
              <w:spacing w:line="245" w:lineRule="auto" w:before="60" w:after="60"/>
              <w:jc w:val="right"/>
            </w:pPr>
            <w:r>
              <w:rPr>
                <w:b w:val="0"/>
                <w:sz w:val="20"/>
              </w:rPr>
              <w:t>17</w:t>
            </w:r>
          </w:p>
        </w:tc>
      </w:tr>
      <w:tr>
        <w:trPr>
          <w:cantSplit/>
        </w:trPr>
        <w:tc>
          <w:tcPr>
            <w:tcW w:type="dxa" w:w="864"/>
            <w:vAlign w:val="center"/>
          </w:tcPr>
          <w:p>
            <w:pPr>
              <w:keepNext w:val="0"/>
              <w:spacing w:line="245" w:lineRule="auto" w:before="60" w:after="60"/>
              <w:jc w:val="left"/>
            </w:pPr>
            <w:r>
              <w:rPr>
                <w:b w:val="0"/>
                <w:sz w:val="20"/>
              </w:rPr>
              <w:t>2</w:t>
            </w:r>
          </w:p>
        </w:tc>
        <w:tc>
          <w:tcPr>
            <w:tcW w:type="dxa" w:w="1872"/>
            <w:vAlign w:val="center"/>
          </w:tcPr>
          <w:p>
            <w:pPr>
              <w:keepNext w:val="0"/>
              <w:spacing w:line="245" w:lineRule="auto" w:before="60" w:after="60"/>
              <w:jc w:val="right"/>
            </w:pPr>
            <w:r>
              <w:rPr>
                <w:b w:val="0"/>
                <w:sz w:val="20"/>
              </w:rPr>
              <w:t>1%, 5%, 10%, 20%</w:t>
            </w:r>
          </w:p>
        </w:tc>
        <w:tc>
          <w:tcPr>
            <w:tcW w:type="dxa" w:w="3312"/>
            <w:vAlign w:val="center"/>
          </w:tcPr>
          <w:p>
            <w:pPr>
              <w:keepNext w:val="0"/>
              <w:spacing w:line="245" w:lineRule="auto" w:before="60" w:after="60"/>
              <w:jc w:val="right"/>
            </w:pPr>
            <w:r>
              <w:rPr>
                <w:b w:val="0"/>
                <w:sz w:val="20"/>
              </w:rPr>
              <w:t>0.00 [0.00, 0.00]</w:t>
            </w:r>
          </w:p>
        </w:tc>
        <w:tc>
          <w:tcPr>
            <w:tcW w:type="dxa" w:w="864"/>
            <w:vAlign w:val="center"/>
          </w:tcPr>
          <w:p>
            <w:pPr>
              <w:keepNext w:val="0"/>
              <w:spacing w:line="245" w:lineRule="auto" w:before="60" w:after="60"/>
              <w:jc w:val="right"/>
            </w:pPr>
            <w:r>
              <w:rPr>
                <w:b w:val="0"/>
                <w:sz w:val="20"/>
              </w:rPr>
              <w:t>0</w:t>
            </w:r>
          </w:p>
        </w:tc>
        <w:tc>
          <w:tcPr>
            <w:tcW w:type="dxa" w:w="864"/>
            <w:vAlign w:val="center"/>
          </w:tcPr>
          <w:p>
            <w:pPr>
              <w:keepNext w:val="0"/>
              <w:spacing w:line="245" w:lineRule="auto" w:before="60" w:after="60"/>
              <w:jc w:val="right"/>
            </w:pPr>
            <w:r>
              <w:rPr>
                <w:b w:val="0"/>
                <w:sz w:val="20"/>
              </w:rPr>
              <w:t>10</w:t>
            </w:r>
          </w:p>
        </w:tc>
        <w:tc>
          <w:tcPr>
            <w:tcW w:type="dxa" w:w="1296"/>
            <w:vAlign w:val="center"/>
          </w:tcPr>
          <w:p>
            <w:pPr>
              <w:keepNext w:val="0"/>
              <w:spacing w:line="245" w:lineRule="auto" w:before="60" w:after="60"/>
              <w:jc w:val="right"/>
            </w:pPr>
            <w:r>
              <w:rPr>
                <w:b w:val="0"/>
                <w:sz w:val="20"/>
              </w:rPr>
              <w:t>0</w:t>
            </w:r>
          </w:p>
        </w:tc>
      </w:tr>
      <w:tr>
        <w:trPr>
          <w:cantSplit/>
        </w:trPr>
        <w:tc>
          <w:tcPr>
            <w:tcW w:type="dxa" w:w="864"/>
            <w:vAlign w:val="center"/>
          </w:tcPr>
          <w:p>
            <w:pPr>
              <w:keepNext w:val="0"/>
              <w:spacing w:line="245" w:lineRule="auto" w:before="60" w:after="60"/>
              <w:jc w:val="left"/>
            </w:pPr>
            <w:r>
              <w:rPr>
                <w:b w:val="0"/>
                <w:sz w:val="20"/>
              </w:rPr>
              <w:t>3</w:t>
            </w:r>
          </w:p>
        </w:tc>
        <w:tc>
          <w:tcPr>
            <w:tcW w:type="dxa" w:w="1872"/>
            <w:vAlign w:val="center"/>
          </w:tcPr>
          <w:p>
            <w:pPr>
              <w:keepNext w:val="0"/>
              <w:spacing w:line="245" w:lineRule="auto" w:before="60" w:after="60"/>
              <w:jc w:val="right"/>
            </w:pPr>
            <w:r>
              <w:rPr>
                <w:b w:val="0"/>
                <w:sz w:val="20"/>
              </w:rPr>
              <w:t>1%, 5%, 10%, 20%</w:t>
            </w:r>
          </w:p>
        </w:tc>
        <w:tc>
          <w:tcPr>
            <w:tcW w:type="dxa" w:w="3312"/>
            <w:vAlign w:val="center"/>
          </w:tcPr>
          <w:p>
            <w:pPr>
              <w:keepNext w:val="0"/>
              <w:spacing w:line="245" w:lineRule="auto" w:before="60" w:after="60"/>
              <w:jc w:val="right"/>
            </w:pPr>
            <w:r>
              <w:rPr>
                <w:b w:val="0"/>
                <w:sz w:val="20"/>
              </w:rPr>
              <w:t>0.00 [0.00, 0.00]</w:t>
            </w:r>
          </w:p>
        </w:tc>
        <w:tc>
          <w:tcPr>
            <w:tcW w:type="dxa" w:w="864"/>
            <w:vAlign w:val="center"/>
          </w:tcPr>
          <w:p>
            <w:pPr>
              <w:keepNext w:val="0"/>
              <w:spacing w:line="245" w:lineRule="auto" w:before="60" w:after="60"/>
              <w:jc w:val="right"/>
            </w:pPr>
            <w:r>
              <w:rPr>
                <w:b w:val="0"/>
                <w:sz w:val="20"/>
              </w:rPr>
              <w:t>0</w:t>
            </w:r>
          </w:p>
        </w:tc>
        <w:tc>
          <w:tcPr>
            <w:tcW w:type="dxa" w:w="864"/>
            <w:vAlign w:val="center"/>
          </w:tcPr>
          <w:p>
            <w:pPr>
              <w:keepNext w:val="0"/>
              <w:spacing w:line="245" w:lineRule="auto" w:before="60" w:after="60"/>
              <w:jc w:val="right"/>
            </w:pPr>
            <w:r>
              <w:rPr>
                <w:b w:val="0"/>
                <w:sz w:val="20"/>
              </w:rPr>
              <w:t>24</w:t>
            </w:r>
          </w:p>
        </w:tc>
        <w:tc>
          <w:tcPr>
            <w:tcW w:type="dxa" w:w="1296"/>
            <w:vAlign w:val="center"/>
          </w:tcPr>
          <w:p>
            <w:pPr>
              <w:keepNext w:val="0"/>
              <w:spacing w:line="245" w:lineRule="auto" w:before="60" w:after="60"/>
              <w:jc w:val="right"/>
            </w:pPr>
            <w:r>
              <w:rPr>
                <w:b w:val="0"/>
                <w:sz w:val="20"/>
              </w:rPr>
              <w:t>0</w:t>
            </w:r>
          </w:p>
        </w:tc>
      </w:tr>
      <w:tr>
        <w:trPr>
          <w:cantSplit/>
        </w:trPr>
        <w:tc>
          <w:tcPr>
            <w:tcW w:type="dxa" w:w="864"/>
            <w:vAlign w:val="center"/>
          </w:tcPr>
          <w:p>
            <w:pPr>
              <w:keepNext w:val="0"/>
              <w:spacing w:line="245" w:lineRule="auto" w:before="60" w:after="60"/>
              <w:jc w:val="left"/>
            </w:pPr>
            <w:r>
              <w:rPr>
                <w:b w:val="0"/>
                <w:sz w:val="20"/>
              </w:rPr>
              <w:t>4</w:t>
            </w:r>
          </w:p>
        </w:tc>
        <w:tc>
          <w:tcPr>
            <w:tcW w:type="dxa" w:w="1872"/>
            <w:vAlign w:val="center"/>
          </w:tcPr>
          <w:p>
            <w:pPr>
              <w:keepNext w:val="0"/>
              <w:spacing w:line="245" w:lineRule="auto" w:before="60" w:after="60"/>
              <w:jc w:val="right"/>
            </w:pPr>
            <w:r>
              <w:rPr>
                <w:b w:val="0"/>
                <w:sz w:val="20"/>
              </w:rPr>
              <w:t>1%</w:t>
            </w:r>
          </w:p>
        </w:tc>
        <w:tc>
          <w:tcPr>
            <w:tcW w:type="dxa" w:w="3312"/>
            <w:vAlign w:val="center"/>
          </w:tcPr>
          <w:p>
            <w:pPr>
              <w:keepNext w:val="0"/>
              <w:spacing w:line="245" w:lineRule="auto" w:before="60" w:after="60"/>
              <w:jc w:val="right"/>
            </w:pPr>
            <w:r>
              <w:rPr>
                <w:b w:val="0"/>
                <w:sz w:val="20"/>
              </w:rPr>
              <w:t>0.00 [0.00, 0.00]</w:t>
            </w:r>
          </w:p>
        </w:tc>
        <w:tc>
          <w:tcPr>
            <w:tcW w:type="dxa" w:w="864"/>
            <w:vAlign w:val="center"/>
          </w:tcPr>
          <w:p>
            <w:pPr>
              <w:keepNext w:val="0"/>
              <w:spacing w:line="245" w:lineRule="auto" w:before="60" w:after="60"/>
              <w:jc w:val="right"/>
            </w:pPr>
            <w:r>
              <w:rPr>
                <w:b w:val="0"/>
                <w:sz w:val="20"/>
              </w:rPr>
              <w:t>0</w:t>
            </w:r>
          </w:p>
        </w:tc>
        <w:tc>
          <w:tcPr>
            <w:tcW w:type="dxa" w:w="864"/>
            <w:vAlign w:val="center"/>
          </w:tcPr>
          <w:p>
            <w:pPr>
              <w:keepNext w:val="0"/>
              <w:spacing w:line="245" w:lineRule="auto" w:before="60" w:after="60"/>
              <w:jc w:val="right"/>
            </w:pPr>
            <w:r>
              <w:rPr>
                <w:b w:val="0"/>
                <w:sz w:val="20"/>
              </w:rPr>
              <w:t>18</w:t>
            </w:r>
          </w:p>
        </w:tc>
        <w:tc>
          <w:tcPr>
            <w:tcW w:type="dxa" w:w="1296"/>
            <w:vAlign w:val="center"/>
          </w:tcPr>
          <w:p>
            <w:pPr>
              <w:keepNext w:val="0"/>
              <w:spacing w:line="245" w:lineRule="auto" w:before="60" w:after="60"/>
              <w:jc w:val="right"/>
            </w:pPr>
            <w:r>
              <w:rPr>
                <w:b w:val="0"/>
                <w:sz w:val="20"/>
              </w:rPr>
              <w:t>0</w:t>
            </w:r>
          </w:p>
        </w:tc>
      </w:tr>
      <w:tr>
        <w:trPr>
          <w:cantSplit/>
        </w:trPr>
        <w:tc>
          <w:tcPr>
            <w:tcW w:type="dxa" w:w="864"/>
            <w:vAlign w:val="center"/>
          </w:tcPr>
          <w:p>
            <w:pPr>
              <w:keepNext w:val="0"/>
              <w:spacing w:line="245" w:lineRule="auto" w:before="60" w:after="60"/>
              <w:jc w:val="left"/>
            </w:pPr>
            <w:r>
              <w:rPr>
                <w:b w:val="0"/>
                <w:sz w:val="20"/>
              </w:rPr>
              <w:t>4</w:t>
            </w:r>
          </w:p>
        </w:tc>
        <w:tc>
          <w:tcPr>
            <w:tcW w:type="dxa" w:w="1872"/>
            <w:vAlign w:val="center"/>
          </w:tcPr>
          <w:p>
            <w:pPr>
              <w:keepNext w:val="0"/>
              <w:spacing w:line="245" w:lineRule="auto" w:before="60" w:after="60"/>
              <w:jc w:val="right"/>
            </w:pPr>
            <w:r>
              <w:rPr>
                <w:b w:val="0"/>
                <w:sz w:val="20"/>
              </w:rPr>
              <w:t>5%, 10%, 20%</w:t>
            </w:r>
          </w:p>
        </w:tc>
        <w:tc>
          <w:tcPr>
            <w:tcW w:type="dxa" w:w="3312"/>
            <w:vAlign w:val="center"/>
          </w:tcPr>
          <w:p>
            <w:pPr>
              <w:keepNext w:val="0"/>
              <w:spacing w:line="245" w:lineRule="auto" w:before="60" w:after="60"/>
              <w:jc w:val="right"/>
            </w:pPr>
            <w:r>
              <w:rPr>
                <w:b w:val="0"/>
                <w:sz w:val="20"/>
              </w:rPr>
              <w:t>1.16 [-3.10, 4.46]</w:t>
            </w:r>
          </w:p>
        </w:tc>
        <w:tc>
          <w:tcPr>
            <w:tcW w:type="dxa" w:w="864"/>
            <w:vAlign w:val="center"/>
          </w:tcPr>
          <w:p>
            <w:pPr>
              <w:keepNext w:val="0"/>
              <w:spacing w:line="245" w:lineRule="auto" w:before="60" w:after="60"/>
              <w:jc w:val="right"/>
            </w:pPr>
            <w:r>
              <w:rPr>
                <w:b w:val="0"/>
                <w:sz w:val="20"/>
              </w:rPr>
              <w:t>1</w:t>
            </w:r>
          </w:p>
        </w:tc>
        <w:tc>
          <w:tcPr>
            <w:tcW w:type="dxa" w:w="864"/>
            <w:vAlign w:val="center"/>
          </w:tcPr>
          <w:p>
            <w:pPr>
              <w:keepNext w:val="0"/>
              <w:spacing w:line="245" w:lineRule="auto" w:before="60" w:after="60"/>
              <w:jc w:val="right"/>
            </w:pPr>
            <w:r>
              <w:rPr>
                <w:b w:val="0"/>
                <w:sz w:val="20"/>
              </w:rPr>
              <w:t>17</w:t>
            </w:r>
          </w:p>
        </w:tc>
        <w:tc>
          <w:tcPr>
            <w:tcW w:type="dxa" w:w="1296"/>
            <w:vAlign w:val="center"/>
          </w:tcPr>
          <w:p>
            <w:pPr>
              <w:keepNext w:val="0"/>
              <w:spacing w:line="245" w:lineRule="auto" w:before="60" w:after="60"/>
              <w:jc w:val="right"/>
            </w:pPr>
            <w:r>
              <w:rPr>
                <w:b w:val="0"/>
                <w:sz w:val="20"/>
              </w:rPr>
              <w:t>17</w:t>
            </w:r>
          </w:p>
        </w:tc>
      </w:tr>
      <w:tr>
        <w:trPr>
          <w:cantSplit/>
        </w:trPr>
        <w:tc>
          <w:tcPr>
            <w:tcW w:type="dxa" w:w="864"/>
            <w:vAlign w:val="center"/>
          </w:tcPr>
          <w:p>
            <w:pPr>
              <w:keepNext w:val="0"/>
              <w:spacing w:line="245" w:lineRule="auto" w:before="60" w:after="60"/>
              <w:jc w:val="left"/>
            </w:pPr>
            <w:r>
              <w:rPr>
                <w:b w:val="0"/>
                <w:sz w:val="20"/>
              </w:rPr>
              <w:t>Pooled</w:t>
            </w:r>
          </w:p>
        </w:tc>
        <w:tc>
          <w:tcPr>
            <w:tcW w:type="dxa" w:w="1872"/>
            <w:vAlign w:val="center"/>
          </w:tcPr>
          <w:p>
            <w:pPr>
              <w:keepNext w:val="0"/>
              <w:spacing w:line="245" w:lineRule="auto" w:before="60" w:after="60"/>
              <w:jc w:val="right"/>
            </w:pPr>
            <w:r>
              <w:rPr>
                <w:b w:val="0"/>
                <w:sz w:val="20"/>
              </w:rPr>
              <w:t>1%</w:t>
            </w:r>
          </w:p>
        </w:tc>
        <w:tc>
          <w:tcPr>
            <w:tcW w:type="dxa" w:w="3312"/>
            <w:vAlign w:val="center"/>
          </w:tcPr>
          <w:p>
            <w:pPr>
              <w:keepNext w:val="0"/>
              <w:spacing w:line="245" w:lineRule="auto" w:before="60" w:after="60"/>
              <w:jc w:val="right"/>
            </w:pPr>
            <w:r>
              <w:rPr>
                <w:b w:val="0"/>
                <w:sz w:val="20"/>
              </w:rPr>
              <w:t>0.00 [0.00, 0.00]</w:t>
            </w:r>
          </w:p>
        </w:tc>
        <w:tc>
          <w:tcPr>
            <w:tcW w:type="dxa" w:w="864"/>
            <w:vAlign w:val="center"/>
          </w:tcPr>
          <w:p>
            <w:pPr>
              <w:keepNext w:val="0"/>
              <w:spacing w:line="245" w:lineRule="auto" w:before="60" w:after="60"/>
              <w:jc w:val="right"/>
            </w:pPr>
            <w:r>
              <w:rPr>
                <w:b w:val="0"/>
                <w:sz w:val="20"/>
              </w:rPr>
              <w:t>0</w:t>
            </w:r>
          </w:p>
        </w:tc>
        <w:tc>
          <w:tcPr>
            <w:tcW w:type="dxa" w:w="864"/>
            <w:vAlign w:val="center"/>
          </w:tcPr>
          <w:p>
            <w:pPr>
              <w:keepNext w:val="0"/>
              <w:spacing w:line="245" w:lineRule="auto" w:before="60" w:after="60"/>
              <w:jc w:val="right"/>
            </w:pPr>
            <w:r>
              <w:rPr>
                <w:b w:val="0"/>
                <w:sz w:val="20"/>
              </w:rPr>
              <w:t>88</w:t>
            </w:r>
          </w:p>
        </w:tc>
        <w:tc>
          <w:tcPr>
            <w:tcW w:type="dxa" w:w="1296"/>
            <w:vAlign w:val="center"/>
          </w:tcPr>
          <w:p>
            <w:pPr>
              <w:keepNext w:val="0"/>
              <w:spacing w:line="245" w:lineRule="auto" w:before="60" w:after="60"/>
              <w:jc w:val="right"/>
            </w:pPr>
            <w:r>
              <w:rPr>
                <w:b w:val="0"/>
                <w:sz w:val="20"/>
              </w:rPr>
              <w:t>0</w:t>
            </w:r>
          </w:p>
        </w:tc>
      </w:tr>
      <w:tr>
        <w:trPr>
          <w:cantSplit/>
        </w:trPr>
        <w:tc>
          <w:tcPr>
            <w:tcW w:type="dxa" w:w="864"/>
            <w:vAlign w:val="center"/>
          </w:tcPr>
          <w:p>
            <w:pPr>
              <w:keepNext w:val="0"/>
              <w:spacing w:line="245" w:lineRule="auto" w:before="60" w:after="60"/>
              <w:jc w:val="left"/>
            </w:pPr>
            <w:r>
              <w:rPr>
                <w:b w:val="0"/>
                <w:sz w:val="20"/>
              </w:rPr>
              <w:t>Pooled</w:t>
            </w:r>
          </w:p>
        </w:tc>
        <w:tc>
          <w:tcPr>
            <w:tcW w:type="dxa" w:w="1872"/>
            <w:vAlign w:val="center"/>
          </w:tcPr>
          <w:p>
            <w:pPr>
              <w:keepNext w:val="0"/>
              <w:spacing w:line="245" w:lineRule="auto" w:before="60" w:after="60"/>
              <w:jc w:val="right"/>
            </w:pPr>
            <w:r>
              <w:rPr>
                <w:b w:val="0"/>
                <w:sz w:val="20"/>
              </w:rPr>
              <w:t>5%</w:t>
            </w:r>
          </w:p>
        </w:tc>
        <w:tc>
          <w:tcPr>
            <w:tcW w:type="dxa" w:w="3312"/>
            <w:vAlign w:val="center"/>
          </w:tcPr>
          <w:p>
            <w:pPr>
              <w:keepNext w:val="0"/>
              <w:spacing w:line="245" w:lineRule="auto" w:before="60" w:after="60"/>
              <w:jc w:val="right"/>
            </w:pPr>
            <w:r>
              <w:rPr>
                <w:b w:val="0"/>
                <w:sz w:val="20"/>
              </w:rPr>
              <w:t>0.68 [-0.34, 1.65]</w:t>
            </w:r>
          </w:p>
        </w:tc>
        <w:tc>
          <w:tcPr>
            <w:tcW w:type="dxa" w:w="864"/>
            <w:vAlign w:val="center"/>
          </w:tcPr>
          <w:p>
            <w:pPr>
              <w:keepNext w:val="0"/>
              <w:spacing w:line="245" w:lineRule="auto" w:before="60" w:after="60"/>
              <w:jc w:val="right"/>
            </w:pPr>
            <w:r>
              <w:rPr>
                <w:b w:val="0"/>
                <w:sz w:val="20"/>
              </w:rPr>
              <w:t>1</w:t>
            </w:r>
          </w:p>
        </w:tc>
        <w:tc>
          <w:tcPr>
            <w:tcW w:type="dxa" w:w="864"/>
            <w:vAlign w:val="center"/>
          </w:tcPr>
          <w:p>
            <w:pPr>
              <w:keepNext w:val="0"/>
              <w:spacing w:line="245" w:lineRule="auto" w:before="60" w:after="60"/>
              <w:jc w:val="right"/>
            </w:pPr>
            <w:r>
              <w:rPr>
                <w:b w:val="0"/>
                <w:sz w:val="20"/>
              </w:rPr>
              <w:t>87</w:t>
            </w:r>
          </w:p>
        </w:tc>
        <w:tc>
          <w:tcPr>
            <w:tcW w:type="dxa" w:w="1296"/>
            <w:vAlign w:val="center"/>
          </w:tcPr>
          <w:p>
            <w:pPr>
              <w:keepNext w:val="0"/>
              <w:spacing w:line="245" w:lineRule="auto" w:before="60" w:after="60"/>
              <w:jc w:val="right"/>
            </w:pPr>
            <w:r>
              <w:rPr>
                <w:b w:val="0"/>
                <w:sz w:val="20"/>
              </w:rPr>
              <w:t>25</w:t>
            </w:r>
          </w:p>
        </w:tc>
      </w:tr>
      <w:tr>
        <w:trPr>
          <w:cantSplit/>
        </w:trPr>
        <w:tc>
          <w:tcPr>
            <w:tcW w:type="dxa" w:w="864"/>
            <w:vAlign w:val="center"/>
          </w:tcPr>
          <w:p>
            <w:pPr>
              <w:keepNext w:val="0"/>
              <w:spacing w:line="245" w:lineRule="auto" w:before="60" w:after="60"/>
              <w:jc w:val="left"/>
            </w:pPr>
            <w:r>
              <w:rPr>
                <w:b w:val="0"/>
                <w:sz w:val="20"/>
              </w:rPr>
              <w:t>Pooled</w:t>
            </w:r>
          </w:p>
        </w:tc>
        <w:tc>
          <w:tcPr>
            <w:tcW w:type="dxa" w:w="1872"/>
            <w:vAlign w:val="center"/>
          </w:tcPr>
          <w:p>
            <w:pPr>
              <w:keepNext w:val="0"/>
              <w:spacing w:line="245" w:lineRule="auto" w:before="60" w:after="60"/>
              <w:jc w:val="right"/>
            </w:pPr>
            <w:r>
              <w:rPr>
                <w:b w:val="0"/>
                <w:sz w:val="20"/>
              </w:rPr>
              <w:t>10%</w:t>
            </w:r>
          </w:p>
        </w:tc>
        <w:tc>
          <w:tcPr>
            <w:tcW w:type="dxa" w:w="3312"/>
            <w:vAlign w:val="center"/>
          </w:tcPr>
          <w:p>
            <w:pPr>
              <w:keepNext w:val="0"/>
              <w:spacing w:line="245" w:lineRule="auto" w:before="60" w:after="60"/>
              <w:jc w:val="right"/>
            </w:pPr>
            <w:r>
              <w:rPr>
                <w:b w:val="0"/>
                <w:sz w:val="20"/>
              </w:rPr>
              <w:t>0.82 [-0.19, 1.84]</w:t>
            </w:r>
          </w:p>
        </w:tc>
        <w:tc>
          <w:tcPr>
            <w:tcW w:type="dxa" w:w="864"/>
            <w:vAlign w:val="center"/>
          </w:tcPr>
          <w:p>
            <w:pPr>
              <w:keepNext w:val="0"/>
              <w:spacing w:line="245" w:lineRule="auto" w:before="60" w:after="60"/>
              <w:jc w:val="right"/>
            </w:pPr>
            <w:r>
              <w:rPr>
                <w:b w:val="0"/>
                <w:sz w:val="20"/>
              </w:rPr>
              <w:t>1</w:t>
            </w:r>
          </w:p>
        </w:tc>
        <w:tc>
          <w:tcPr>
            <w:tcW w:type="dxa" w:w="864"/>
            <w:vAlign w:val="center"/>
          </w:tcPr>
          <w:p>
            <w:pPr>
              <w:keepNext w:val="0"/>
              <w:spacing w:line="245" w:lineRule="auto" w:before="60" w:after="60"/>
              <w:jc w:val="right"/>
            </w:pPr>
            <w:r>
              <w:rPr>
                <w:b w:val="0"/>
                <w:sz w:val="20"/>
              </w:rPr>
              <w:t>87</w:t>
            </w:r>
          </w:p>
        </w:tc>
        <w:tc>
          <w:tcPr>
            <w:tcW w:type="dxa" w:w="1296"/>
            <w:vAlign w:val="center"/>
          </w:tcPr>
          <w:p>
            <w:pPr>
              <w:keepNext w:val="0"/>
              <w:spacing w:line="245" w:lineRule="auto" w:before="60" w:after="60"/>
              <w:jc w:val="right"/>
            </w:pPr>
            <w:r>
              <w:rPr>
                <w:b w:val="0"/>
                <w:sz w:val="20"/>
              </w:rPr>
              <w:t>28</w:t>
            </w:r>
          </w:p>
        </w:tc>
      </w:tr>
      <w:tr>
        <w:trPr>
          <w:cantSplit/>
        </w:trPr>
        <w:tc>
          <w:tcPr>
            <w:tcW w:type="dxa" w:w="864"/>
            <w:vAlign w:val="center"/>
          </w:tcPr>
          <w:p>
            <w:pPr>
              <w:keepNext w:val="0"/>
              <w:spacing w:line="245" w:lineRule="auto" w:before="60" w:after="60"/>
              <w:jc w:val="left"/>
            </w:pPr>
            <w:r>
              <w:rPr>
                <w:b w:val="0"/>
                <w:sz w:val="20"/>
              </w:rPr>
              <w:t>Pooled</w:t>
            </w:r>
          </w:p>
        </w:tc>
        <w:tc>
          <w:tcPr>
            <w:tcW w:type="dxa" w:w="1872"/>
            <w:vAlign w:val="center"/>
          </w:tcPr>
          <w:p>
            <w:pPr>
              <w:keepNext w:val="0"/>
              <w:spacing w:line="245" w:lineRule="auto" w:before="60" w:after="60"/>
              <w:jc w:val="right"/>
            </w:pPr>
            <w:r>
              <w:rPr>
                <w:b w:val="0"/>
                <w:sz w:val="20"/>
              </w:rPr>
              <w:t>20%</w:t>
            </w:r>
          </w:p>
        </w:tc>
        <w:tc>
          <w:tcPr>
            <w:tcW w:type="dxa" w:w="3312"/>
            <w:vAlign w:val="center"/>
          </w:tcPr>
          <w:p>
            <w:pPr>
              <w:keepNext w:val="0"/>
              <w:spacing w:line="245" w:lineRule="auto" w:before="60" w:after="60"/>
              <w:jc w:val="right"/>
            </w:pPr>
            <w:r>
              <w:rPr>
                <w:b w:val="0"/>
                <w:sz w:val="20"/>
              </w:rPr>
              <w:t>0.58 [-1.02, 1.89]</w:t>
            </w:r>
          </w:p>
        </w:tc>
        <w:tc>
          <w:tcPr>
            <w:tcW w:type="dxa" w:w="864"/>
            <w:vAlign w:val="center"/>
          </w:tcPr>
          <w:p>
            <w:pPr>
              <w:keepNext w:val="0"/>
              <w:spacing w:line="245" w:lineRule="auto" w:before="60" w:after="60"/>
              <w:jc w:val="right"/>
            </w:pPr>
            <w:r>
              <w:rPr>
                <w:b w:val="0"/>
                <w:sz w:val="20"/>
              </w:rPr>
              <w:t>2</w:t>
            </w:r>
          </w:p>
        </w:tc>
        <w:tc>
          <w:tcPr>
            <w:tcW w:type="dxa" w:w="864"/>
            <w:vAlign w:val="center"/>
          </w:tcPr>
          <w:p>
            <w:pPr>
              <w:keepNext w:val="0"/>
              <w:spacing w:line="245" w:lineRule="auto" w:before="60" w:after="60"/>
              <w:jc w:val="right"/>
            </w:pPr>
            <w:r>
              <w:rPr>
                <w:b w:val="0"/>
                <w:sz w:val="20"/>
              </w:rPr>
              <w:t>86</w:t>
            </w:r>
          </w:p>
        </w:tc>
        <w:tc>
          <w:tcPr>
            <w:tcW w:type="dxa" w:w="1296"/>
            <w:vAlign w:val="center"/>
          </w:tcPr>
          <w:p>
            <w:pPr>
              <w:keepNext w:val="0"/>
              <w:spacing w:line="245" w:lineRule="auto" w:before="60" w:after="60"/>
              <w:jc w:val="right"/>
            </w:pPr>
            <w:r>
              <w:rPr>
                <w:b w:val="0"/>
                <w:sz w:val="20"/>
              </w:rPr>
              <w:t>34</w:t>
            </w:r>
          </w:p>
        </w:tc>
      </w:tr>
    </w:tbl>
    <w:p>
      <w:pPr>
        <w:spacing w:after="20"/>
      </w:pPr>
    </w:p>
    <w:p>
      <w:r>
        <w:t>Comma-separated budgets share exactly the same aligned row-level decisions within that record block, not merely rounded loss or interval endpoints. The complete appendix retains each setting separately. C in record block 1 at 5% and 10% gives positive loss intervals and no detections; the nonzero pooled intervals cross zero. Record block and pooled evidence therefore support different loss-direction assessments. Where C produces no alerts, every row-level difference is zero and the interval is [0,0] by construction. This establishes identical observed decisions, not reliable transfer. No alarms detect no hazardous shifts and remain a loss comparator rather than an operating recommendation.</w:t>
      </w:r>
    </w:p>
    <w:p>
      <w:pPr>
        <w:pStyle w:val="Heading1"/>
      </w:pPr>
      <w:r>
        <w:t>5.2 Direct hazard-grade comparators</w:t>
      </w:r>
    </w:p>
    <w:p>
      <w:pPr>
        <w:pStyle w:val="Caption"/>
        <w:keepNext/>
      </w:pPr>
      <w:r>
        <w:t>Table 8. C rules at r=10 on the same pooled records. Reference selection is separate for each method; future workloads need not match.</w:t>
      </w:r>
    </w:p>
    <w:tbl>
      <w:tblPr>
        <w:tblStyle w:val="TableGrid"/>
        <w:tblW w:type="auto" w:w="0"/>
        <w:jc w:val="center"/>
        <w:tblLayout w:type="fixed"/>
        <w:tblLook w:firstColumn="1" w:firstRow="1" w:lastColumn="0" w:lastRow="0" w:noHBand="0" w:noVBand="1" w:val="04A0"/>
      </w:tblPr>
      <w:tblGrid>
        <w:gridCol w:w="1440"/>
        <w:gridCol w:w="1440"/>
        <w:gridCol w:w="2448"/>
        <w:gridCol w:w="576"/>
        <w:gridCol w:w="576"/>
        <w:gridCol w:w="576"/>
        <w:gridCol w:w="792"/>
        <w:gridCol w:w="1512"/>
      </w:tblGrid>
      <w:tr>
        <w:trPr>
          <w:cantSplit/>
          <w:tblHeader/>
        </w:trPr>
        <w:tc>
          <w:tcPr>
            <w:tcW w:type="dxa" w:w="1440"/>
            <w:vAlign w:val="center"/>
            <w:shd w:fill="EDEFF1"/>
          </w:tcPr>
          <w:p>
            <w:pPr>
              <w:keepNext/>
              <w:spacing w:line="245" w:lineRule="auto" w:before="60" w:after="60"/>
              <w:jc w:val="center"/>
            </w:pPr>
            <w:r>
              <w:rPr>
                <w:b/>
                <w:sz w:val="18"/>
              </w:rPr>
              <w:t>Budget</w:t>
            </w:r>
          </w:p>
        </w:tc>
        <w:tc>
          <w:tcPr>
            <w:tcW w:type="dxa" w:w="1440"/>
            <w:vAlign w:val="center"/>
            <w:shd w:fill="EDEFF1"/>
          </w:tcPr>
          <w:p>
            <w:pPr>
              <w:keepNext/>
              <w:spacing w:line="245" w:lineRule="auto" w:before="60" w:after="60"/>
              <w:jc w:val="center"/>
            </w:pPr>
            <w:r>
              <w:rPr>
                <w:b/>
                <w:sz w:val="18"/>
              </w:rPr>
              <w:t>Method</w:t>
            </w:r>
          </w:p>
        </w:tc>
        <w:tc>
          <w:tcPr>
            <w:tcW w:type="dxa" w:w="2448"/>
            <w:vAlign w:val="center"/>
            <w:shd w:fill="EDEFF1"/>
          </w:tcPr>
          <w:p>
            <w:pPr>
              <w:keepNext/>
              <w:spacing w:line="245" w:lineRule="auto" w:before="60" w:after="60"/>
              <w:jc w:val="center"/>
            </w:pPr>
            <w:r>
              <w:rPr>
                <w:b/>
                <w:sz w:val="18"/>
              </w:rPr>
              <w:t>Delta vs none [95%]</w:t>
            </w:r>
          </w:p>
        </w:tc>
        <w:tc>
          <w:tcPr>
            <w:tcW w:type="dxa" w:w="576"/>
            <w:vAlign w:val="center"/>
            <w:shd w:fill="EDEFF1"/>
          </w:tcPr>
          <w:p>
            <w:pPr>
              <w:keepNext/>
              <w:spacing w:line="245" w:lineRule="auto" w:before="60" w:after="60"/>
              <w:jc w:val="center"/>
            </w:pPr>
            <w:r>
              <w:rPr>
                <w:b/>
                <w:sz w:val="18"/>
              </w:rPr>
              <w:t>TP</w:t>
            </w:r>
          </w:p>
        </w:tc>
        <w:tc>
          <w:tcPr>
            <w:tcW w:type="dxa" w:w="576"/>
            <w:vAlign w:val="center"/>
            <w:shd w:fill="EDEFF1"/>
          </w:tcPr>
          <w:p>
            <w:pPr>
              <w:keepNext/>
              <w:spacing w:line="245" w:lineRule="auto" w:before="60" w:after="60"/>
              <w:jc w:val="center"/>
            </w:pPr>
            <w:r>
              <w:rPr>
                <w:b/>
                <w:sz w:val="18"/>
              </w:rPr>
              <w:t>FN</w:t>
            </w:r>
          </w:p>
        </w:tc>
        <w:tc>
          <w:tcPr>
            <w:tcW w:type="dxa" w:w="576"/>
            <w:vAlign w:val="center"/>
            <w:shd w:fill="EDEFF1"/>
          </w:tcPr>
          <w:p>
            <w:pPr>
              <w:keepNext/>
              <w:spacing w:line="245" w:lineRule="auto" w:before="60" w:after="60"/>
              <w:jc w:val="center"/>
            </w:pPr>
            <w:r>
              <w:rPr>
                <w:b/>
                <w:sz w:val="18"/>
              </w:rPr>
              <w:t>FP</w:t>
            </w:r>
          </w:p>
        </w:tc>
        <w:tc>
          <w:tcPr>
            <w:tcW w:type="dxa" w:w="792"/>
            <w:vAlign w:val="center"/>
            <w:shd w:fill="EDEFF1"/>
          </w:tcPr>
          <w:p>
            <w:pPr>
              <w:keepNext/>
              <w:spacing w:line="245" w:lineRule="auto" w:before="60" w:after="60"/>
              <w:jc w:val="center"/>
            </w:pPr>
            <w:r>
              <w:rPr>
                <w:b/>
                <w:sz w:val="18"/>
              </w:rPr>
              <w:t>Alerts</w:t>
            </w:r>
          </w:p>
        </w:tc>
        <w:tc>
          <w:tcPr>
            <w:tcW w:type="dxa" w:w="1512"/>
            <w:vAlign w:val="center"/>
            <w:shd w:fill="EDEFF1"/>
          </w:tcPr>
          <w:p>
            <w:pPr>
              <w:keepNext/>
              <w:spacing w:line="245" w:lineRule="auto" w:before="60" w:after="60"/>
              <w:jc w:val="center"/>
            </w:pPr>
            <w:r>
              <w:rPr>
                <w:b/>
                <w:sz w:val="18"/>
              </w:rPr>
              <w:t>Excess</w:t>
            </w:r>
          </w:p>
        </w:tc>
      </w:tr>
      <w:tr>
        <w:trPr>
          <w:cantSplit/>
        </w:trPr>
        <w:tc>
          <w:tcPr>
            <w:tcW w:type="dxa" w:w="1440"/>
            <w:vAlign w:val="center"/>
          </w:tcPr>
          <w:p>
            <w:pPr>
              <w:keepNext/>
              <w:spacing w:line="245" w:lineRule="auto" w:before="60" w:after="60"/>
              <w:jc w:val="left"/>
            </w:pPr>
            <w:r>
              <w:rPr>
                <w:b w:val="0"/>
                <w:sz w:val="18"/>
              </w:rPr>
              <w:t>1%</w:t>
            </w:r>
          </w:p>
        </w:tc>
        <w:tc>
          <w:tcPr>
            <w:tcW w:type="dxa" w:w="1440"/>
            <w:vAlign w:val="center"/>
          </w:tcPr>
          <w:p>
            <w:pPr>
              <w:keepNext/>
              <w:spacing w:line="245" w:lineRule="auto" w:before="60" w:after="60"/>
              <w:jc w:val="right"/>
            </w:pPr>
            <w:r>
              <w:rPr>
                <w:b w:val="0"/>
                <w:sz w:val="18"/>
              </w:rPr>
              <w:t>XGBoost</w:t>
            </w:r>
          </w:p>
        </w:tc>
        <w:tc>
          <w:tcPr>
            <w:tcW w:type="dxa" w:w="2448"/>
            <w:vAlign w:val="center"/>
          </w:tcPr>
          <w:p>
            <w:pPr>
              <w:keepNext/>
              <w:spacing w:line="245" w:lineRule="auto" w:before="60" w:after="60"/>
              <w:jc w:val="right"/>
            </w:pPr>
            <w:r>
              <w:rPr>
                <w:b w:val="0"/>
                <w:sz w:val="18"/>
              </w:rPr>
              <w:t>0.00 [0.00, 0.00]</w:t>
            </w:r>
          </w:p>
        </w:tc>
        <w:tc>
          <w:tcPr>
            <w:tcW w:type="dxa" w:w="576"/>
            <w:vAlign w:val="center"/>
          </w:tcPr>
          <w:p>
            <w:pPr>
              <w:keepNext/>
              <w:spacing w:line="245" w:lineRule="auto" w:before="60" w:after="60"/>
              <w:jc w:val="right"/>
            </w:pPr>
            <w:r>
              <w:rPr>
                <w:b w:val="0"/>
                <w:sz w:val="18"/>
              </w:rPr>
              <w:t>0</w:t>
            </w:r>
          </w:p>
        </w:tc>
        <w:tc>
          <w:tcPr>
            <w:tcW w:type="dxa" w:w="576"/>
            <w:vAlign w:val="center"/>
          </w:tcPr>
          <w:p>
            <w:pPr>
              <w:keepNext/>
              <w:spacing w:line="245" w:lineRule="auto" w:before="60" w:after="60"/>
              <w:jc w:val="right"/>
            </w:pPr>
            <w:r>
              <w:rPr>
                <w:b w:val="0"/>
                <w:sz w:val="18"/>
              </w:rPr>
              <w:t>88</w:t>
            </w:r>
          </w:p>
        </w:tc>
        <w:tc>
          <w:tcPr>
            <w:tcW w:type="dxa" w:w="576"/>
            <w:vAlign w:val="center"/>
          </w:tcPr>
          <w:p>
            <w:pPr>
              <w:keepNext/>
              <w:spacing w:line="245" w:lineRule="auto" w:before="60" w:after="60"/>
              <w:jc w:val="right"/>
            </w:pPr>
            <w:r>
              <w:rPr>
                <w:b w:val="0"/>
                <w:sz w:val="18"/>
              </w:rPr>
              <w:t>0</w:t>
            </w:r>
          </w:p>
        </w:tc>
        <w:tc>
          <w:tcPr>
            <w:tcW w:type="dxa" w:w="792"/>
            <w:vAlign w:val="center"/>
          </w:tcPr>
          <w:p>
            <w:pPr>
              <w:keepNext/>
              <w:spacing w:line="245" w:lineRule="auto" w:before="60" w:after="60"/>
              <w:jc w:val="right"/>
            </w:pPr>
            <w:r>
              <w:rPr>
                <w:b w:val="0"/>
                <w:sz w:val="18"/>
              </w:rPr>
              <w:t>0</w:t>
            </w:r>
          </w:p>
        </w:tc>
        <w:tc>
          <w:tcPr>
            <w:tcW w:type="dxa" w:w="1512"/>
            <w:vAlign w:val="center"/>
          </w:tcPr>
          <w:p>
            <w:pPr>
              <w:keepNext/>
              <w:spacing w:line="245" w:lineRule="auto" w:before="60" w:after="60"/>
              <w:jc w:val="right"/>
            </w:pPr>
            <w:r>
              <w:rPr>
                <w:b w:val="0"/>
                <w:sz w:val="18"/>
              </w:rPr>
              <w:t>0</w:t>
            </w:r>
          </w:p>
        </w:tc>
      </w:tr>
      <w:tr>
        <w:trPr>
          <w:cantSplit/>
        </w:trPr>
        <w:tc>
          <w:tcPr>
            <w:tcW w:type="dxa" w:w="1440"/>
            <w:vAlign w:val="center"/>
          </w:tcPr>
          <w:p>
            <w:pPr>
              <w:keepNext/>
              <w:spacing w:line="245" w:lineRule="auto" w:before="60" w:after="60"/>
              <w:jc w:val="left"/>
            </w:pPr>
            <w:r>
              <w:rPr>
                <w:b w:val="0"/>
                <w:sz w:val="18"/>
              </w:rPr>
              <w:t>5%</w:t>
            </w:r>
          </w:p>
        </w:tc>
        <w:tc>
          <w:tcPr>
            <w:tcW w:type="dxa" w:w="1440"/>
            <w:vAlign w:val="center"/>
          </w:tcPr>
          <w:p>
            <w:pPr>
              <w:keepNext/>
              <w:spacing w:line="245" w:lineRule="auto" w:before="60" w:after="60"/>
              <w:jc w:val="right"/>
            </w:pPr>
            <w:r>
              <w:rPr>
                <w:b w:val="0"/>
                <w:sz w:val="18"/>
              </w:rPr>
              <w:t>XGBoost</w:t>
            </w:r>
          </w:p>
        </w:tc>
        <w:tc>
          <w:tcPr>
            <w:tcW w:type="dxa" w:w="2448"/>
            <w:vAlign w:val="center"/>
          </w:tcPr>
          <w:p>
            <w:pPr>
              <w:keepNext/>
              <w:spacing w:line="245" w:lineRule="auto" w:before="60" w:after="60"/>
              <w:jc w:val="right"/>
            </w:pPr>
            <w:r>
              <w:rPr>
                <w:b w:val="0"/>
                <w:sz w:val="18"/>
              </w:rPr>
              <w:t>0.68 [-0.34, 1.65]</w:t>
            </w:r>
          </w:p>
        </w:tc>
        <w:tc>
          <w:tcPr>
            <w:tcW w:type="dxa" w:w="576"/>
            <w:vAlign w:val="center"/>
          </w:tcPr>
          <w:p>
            <w:pPr>
              <w:keepNext/>
              <w:spacing w:line="245" w:lineRule="auto" w:before="60" w:after="60"/>
              <w:jc w:val="right"/>
            </w:pPr>
            <w:r>
              <w:rPr>
                <w:b w:val="0"/>
                <w:sz w:val="18"/>
              </w:rPr>
              <w:t>1</w:t>
            </w:r>
          </w:p>
        </w:tc>
        <w:tc>
          <w:tcPr>
            <w:tcW w:type="dxa" w:w="576"/>
            <w:vAlign w:val="center"/>
          </w:tcPr>
          <w:p>
            <w:pPr>
              <w:keepNext/>
              <w:spacing w:line="245" w:lineRule="auto" w:before="60" w:after="60"/>
              <w:jc w:val="right"/>
            </w:pPr>
            <w:r>
              <w:rPr>
                <w:b w:val="0"/>
                <w:sz w:val="18"/>
              </w:rPr>
              <w:t>87</w:t>
            </w:r>
          </w:p>
        </w:tc>
        <w:tc>
          <w:tcPr>
            <w:tcW w:type="dxa" w:w="576"/>
            <w:vAlign w:val="center"/>
          </w:tcPr>
          <w:p>
            <w:pPr>
              <w:keepNext/>
              <w:spacing w:line="245" w:lineRule="auto" w:before="60" w:after="60"/>
              <w:jc w:val="right"/>
            </w:pPr>
            <w:r>
              <w:rPr>
                <w:b w:val="0"/>
                <w:sz w:val="18"/>
              </w:rPr>
              <w:t>24</w:t>
            </w:r>
          </w:p>
        </w:tc>
        <w:tc>
          <w:tcPr>
            <w:tcW w:type="dxa" w:w="792"/>
            <w:vAlign w:val="center"/>
          </w:tcPr>
          <w:p>
            <w:pPr>
              <w:keepNext/>
              <w:spacing w:line="245" w:lineRule="auto" w:before="60" w:after="60"/>
              <w:jc w:val="right"/>
            </w:pPr>
            <w:r>
              <w:rPr>
                <w:b w:val="0"/>
                <w:sz w:val="18"/>
              </w:rPr>
              <w:t>25</w:t>
            </w:r>
          </w:p>
        </w:tc>
        <w:tc>
          <w:tcPr>
            <w:tcW w:type="dxa" w:w="1512"/>
            <w:vAlign w:val="center"/>
          </w:tcPr>
          <w:p>
            <w:pPr>
              <w:keepNext/>
              <w:spacing w:line="245" w:lineRule="auto" w:before="60" w:after="60"/>
              <w:jc w:val="right"/>
            </w:pPr>
            <w:r>
              <w:rPr>
                <w:b w:val="0"/>
                <w:sz w:val="18"/>
              </w:rPr>
              <w:t>0</w:t>
            </w:r>
          </w:p>
        </w:tc>
      </w:tr>
      <w:tr>
        <w:trPr>
          <w:cantSplit/>
        </w:trPr>
        <w:tc>
          <w:tcPr>
            <w:tcW w:type="dxa" w:w="1440"/>
            <w:vAlign w:val="center"/>
          </w:tcPr>
          <w:p>
            <w:pPr>
              <w:keepNext/>
              <w:spacing w:line="245" w:lineRule="auto" w:before="60" w:after="60"/>
              <w:jc w:val="left"/>
            </w:pPr>
            <w:r>
              <w:rPr>
                <w:b w:val="0"/>
                <w:sz w:val="18"/>
              </w:rPr>
              <w:t>10%</w:t>
            </w:r>
          </w:p>
        </w:tc>
        <w:tc>
          <w:tcPr>
            <w:tcW w:type="dxa" w:w="1440"/>
            <w:vAlign w:val="center"/>
          </w:tcPr>
          <w:p>
            <w:pPr>
              <w:keepNext/>
              <w:spacing w:line="245" w:lineRule="auto" w:before="60" w:after="60"/>
              <w:jc w:val="right"/>
            </w:pPr>
            <w:r>
              <w:rPr>
                <w:b w:val="0"/>
                <w:sz w:val="18"/>
              </w:rPr>
              <w:t>XGBoost</w:t>
            </w:r>
          </w:p>
        </w:tc>
        <w:tc>
          <w:tcPr>
            <w:tcW w:type="dxa" w:w="2448"/>
            <w:vAlign w:val="center"/>
          </w:tcPr>
          <w:p>
            <w:pPr>
              <w:keepNext/>
              <w:spacing w:line="245" w:lineRule="auto" w:before="60" w:after="60"/>
              <w:jc w:val="right"/>
            </w:pPr>
            <w:r>
              <w:rPr>
                <w:b w:val="0"/>
                <w:sz w:val="18"/>
              </w:rPr>
              <w:t>0.82 [-0.19, 1.84]</w:t>
            </w:r>
          </w:p>
        </w:tc>
        <w:tc>
          <w:tcPr>
            <w:tcW w:type="dxa" w:w="576"/>
            <w:vAlign w:val="center"/>
          </w:tcPr>
          <w:p>
            <w:pPr>
              <w:keepNext/>
              <w:spacing w:line="245" w:lineRule="auto" w:before="60" w:after="60"/>
              <w:jc w:val="right"/>
            </w:pPr>
            <w:r>
              <w:rPr>
                <w:b w:val="0"/>
                <w:sz w:val="18"/>
              </w:rPr>
              <w:t>1</w:t>
            </w:r>
          </w:p>
        </w:tc>
        <w:tc>
          <w:tcPr>
            <w:tcW w:type="dxa" w:w="576"/>
            <w:vAlign w:val="center"/>
          </w:tcPr>
          <w:p>
            <w:pPr>
              <w:keepNext/>
              <w:spacing w:line="245" w:lineRule="auto" w:before="60" w:after="60"/>
              <w:jc w:val="right"/>
            </w:pPr>
            <w:r>
              <w:rPr>
                <w:b w:val="0"/>
                <w:sz w:val="18"/>
              </w:rPr>
              <w:t>87</w:t>
            </w:r>
          </w:p>
        </w:tc>
        <w:tc>
          <w:tcPr>
            <w:tcW w:type="dxa" w:w="576"/>
            <w:vAlign w:val="center"/>
          </w:tcPr>
          <w:p>
            <w:pPr>
              <w:keepNext/>
              <w:spacing w:line="245" w:lineRule="auto" w:before="60" w:after="60"/>
              <w:jc w:val="right"/>
            </w:pPr>
            <w:r>
              <w:rPr>
                <w:b w:val="0"/>
                <w:sz w:val="18"/>
              </w:rPr>
              <w:t>27</w:t>
            </w:r>
          </w:p>
        </w:tc>
        <w:tc>
          <w:tcPr>
            <w:tcW w:type="dxa" w:w="792"/>
            <w:vAlign w:val="center"/>
          </w:tcPr>
          <w:p>
            <w:pPr>
              <w:keepNext/>
              <w:spacing w:line="245" w:lineRule="auto" w:before="60" w:after="60"/>
              <w:jc w:val="right"/>
            </w:pPr>
            <w:r>
              <w:rPr>
                <w:b w:val="0"/>
                <w:sz w:val="18"/>
              </w:rPr>
              <w:t>28</w:t>
            </w:r>
          </w:p>
        </w:tc>
        <w:tc>
          <w:tcPr>
            <w:tcW w:type="dxa" w:w="1512"/>
            <w:vAlign w:val="center"/>
          </w:tcPr>
          <w:p>
            <w:pPr>
              <w:keepNext/>
              <w:spacing w:line="245" w:lineRule="auto" w:before="60" w:after="60"/>
              <w:jc w:val="right"/>
            </w:pPr>
            <w:r>
              <w:rPr>
                <w:b w:val="0"/>
                <w:sz w:val="18"/>
              </w:rPr>
              <w:t>0</w:t>
            </w:r>
          </w:p>
        </w:tc>
      </w:tr>
      <w:tr>
        <w:trPr>
          <w:cantSplit/>
        </w:trPr>
        <w:tc>
          <w:tcPr>
            <w:tcW w:type="dxa" w:w="1440"/>
            <w:vAlign w:val="center"/>
          </w:tcPr>
          <w:p>
            <w:pPr>
              <w:keepNext/>
              <w:spacing w:line="245" w:lineRule="auto" w:before="60" w:after="60"/>
              <w:jc w:val="left"/>
            </w:pPr>
            <w:r>
              <w:rPr>
                <w:b w:val="0"/>
                <w:sz w:val="18"/>
              </w:rPr>
              <w:t>20%</w:t>
            </w:r>
          </w:p>
        </w:tc>
        <w:tc>
          <w:tcPr>
            <w:tcW w:type="dxa" w:w="1440"/>
            <w:vAlign w:val="center"/>
          </w:tcPr>
          <w:p>
            <w:pPr>
              <w:keepNext/>
              <w:spacing w:line="245" w:lineRule="auto" w:before="60" w:after="60"/>
              <w:jc w:val="right"/>
            </w:pPr>
            <w:r>
              <w:rPr>
                <w:b w:val="0"/>
                <w:sz w:val="18"/>
              </w:rPr>
              <w:t>XGBoost</w:t>
            </w:r>
          </w:p>
        </w:tc>
        <w:tc>
          <w:tcPr>
            <w:tcW w:type="dxa" w:w="2448"/>
            <w:vAlign w:val="center"/>
          </w:tcPr>
          <w:p>
            <w:pPr>
              <w:keepNext/>
              <w:spacing w:line="245" w:lineRule="auto" w:before="60" w:after="60"/>
              <w:jc w:val="right"/>
            </w:pPr>
            <w:r>
              <w:rPr>
                <w:b w:val="0"/>
                <w:sz w:val="18"/>
              </w:rPr>
              <w:t>0.58 [-1.02, 1.89]</w:t>
            </w:r>
          </w:p>
        </w:tc>
        <w:tc>
          <w:tcPr>
            <w:tcW w:type="dxa" w:w="576"/>
            <w:vAlign w:val="center"/>
          </w:tcPr>
          <w:p>
            <w:pPr>
              <w:keepNext/>
              <w:spacing w:line="245" w:lineRule="auto" w:before="60" w:after="60"/>
              <w:jc w:val="right"/>
            </w:pPr>
            <w:r>
              <w:rPr>
                <w:b w:val="0"/>
                <w:sz w:val="18"/>
              </w:rPr>
              <w:t>2</w:t>
            </w:r>
          </w:p>
        </w:tc>
        <w:tc>
          <w:tcPr>
            <w:tcW w:type="dxa" w:w="576"/>
            <w:vAlign w:val="center"/>
          </w:tcPr>
          <w:p>
            <w:pPr>
              <w:keepNext/>
              <w:spacing w:line="245" w:lineRule="auto" w:before="60" w:after="60"/>
              <w:jc w:val="right"/>
            </w:pPr>
            <w:r>
              <w:rPr>
                <w:b w:val="0"/>
                <w:sz w:val="18"/>
              </w:rPr>
              <w:t>86</w:t>
            </w:r>
          </w:p>
        </w:tc>
        <w:tc>
          <w:tcPr>
            <w:tcW w:type="dxa" w:w="576"/>
            <w:vAlign w:val="center"/>
          </w:tcPr>
          <w:p>
            <w:pPr>
              <w:keepNext/>
              <w:spacing w:line="245" w:lineRule="auto" w:before="60" w:after="60"/>
              <w:jc w:val="right"/>
            </w:pPr>
            <w:r>
              <w:rPr>
                <w:b w:val="0"/>
                <w:sz w:val="18"/>
              </w:rPr>
              <w:t>32</w:t>
            </w:r>
          </w:p>
        </w:tc>
        <w:tc>
          <w:tcPr>
            <w:tcW w:type="dxa" w:w="792"/>
            <w:vAlign w:val="center"/>
          </w:tcPr>
          <w:p>
            <w:pPr>
              <w:keepNext/>
              <w:spacing w:line="245" w:lineRule="auto" w:before="60" w:after="60"/>
              <w:jc w:val="right"/>
            </w:pPr>
            <w:r>
              <w:rPr>
                <w:b w:val="0"/>
                <w:sz w:val="18"/>
              </w:rPr>
              <w:t>34</w:t>
            </w:r>
          </w:p>
        </w:tc>
        <w:tc>
          <w:tcPr>
            <w:tcW w:type="dxa" w:w="1512"/>
            <w:vAlign w:val="center"/>
          </w:tcPr>
          <w:p>
            <w:pPr>
              <w:keepNext/>
              <w:spacing w:line="245" w:lineRule="auto" w:before="60" w:after="60"/>
              <w:jc w:val="right"/>
            </w:pPr>
            <w:r>
              <w:rPr>
                <w:b w:val="0"/>
                <w:sz w:val="18"/>
              </w:rPr>
              <w:t>0</w:t>
            </w:r>
          </w:p>
        </w:tc>
      </w:tr>
      <w:tr>
        <w:trPr>
          <w:cantSplit/>
        </w:trPr>
        <w:tc>
          <w:tcPr>
            <w:tcW w:type="dxa" w:w="1440"/>
            <w:vAlign w:val="center"/>
          </w:tcPr>
          <w:p>
            <w:pPr>
              <w:keepNext/>
              <w:spacing w:line="245" w:lineRule="auto" w:before="60" w:after="60"/>
              <w:jc w:val="left"/>
            </w:pPr>
            <w:r>
              <w:rPr>
                <w:b w:val="0"/>
                <w:sz w:val="18"/>
              </w:rPr>
              <w:t>1%, 5%, 10%, 20%</w:t>
            </w:r>
          </w:p>
        </w:tc>
        <w:tc>
          <w:tcPr>
            <w:tcW w:type="dxa" w:w="1440"/>
            <w:vAlign w:val="center"/>
          </w:tcPr>
          <w:p>
            <w:pPr>
              <w:keepNext/>
              <w:spacing w:line="245" w:lineRule="auto" w:before="60" w:after="60"/>
              <w:jc w:val="right"/>
            </w:pPr>
            <w:r>
              <w:rPr>
                <w:b w:val="0"/>
                <w:sz w:val="18"/>
              </w:rPr>
              <w:t>seismic</w:t>
            </w:r>
          </w:p>
        </w:tc>
        <w:tc>
          <w:tcPr>
            <w:tcW w:type="dxa" w:w="2448"/>
            <w:vAlign w:val="center"/>
          </w:tcPr>
          <w:p>
            <w:pPr>
              <w:keepNext/>
              <w:spacing w:line="245" w:lineRule="auto" w:before="60" w:after="60"/>
              <w:jc w:val="right"/>
            </w:pPr>
            <w:r>
              <w:rPr>
                <w:b w:val="0"/>
                <w:sz w:val="18"/>
              </w:rPr>
              <w:t>0.00 [0.00, 0.00]</w:t>
            </w:r>
          </w:p>
        </w:tc>
        <w:tc>
          <w:tcPr>
            <w:tcW w:type="dxa" w:w="576"/>
            <w:vAlign w:val="center"/>
          </w:tcPr>
          <w:p>
            <w:pPr>
              <w:keepNext/>
              <w:spacing w:line="245" w:lineRule="auto" w:before="60" w:after="60"/>
              <w:jc w:val="right"/>
            </w:pPr>
            <w:r>
              <w:rPr>
                <w:b w:val="0"/>
                <w:sz w:val="18"/>
              </w:rPr>
              <w:t>0</w:t>
            </w:r>
          </w:p>
        </w:tc>
        <w:tc>
          <w:tcPr>
            <w:tcW w:type="dxa" w:w="576"/>
            <w:vAlign w:val="center"/>
          </w:tcPr>
          <w:p>
            <w:pPr>
              <w:keepNext/>
              <w:spacing w:line="245" w:lineRule="auto" w:before="60" w:after="60"/>
              <w:jc w:val="right"/>
            </w:pPr>
            <w:r>
              <w:rPr>
                <w:b w:val="0"/>
                <w:sz w:val="18"/>
              </w:rPr>
              <w:t>88</w:t>
            </w:r>
          </w:p>
        </w:tc>
        <w:tc>
          <w:tcPr>
            <w:tcW w:type="dxa" w:w="576"/>
            <w:vAlign w:val="center"/>
          </w:tcPr>
          <w:p>
            <w:pPr>
              <w:keepNext/>
              <w:spacing w:line="245" w:lineRule="auto" w:before="60" w:after="60"/>
              <w:jc w:val="right"/>
            </w:pPr>
            <w:r>
              <w:rPr>
                <w:b w:val="0"/>
                <w:sz w:val="18"/>
              </w:rPr>
              <w:t>0</w:t>
            </w:r>
          </w:p>
        </w:tc>
        <w:tc>
          <w:tcPr>
            <w:tcW w:type="dxa" w:w="792"/>
            <w:vAlign w:val="center"/>
          </w:tcPr>
          <w:p>
            <w:pPr>
              <w:keepNext/>
              <w:spacing w:line="245" w:lineRule="auto" w:before="60" w:after="60"/>
              <w:jc w:val="right"/>
            </w:pPr>
            <w:r>
              <w:rPr>
                <w:b w:val="0"/>
                <w:sz w:val="18"/>
              </w:rPr>
              <w:t>0</w:t>
            </w:r>
          </w:p>
        </w:tc>
        <w:tc>
          <w:tcPr>
            <w:tcW w:type="dxa" w:w="1512"/>
            <w:vAlign w:val="center"/>
          </w:tcPr>
          <w:p>
            <w:pPr>
              <w:keepNext/>
              <w:spacing w:line="245" w:lineRule="auto" w:before="60" w:after="60"/>
              <w:jc w:val="right"/>
            </w:pPr>
            <w:r>
              <w:rPr>
                <w:b w:val="0"/>
                <w:sz w:val="18"/>
              </w:rPr>
              <w:t>0, 0, 0, 0</w:t>
            </w:r>
          </w:p>
        </w:tc>
      </w:tr>
      <w:tr>
        <w:trPr>
          <w:cantSplit/>
        </w:trPr>
        <w:tc>
          <w:tcPr>
            <w:tcW w:type="dxa" w:w="1440"/>
            <w:vAlign w:val="center"/>
          </w:tcPr>
          <w:p>
            <w:pPr>
              <w:keepNext/>
              <w:spacing w:line="245" w:lineRule="auto" w:before="60" w:after="60"/>
              <w:jc w:val="left"/>
            </w:pPr>
            <w:r>
              <w:rPr>
                <w:b w:val="0"/>
                <w:sz w:val="18"/>
              </w:rPr>
              <w:t>1%, 5%, 10%, 20%</w:t>
            </w:r>
          </w:p>
        </w:tc>
        <w:tc>
          <w:tcPr>
            <w:tcW w:type="dxa" w:w="1440"/>
            <w:vAlign w:val="center"/>
          </w:tcPr>
          <w:p>
            <w:pPr>
              <w:keepNext/>
              <w:spacing w:line="245" w:lineRule="auto" w:before="60" w:after="60"/>
              <w:jc w:val="right"/>
            </w:pPr>
            <w:r>
              <w:rPr>
                <w:b w:val="0"/>
                <w:sz w:val="18"/>
              </w:rPr>
              <w:t>seismoacoustic</w:t>
            </w:r>
          </w:p>
        </w:tc>
        <w:tc>
          <w:tcPr>
            <w:tcW w:type="dxa" w:w="2448"/>
            <w:vAlign w:val="center"/>
          </w:tcPr>
          <w:p>
            <w:pPr>
              <w:keepNext/>
              <w:spacing w:line="245" w:lineRule="auto" w:before="60" w:after="60"/>
              <w:jc w:val="right"/>
            </w:pPr>
            <w:r>
              <w:rPr>
                <w:b w:val="0"/>
                <w:sz w:val="18"/>
              </w:rPr>
              <w:t>0.00 [0.00, 0.00]</w:t>
            </w:r>
          </w:p>
        </w:tc>
        <w:tc>
          <w:tcPr>
            <w:tcW w:type="dxa" w:w="576"/>
            <w:vAlign w:val="center"/>
          </w:tcPr>
          <w:p>
            <w:pPr>
              <w:keepNext/>
              <w:spacing w:line="245" w:lineRule="auto" w:before="60" w:after="60"/>
              <w:jc w:val="right"/>
            </w:pPr>
            <w:r>
              <w:rPr>
                <w:b w:val="0"/>
                <w:sz w:val="18"/>
              </w:rPr>
              <w:t>0</w:t>
            </w:r>
          </w:p>
        </w:tc>
        <w:tc>
          <w:tcPr>
            <w:tcW w:type="dxa" w:w="576"/>
            <w:vAlign w:val="center"/>
          </w:tcPr>
          <w:p>
            <w:pPr>
              <w:keepNext/>
              <w:spacing w:line="245" w:lineRule="auto" w:before="60" w:after="60"/>
              <w:jc w:val="right"/>
            </w:pPr>
            <w:r>
              <w:rPr>
                <w:b w:val="0"/>
                <w:sz w:val="18"/>
              </w:rPr>
              <w:t>88</w:t>
            </w:r>
          </w:p>
        </w:tc>
        <w:tc>
          <w:tcPr>
            <w:tcW w:type="dxa" w:w="576"/>
            <w:vAlign w:val="center"/>
          </w:tcPr>
          <w:p>
            <w:pPr>
              <w:keepNext/>
              <w:spacing w:line="245" w:lineRule="auto" w:before="60" w:after="60"/>
              <w:jc w:val="right"/>
            </w:pPr>
            <w:r>
              <w:rPr>
                <w:b w:val="0"/>
                <w:sz w:val="18"/>
              </w:rPr>
              <w:t>0</w:t>
            </w:r>
          </w:p>
        </w:tc>
        <w:tc>
          <w:tcPr>
            <w:tcW w:type="dxa" w:w="792"/>
            <w:vAlign w:val="center"/>
          </w:tcPr>
          <w:p>
            <w:pPr>
              <w:keepNext/>
              <w:spacing w:line="245" w:lineRule="auto" w:before="60" w:after="60"/>
              <w:jc w:val="right"/>
            </w:pPr>
            <w:r>
              <w:rPr>
                <w:b w:val="0"/>
                <w:sz w:val="18"/>
              </w:rPr>
              <w:t>0</w:t>
            </w:r>
          </w:p>
        </w:tc>
        <w:tc>
          <w:tcPr>
            <w:tcW w:type="dxa" w:w="1512"/>
            <w:vAlign w:val="center"/>
          </w:tcPr>
          <w:p>
            <w:pPr>
              <w:keepNext/>
              <w:spacing w:line="245" w:lineRule="auto" w:before="60" w:after="60"/>
              <w:jc w:val="right"/>
            </w:pPr>
            <w:r>
              <w:rPr>
                <w:b w:val="0"/>
                <w:sz w:val="18"/>
              </w:rPr>
              <w:t>0, 0, 0, 0</w:t>
            </w:r>
          </w:p>
        </w:tc>
      </w:tr>
      <w:tr>
        <w:trPr>
          <w:cantSplit/>
        </w:trPr>
        <w:tc>
          <w:tcPr>
            <w:tcW w:type="dxa" w:w="1440"/>
            <w:vAlign w:val="center"/>
          </w:tcPr>
          <w:p>
            <w:pPr>
              <w:keepNext w:val="0"/>
              <w:spacing w:line="245" w:lineRule="auto" w:before="60" w:after="60"/>
              <w:jc w:val="left"/>
            </w:pPr>
            <w:r>
              <w:rPr>
                <w:b w:val="0"/>
                <w:sz w:val="18"/>
              </w:rPr>
              <w:t>1%, 5%, 10%, 20%</w:t>
            </w:r>
          </w:p>
        </w:tc>
        <w:tc>
          <w:tcPr>
            <w:tcW w:type="dxa" w:w="1440"/>
            <w:vAlign w:val="center"/>
          </w:tcPr>
          <w:p>
            <w:pPr>
              <w:keepNext w:val="0"/>
              <w:spacing w:line="245" w:lineRule="auto" w:before="60" w:after="60"/>
              <w:jc w:val="right"/>
            </w:pPr>
            <w:r>
              <w:rPr>
                <w:b w:val="0"/>
                <w:sz w:val="18"/>
              </w:rPr>
              <w:t>ghazard</w:t>
            </w:r>
          </w:p>
        </w:tc>
        <w:tc>
          <w:tcPr>
            <w:tcW w:type="dxa" w:w="2448"/>
            <w:vAlign w:val="center"/>
          </w:tcPr>
          <w:p>
            <w:pPr>
              <w:keepNext w:val="0"/>
              <w:spacing w:line="245" w:lineRule="auto" w:before="60" w:after="60"/>
              <w:jc w:val="right"/>
            </w:pPr>
            <w:r>
              <w:rPr>
                <w:b w:val="0"/>
                <w:sz w:val="18"/>
              </w:rPr>
              <w:t>-0.87 [-3.97, 1.36]</w:t>
            </w:r>
          </w:p>
        </w:tc>
        <w:tc>
          <w:tcPr>
            <w:tcW w:type="dxa" w:w="576"/>
            <w:vAlign w:val="center"/>
          </w:tcPr>
          <w:p>
            <w:pPr>
              <w:keepNext w:val="0"/>
              <w:spacing w:line="245" w:lineRule="auto" w:before="60" w:after="60"/>
              <w:jc w:val="right"/>
            </w:pPr>
            <w:r>
              <w:rPr>
                <w:b w:val="0"/>
                <w:sz w:val="18"/>
              </w:rPr>
              <w:t>4</w:t>
            </w:r>
          </w:p>
        </w:tc>
        <w:tc>
          <w:tcPr>
            <w:tcW w:type="dxa" w:w="576"/>
            <w:vAlign w:val="center"/>
          </w:tcPr>
          <w:p>
            <w:pPr>
              <w:keepNext w:val="0"/>
              <w:spacing w:line="245" w:lineRule="auto" w:before="60" w:after="60"/>
              <w:jc w:val="right"/>
            </w:pPr>
            <w:r>
              <w:rPr>
                <w:b w:val="0"/>
                <w:sz w:val="18"/>
              </w:rPr>
              <w:t>84</w:t>
            </w:r>
          </w:p>
        </w:tc>
        <w:tc>
          <w:tcPr>
            <w:tcW w:type="dxa" w:w="576"/>
            <w:vAlign w:val="center"/>
          </w:tcPr>
          <w:p>
            <w:pPr>
              <w:keepNext w:val="0"/>
              <w:spacing w:line="245" w:lineRule="auto" w:before="60" w:after="60"/>
              <w:jc w:val="right"/>
            </w:pPr>
            <w:r>
              <w:rPr>
                <w:b w:val="0"/>
                <w:sz w:val="18"/>
              </w:rPr>
              <w:t>22</w:t>
            </w:r>
          </w:p>
        </w:tc>
        <w:tc>
          <w:tcPr>
            <w:tcW w:type="dxa" w:w="792"/>
            <w:vAlign w:val="center"/>
          </w:tcPr>
          <w:p>
            <w:pPr>
              <w:keepNext w:val="0"/>
              <w:spacing w:line="245" w:lineRule="auto" w:before="60" w:after="60"/>
              <w:jc w:val="right"/>
            </w:pPr>
            <w:r>
              <w:rPr>
                <w:b w:val="0"/>
                <w:sz w:val="18"/>
              </w:rPr>
              <w:t>26</w:t>
            </w:r>
          </w:p>
        </w:tc>
        <w:tc>
          <w:tcPr>
            <w:tcW w:type="dxa" w:w="1512"/>
            <w:vAlign w:val="center"/>
          </w:tcPr>
          <w:p>
            <w:pPr>
              <w:keepNext w:val="0"/>
              <w:spacing w:line="245" w:lineRule="auto" w:before="60" w:after="60"/>
              <w:jc w:val="right"/>
            </w:pPr>
            <w:r>
              <w:rPr>
                <w:b w:val="0"/>
                <w:sz w:val="18"/>
              </w:rPr>
              <w:t>21, 1, 0, 0</w:t>
            </w:r>
          </w:p>
        </w:tc>
      </w:tr>
    </w:tbl>
    <w:p>
      <w:pPr>
        <w:spacing w:after="20"/>
      </w:pPr>
    </w:p>
    <w:p>
      <w:r>
        <w:t>Budgets are grouped only when their full transferred decision vectors match. Comma-separated excess counts follow the listed budget order: identical alarms can exceed different numbers of capacity slots. The appendix retains the ungrouped record block and pooled settings.</w:t>
      </w:r>
    </w:p>
    <w:p>
      <w:r>
        <w:t>At r=10, seismic and seismoacoustic C select no alarms across the displayed budgets. The ghazard rules yield 26 alerts, 4 detections and 22 false alerts, with loss difference -0.87 [-3.97, 1.36] versus no alarms. Their repeated pooled counts reflect the same transferred decisions, not independent replications. The negative point difference does not establish loss improvement because its interval crosses zero. Coarse reference grade groups can underfill budgets; later frequencies can also exceed them.</w:t>
      </w:r>
    </w:p>
    <w:p>
      <w:pPr>
        <w:pStyle w:val="Caption"/>
        <w:keepNext/>
      </w:pPr>
      <w:r>
        <w:t>Table 9. Frozen XGBoost minus each historically selected grade C rule at r=10. Brackets are paired 95% intervals; negative favors ML.</w:t>
      </w:r>
    </w:p>
    <w:tbl>
      <w:tblPr>
        <w:tblStyle w:val="TableGrid"/>
        <w:tblW w:type="auto" w:w="0"/>
        <w:jc w:val="center"/>
        <w:tblLayout w:type="fixed"/>
        <w:tblLook w:firstColumn="1" w:firstRow="1" w:lastColumn="0" w:lastRow="0" w:noHBand="0" w:noVBand="1" w:val="04A0"/>
      </w:tblPr>
      <w:tblGrid>
        <w:gridCol w:w="1008"/>
        <w:gridCol w:w="1728"/>
        <w:gridCol w:w="2160"/>
        <w:gridCol w:w="2160"/>
        <w:gridCol w:w="2160"/>
      </w:tblGrid>
      <w:tr>
        <w:trPr>
          <w:cantSplit/>
          <w:tblHeader/>
        </w:trPr>
        <w:tc>
          <w:tcPr>
            <w:tcW w:type="dxa" w:w="1008"/>
            <w:vAlign w:val="center"/>
            <w:shd w:fill="EDEFF1"/>
          </w:tcPr>
          <w:p>
            <w:pPr>
              <w:keepNext/>
              <w:spacing w:line="245" w:lineRule="auto" w:before="60" w:after="60"/>
              <w:jc w:val="center"/>
            </w:pPr>
            <w:r>
              <w:rPr>
                <w:b/>
                <w:sz w:val="20"/>
              </w:rPr>
              <w:t>Record block</w:t>
            </w:r>
          </w:p>
        </w:tc>
        <w:tc>
          <w:tcPr>
            <w:tcW w:type="dxa" w:w="1728"/>
            <w:vAlign w:val="center"/>
            <w:shd w:fill="EDEFF1"/>
          </w:tcPr>
          <w:p>
            <w:pPr>
              <w:keepNext/>
              <w:spacing w:line="245" w:lineRule="auto" w:before="60" w:after="60"/>
              <w:jc w:val="center"/>
            </w:pPr>
            <w:r>
              <w:rPr>
                <w:b/>
                <w:sz w:val="20"/>
              </w:rPr>
              <w:t>Budget</w:t>
            </w:r>
          </w:p>
        </w:tc>
        <w:tc>
          <w:tcPr>
            <w:tcW w:type="dxa" w:w="2160"/>
            <w:vAlign w:val="center"/>
            <w:shd w:fill="EDEFF1"/>
          </w:tcPr>
          <w:p>
            <w:pPr>
              <w:keepNext/>
              <w:spacing w:line="245" w:lineRule="auto" w:before="60" w:after="60"/>
              <w:jc w:val="center"/>
            </w:pPr>
            <w:r>
              <w:rPr>
                <w:b/>
                <w:sz w:val="20"/>
              </w:rPr>
              <w:t>ML minus seismic</w:t>
            </w:r>
          </w:p>
        </w:tc>
        <w:tc>
          <w:tcPr>
            <w:tcW w:type="dxa" w:w="2160"/>
            <w:vAlign w:val="center"/>
            <w:shd w:fill="EDEFF1"/>
          </w:tcPr>
          <w:p>
            <w:pPr>
              <w:keepNext/>
              <w:spacing w:line="245" w:lineRule="auto" w:before="60" w:after="60"/>
              <w:jc w:val="center"/>
            </w:pPr>
            <w:r>
              <w:rPr>
                <w:b/>
                <w:sz w:val="20"/>
              </w:rPr>
              <w:t>ML minus seismoacoustic</w:t>
            </w:r>
          </w:p>
        </w:tc>
        <w:tc>
          <w:tcPr>
            <w:tcW w:type="dxa" w:w="2160"/>
            <w:vAlign w:val="center"/>
            <w:shd w:fill="EDEFF1"/>
          </w:tcPr>
          <w:p>
            <w:pPr>
              <w:keepNext/>
              <w:spacing w:line="245" w:lineRule="auto" w:before="60" w:after="60"/>
              <w:jc w:val="center"/>
            </w:pPr>
            <w:r>
              <w:rPr>
                <w:b/>
                <w:sz w:val="20"/>
              </w:rPr>
              <w:t>ML minus ghazard</w:t>
            </w:r>
          </w:p>
        </w:tc>
      </w:tr>
      <w:tr>
        <w:trPr>
          <w:cantSplit/>
        </w:trPr>
        <w:tc>
          <w:tcPr>
            <w:tcW w:type="dxa" w:w="1008"/>
            <w:vAlign w:val="center"/>
          </w:tcPr>
          <w:p>
            <w:pPr>
              <w:keepNext/>
              <w:spacing w:line="245" w:lineRule="auto" w:before="60" w:after="60"/>
              <w:jc w:val="left"/>
            </w:pPr>
            <w:r>
              <w:rPr>
                <w:b w:val="0"/>
                <w:sz w:val="20"/>
              </w:rPr>
              <w:t>1</w:t>
            </w:r>
          </w:p>
        </w:tc>
        <w:tc>
          <w:tcPr>
            <w:tcW w:type="dxa" w:w="1728"/>
            <w:vAlign w:val="center"/>
          </w:tcPr>
          <w:p>
            <w:pPr>
              <w:keepNext/>
              <w:spacing w:line="245" w:lineRule="auto" w:before="60" w:after="60"/>
              <w:jc w:val="right"/>
            </w:pPr>
            <w:r>
              <w:rPr>
                <w:b w:val="0"/>
                <w:sz w:val="20"/>
              </w:rPr>
              <w:t>1%</w:t>
            </w:r>
          </w:p>
        </w:tc>
        <w:tc>
          <w:tcPr>
            <w:tcW w:type="dxa" w:w="2160"/>
            <w:vAlign w:val="center"/>
          </w:tcPr>
          <w:p>
            <w:pPr>
              <w:keepNext/>
              <w:spacing w:line="245" w:lineRule="auto" w:before="60" w:after="60"/>
              <w:jc w:val="right"/>
            </w:pPr>
            <w:r>
              <w:rPr>
                <w:b w:val="0"/>
                <w:sz w:val="20"/>
              </w:rPr>
              <w:t>0.00 [0.00, 0.00]</w:t>
            </w:r>
          </w:p>
        </w:tc>
        <w:tc>
          <w:tcPr>
            <w:tcW w:type="dxa" w:w="2160"/>
            <w:vAlign w:val="center"/>
          </w:tcPr>
          <w:p>
            <w:pPr>
              <w:keepNext/>
              <w:spacing w:line="245" w:lineRule="auto" w:before="60" w:after="60"/>
              <w:jc w:val="right"/>
            </w:pPr>
            <w:r>
              <w:rPr>
                <w:b w:val="0"/>
                <w:sz w:val="20"/>
              </w:rPr>
              <w:t>0.00 [0.00, 0.00]</w:t>
            </w:r>
          </w:p>
        </w:tc>
        <w:tc>
          <w:tcPr>
            <w:tcW w:type="dxa" w:w="2160"/>
            <w:vAlign w:val="center"/>
          </w:tcPr>
          <w:p>
            <w:pPr>
              <w:keepNext/>
              <w:spacing w:line="245" w:lineRule="auto" w:before="60" w:after="60"/>
              <w:jc w:val="right"/>
            </w:pPr>
            <w:r>
              <w:rPr>
                <w:b w:val="0"/>
                <w:sz w:val="20"/>
              </w:rPr>
              <w:t>3.49 [-5.43, 16.09]</w:t>
            </w:r>
          </w:p>
        </w:tc>
      </w:tr>
      <w:tr>
        <w:trPr>
          <w:cantSplit/>
        </w:trPr>
        <w:tc>
          <w:tcPr>
            <w:tcW w:type="dxa" w:w="1008"/>
            <w:vAlign w:val="center"/>
          </w:tcPr>
          <w:p>
            <w:pPr>
              <w:keepNext w:val="0"/>
              <w:spacing w:line="245" w:lineRule="auto" w:before="60" w:after="60"/>
              <w:jc w:val="left"/>
            </w:pPr>
            <w:r>
              <w:rPr>
                <w:b w:val="0"/>
                <w:sz w:val="20"/>
              </w:rPr>
              <w:t>1</w:t>
            </w:r>
          </w:p>
        </w:tc>
        <w:tc>
          <w:tcPr>
            <w:tcW w:type="dxa" w:w="1728"/>
            <w:vAlign w:val="center"/>
          </w:tcPr>
          <w:p>
            <w:pPr>
              <w:keepNext w:val="0"/>
              <w:spacing w:line="245" w:lineRule="auto" w:before="60" w:after="60"/>
              <w:jc w:val="right"/>
            </w:pPr>
            <w:r>
              <w:rPr>
                <w:b w:val="0"/>
                <w:sz w:val="20"/>
              </w:rPr>
              <w:t>5%</w:t>
            </w:r>
          </w:p>
        </w:tc>
        <w:tc>
          <w:tcPr>
            <w:tcW w:type="dxa" w:w="2160"/>
            <w:vAlign w:val="center"/>
          </w:tcPr>
          <w:p>
            <w:pPr>
              <w:keepNext w:val="0"/>
              <w:spacing w:line="245" w:lineRule="auto" w:before="60" w:after="60"/>
              <w:jc w:val="right"/>
            </w:pPr>
            <w:r>
              <w:rPr>
                <w:b w:val="0"/>
                <w:sz w:val="20"/>
              </w:rPr>
              <w:t>1.55 [0.39, 3.10]</w:t>
            </w:r>
          </w:p>
        </w:tc>
        <w:tc>
          <w:tcPr>
            <w:tcW w:type="dxa" w:w="2160"/>
            <w:vAlign w:val="center"/>
          </w:tcPr>
          <w:p>
            <w:pPr>
              <w:keepNext w:val="0"/>
              <w:spacing w:line="245" w:lineRule="auto" w:before="60" w:after="60"/>
              <w:jc w:val="right"/>
            </w:pPr>
            <w:r>
              <w:rPr>
                <w:b w:val="0"/>
                <w:sz w:val="20"/>
              </w:rPr>
              <w:t>1.55 [0.39, 3.10]</w:t>
            </w:r>
          </w:p>
        </w:tc>
        <w:tc>
          <w:tcPr>
            <w:tcW w:type="dxa" w:w="2160"/>
            <w:vAlign w:val="center"/>
          </w:tcPr>
          <w:p>
            <w:pPr>
              <w:keepNext w:val="0"/>
              <w:spacing w:line="245" w:lineRule="auto" w:before="60" w:after="60"/>
              <w:jc w:val="right"/>
            </w:pPr>
            <w:r>
              <w:rPr>
                <w:b w:val="0"/>
                <w:sz w:val="20"/>
              </w:rPr>
              <w:t>5.04 [-4.07, 18.02]</w:t>
            </w:r>
          </w:p>
        </w:tc>
      </w:tr>
      <w:tr>
        <w:trPr>
          <w:cantSplit/>
        </w:trPr>
        <w:tc>
          <w:tcPr>
            <w:tcW w:type="dxa" w:w="1008"/>
            <w:vAlign w:val="center"/>
          </w:tcPr>
          <w:p>
            <w:pPr>
              <w:keepNext w:val="0"/>
              <w:spacing w:line="245" w:lineRule="auto" w:before="60" w:after="60"/>
              <w:jc w:val="left"/>
            </w:pPr>
            <w:r>
              <w:rPr>
                <w:b w:val="0"/>
                <w:sz w:val="20"/>
              </w:rPr>
              <w:t>1</w:t>
            </w:r>
          </w:p>
        </w:tc>
        <w:tc>
          <w:tcPr>
            <w:tcW w:type="dxa" w:w="1728"/>
            <w:vAlign w:val="center"/>
          </w:tcPr>
          <w:p>
            <w:pPr>
              <w:keepNext w:val="0"/>
              <w:spacing w:line="245" w:lineRule="auto" w:before="60" w:after="60"/>
              <w:jc w:val="right"/>
            </w:pPr>
            <w:r>
              <w:rPr>
                <w:b w:val="0"/>
                <w:sz w:val="20"/>
              </w:rPr>
              <w:t>10%</w:t>
            </w:r>
          </w:p>
        </w:tc>
        <w:tc>
          <w:tcPr>
            <w:tcW w:type="dxa" w:w="2160"/>
            <w:vAlign w:val="center"/>
          </w:tcPr>
          <w:p>
            <w:pPr>
              <w:keepNext w:val="0"/>
              <w:spacing w:line="245" w:lineRule="auto" w:before="60" w:after="60"/>
              <w:jc w:val="right"/>
            </w:pPr>
            <w:r>
              <w:rPr>
                <w:b w:val="0"/>
                <w:sz w:val="20"/>
              </w:rPr>
              <w:t>2.13 [0.78, 4.07]</w:t>
            </w:r>
          </w:p>
        </w:tc>
        <w:tc>
          <w:tcPr>
            <w:tcW w:type="dxa" w:w="2160"/>
            <w:vAlign w:val="center"/>
          </w:tcPr>
          <w:p>
            <w:pPr>
              <w:keepNext w:val="0"/>
              <w:spacing w:line="245" w:lineRule="auto" w:before="60" w:after="60"/>
              <w:jc w:val="right"/>
            </w:pPr>
            <w:r>
              <w:rPr>
                <w:b w:val="0"/>
                <w:sz w:val="20"/>
              </w:rPr>
              <w:t>2.13 [0.78, 4.07]</w:t>
            </w:r>
          </w:p>
        </w:tc>
        <w:tc>
          <w:tcPr>
            <w:tcW w:type="dxa" w:w="2160"/>
            <w:vAlign w:val="center"/>
          </w:tcPr>
          <w:p>
            <w:pPr>
              <w:keepNext w:val="0"/>
              <w:spacing w:line="245" w:lineRule="auto" w:before="60" w:after="60"/>
              <w:jc w:val="right"/>
            </w:pPr>
            <w:r>
              <w:rPr>
                <w:b w:val="0"/>
                <w:sz w:val="20"/>
              </w:rPr>
              <w:t>5.62 [-3.49, 18.99]</w:t>
            </w:r>
          </w:p>
        </w:tc>
      </w:tr>
      <w:tr>
        <w:trPr>
          <w:cantSplit/>
        </w:trPr>
        <w:tc>
          <w:tcPr>
            <w:tcW w:type="dxa" w:w="1008"/>
            <w:vAlign w:val="center"/>
          </w:tcPr>
          <w:p>
            <w:pPr>
              <w:keepNext w:val="0"/>
              <w:spacing w:line="245" w:lineRule="auto" w:before="60" w:after="60"/>
              <w:jc w:val="left"/>
            </w:pPr>
            <w:r>
              <w:rPr>
                <w:b w:val="0"/>
                <w:sz w:val="20"/>
              </w:rPr>
              <w:t>1</w:t>
            </w:r>
          </w:p>
        </w:tc>
        <w:tc>
          <w:tcPr>
            <w:tcW w:type="dxa" w:w="1728"/>
            <w:vAlign w:val="center"/>
          </w:tcPr>
          <w:p>
            <w:pPr>
              <w:keepNext w:val="0"/>
              <w:spacing w:line="245" w:lineRule="auto" w:before="60" w:after="60"/>
              <w:jc w:val="right"/>
            </w:pPr>
            <w:r>
              <w:rPr>
                <w:b w:val="0"/>
                <w:sz w:val="20"/>
              </w:rPr>
              <w:t>20%</w:t>
            </w:r>
          </w:p>
        </w:tc>
        <w:tc>
          <w:tcPr>
            <w:tcW w:type="dxa" w:w="2160"/>
            <w:vAlign w:val="center"/>
          </w:tcPr>
          <w:p>
            <w:pPr>
              <w:keepNext w:val="0"/>
              <w:spacing w:line="245" w:lineRule="auto" w:before="60" w:after="60"/>
              <w:jc w:val="right"/>
            </w:pPr>
            <w:r>
              <w:rPr>
                <w:b w:val="0"/>
                <w:sz w:val="20"/>
              </w:rPr>
              <w:t>1.16 [-3.88, 4.84]</w:t>
            </w:r>
          </w:p>
        </w:tc>
        <w:tc>
          <w:tcPr>
            <w:tcW w:type="dxa" w:w="2160"/>
            <w:vAlign w:val="center"/>
          </w:tcPr>
          <w:p>
            <w:pPr>
              <w:keepNext w:val="0"/>
              <w:spacing w:line="245" w:lineRule="auto" w:before="60" w:after="60"/>
              <w:jc w:val="right"/>
            </w:pPr>
            <w:r>
              <w:rPr>
                <w:b w:val="0"/>
                <w:sz w:val="20"/>
              </w:rPr>
              <w:t>1.16 [-3.88, 4.84]</w:t>
            </w:r>
          </w:p>
        </w:tc>
        <w:tc>
          <w:tcPr>
            <w:tcW w:type="dxa" w:w="2160"/>
            <w:vAlign w:val="center"/>
          </w:tcPr>
          <w:p>
            <w:pPr>
              <w:keepNext w:val="0"/>
              <w:spacing w:line="245" w:lineRule="auto" w:before="60" w:after="60"/>
              <w:jc w:val="right"/>
            </w:pPr>
            <w:r>
              <w:rPr>
                <w:b w:val="0"/>
                <w:sz w:val="20"/>
              </w:rPr>
              <w:t>4.65 [-3.49, 15.90]</w:t>
            </w:r>
          </w:p>
        </w:tc>
      </w:tr>
      <w:tr>
        <w:trPr>
          <w:cantSplit/>
        </w:trPr>
        <w:tc>
          <w:tcPr>
            <w:tcW w:type="dxa" w:w="1008"/>
            <w:vAlign w:val="center"/>
          </w:tcPr>
          <w:p>
            <w:pPr>
              <w:keepNext w:val="0"/>
              <w:spacing w:line="245" w:lineRule="auto" w:before="60" w:after="60"/>
              <w:jc w:val="left"/>
            </w:pPr>
            <w:r>
              <w:rPr>
                <w:b w:val="0"/>
                <w:sz w:val="20"/>
              </w:rPr>
              <w:t>2</w:t>
            </w:r>
          </w:p>
        </w:tc>
        <w:tc>
          <w:tcPr>
            <w:tcW w:type="dxa" w:w="1728"/>
            <w:vAlign w:val="center"/>
          </w:tcPr>
          <w:p>
            <w:pPr>
              <w:keepNext w:val="0"/>
              <w:spacing w:line="245" w:lineRule="auto" w:before="60" w:after="60"/>
              <w:jc w:val="right"/>
            </w:pPr>
            <w:r>
              <w:rPr>
                <w:b w:val="0"/>
                <w:sz w:val="20"/>
              </w:rPr>
              <w:t>1%, 5%, 10%, 20%</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0.00 [0.00, 0.00]</w:t>
            </w:r>
          </w:p>
        </w:tc>
      </w:tr>
      <w:tr>
        <w:trPr>
          <w:cantSplit/>
        </w:trPr>
        <w:tc>
          <w:tcPr>
            <w:tcW w:type="dxa" w:w="1008"/>
            <w:vAlign w:val="center"/>
          </w:tcPr>
          <w:p>
            <w:pPr>
              <w:keepNext w:val="0"/>
              <w:spacing w:line="245" w:lineRule="auto" w:before="60" w:after="60"/>
              <w:jc w:val="left"/>
            </w:pPr>
            <w:r>
              <w:rPr>
                <w:b w:val="0"/>
                <w:sz w:val="20"/>
              </w:rPr>
              <w:t>3</w:t>
            </w:r>
          </w:p>
        </w:tc>
        <w:tc>
          <w:tcPr>
            <w:tcW w:type="dxa" w:w="1728"/>
            <w:vAlign w:val="center"/>
          </w:tcPr>
          <w:p>
            <w:pPr>
              <w:keepNext w:val="0"/>
              <w:spacing w:line="245" w:lineRule="auto" w:before="60" w:after="60"/>
              <w:jc w:val="right"/>
            </w:pPr>
            <w:r>
              <w:rPr>
                <w:b w:val="0"/>
                <w:sz w:val="20"/>
              </w:rPr>
              <w:t>1%, 5%, 10%, 20%</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0.00 [0.00, 0.00]</w:t>
            </w:r>
          </w:p>
        </w:tc>
      </w:tr>
      <w:tr>
        <w:trPr>
          <w:cantSplit/>
        </w:trPr>
        <w:tc>
          <w:tcPr>
            <w:tcW w:type="dxa" w:w="1008"/>
            <w:vAlign w:val="center"/>
          </w:tcPr>
          <w:p>
            <w:pPr>
              <w:keepNext w:val="0"/>
              <w:spacing w:line="245" w:lineRule="auto" w:before="60" w:after="60"/>
              <w:jc w:val="left"/>
            </w:pPr>
            <w:r>
              <w:rPr>
                <w:b w:val="0"/>
                <w:sz w:val="20"/>
              </w:rPr>
              <w:t>4</w:t>
            </w:r>
          </w:p>
        </w:tc>
        <w:tc>
          <w:tcPr>
            <w:tcW w:type="dxa" w:w="1728"/>
            <w:vAlign w:val="center"/>
          </w:tcPr>
          <w:p>
            <w:pPr>
              <w:keepNext w:val="0"/>
              <w:spacing w:line="245" w:lineRule="auto" w:before="60" w:after="60"/>
              <w:jc w:val="right"/>
            </w:pPr>
            <w:r>
              <w:rPr>
                <w:b w:val="0"/>
                <w:sz w:val="20"/>
              </w:rPr>
              <w:t>1%</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0.00 [0.00, 0.00]</w:t>
            </w:r>
          </w:p>
        </w:tc>
      </w:tr>
      <w:tr>
        <w:trPr>
          <w:cantSplit/>
        </w:trPr>
        <w:tc>
          <w:tcPr>
            <w:tcW w:type="dxa" w:w="1008"/>
            <w:vAlign w:val="center"/>
          </w:tcPr>
          <w:p>
            <w:pPr>
              <w:keepNext w:val="0"/>
              <w:spacing w:line="245" w:lineRule="auto" w:before="60" w:after="60"/>
              <w:jc w:val="left"/>
            </w:pPr>
            <w:r>
              <w:rPr>
                <w:b w:val="0"/>
                <w:sz w:val="20"/>
              </w:rPr>
              <w:t>4</w:t>
            </w:r>
          </w:p>
        </w:tc>
        <w:tc>
          <w:tcPr>
            <w:tcW w:type="dxa" w:w="1728"/>
            <w:vAlign w:val="center"/>
          </w:tcPr>
          <w:p>
            <w:pPr>
              <w:keepNext w:val="0"/>
              <w:spacing w:line="245" w:lineRule="auto" w:before="60" w:after="60"/>
              <w:jc w:val="right"/>
            </w:pPr>
            <w:r>
              <w:rPr>
                <w:b w:val="0"/>
                <w:sz w:val="20"/>
              </w:rPr>
              <w:t>5%, 10%, 20%</w:t>
            </w:r>
          </w:p>
        </w:tc>
        <w:tc>
          <w:tcPr>
            <w:tcW w:type="dxa" w:w="2160"/>
            <w:vAlign w:val="center"/>
          </w:tcPr>
          <w:p>
            <w:pPr>
              <w:keepNext w:val="0"/>
              <w:spacing w:line="245" w:lineRule="auto" w:before="60" w:after="60"/>
              <w:jc w:val="right"/>
            </w:pPr>
            <w:r>
              <w:rPr>
                <w:b w:val="0"/>
                <w:sz w:val="20"/>
              </w:rPr>
              <w:t>1.16 [-3.10, 4.46]</w:t>
            </w:r>
          </w:p>
        </w:tc>
        <w:tc>
          <w:tcPr>
            <w:tcW w:type="dxa" w:w="2160"/>
            <w:vAlign w:val="center"/>
          </w:tcPr>
          <w:p>
            <w:pPr>
              <w:keepNext w:val="0"/>
              <w:spacing w:line="245" w:lineRule="auto" w:before="60" w:after="60"/>
              <w:jc w:val="right"/>
            </w:pPr>
            <w:r>
              <w:rPr>
                <w:b w:val="0"/>
                <w:sz w:val="20"/>
              </w:rPr>
              <w:t>1.16 [-3.10, 4.46]</w:t>
            </w:r>
          </w:p>
        </w:tc>
        <w:tc>
          <w:tcPr>
            <w:tcW w:type="dxa" w:w="2160"/>
            <w:vAlign w:val="center"/>
          </w:tcPr>
          <w:p>
            <w:pPr>
              <w:keepNext w:val="0"/>
              <w:spacing w:line="245" w:lineRule="auto" w:before="60" w:after="60"/>
              <w:jc w:val="right"/>
            </w:pPr>
            <w:r>
              <w:rPr>
                <w:b w:val="0"/>
                <w:sz w:val="20"/>
              </w:rPr>
              <w:t>1.16 [-3.10, 4.46]</w:t>
            </w:r>
          </w:p>
        </w:tc>
      </w:tr>
      <w:tr>
        <w:trPr>
          <w:cantSplit/>
        </w:trPr>
        <w:tc>
          <w:tcPr>
            <w:tcW w:type="dxa" w:w="1008"/>
            <w:vAlign w:val="center"/>
          </w:tcPr>
          <w:p>
            <w:pPr>
              <w:keepNext w:val="0"/>
              <w:spacing w:line="245" w:lineRule="auto" w:before="60" w:after="60"/>
              <w:jc w:val="left"/>
            </w:pPr>
            <w:r>
              <w:rPr>
                <w:b w:val="0"/>
                <w:sz w:val="20"/>
              </w:rPr>
              <w:t>Pooled</w:t>
            </w:r>
          </w:p>
        </w:tc>
        <w:tc>
          <w:tcPr>
            <w:tcW w:type="dxa" w:w="1728"/>
            <w:vAlign w:val="center"/>
          </w:tcPr>
          <w:p>
            <w:pPr>
              <w:keepNext w:val="0"/>
              <w:spacing w:line="245" w:lineRule="auto" w:before="60" w:after="60"/>
              <w:jc w:val="right"/>
            </w:pPr>
            <w:r>
              <w:rPr>
                <w:b w:val="0"/>
                <w:sz w:val="20"/>
              </w:rPr>
              <w:t>1%</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0.00 [0.00, 0.00]</w:t>
            </w:r>
          </w:p>
        </w:tc>
        <w:tc>
          <w:tcPr>
            <w:tcW w:type="dxa" w:w="2160"/>
            <w:vAlign w:val="center"/>
          </w:tcPr>
          <w:p>
            <w:pPr>
              <w:keepNext w:val="0"/>
              <w:spacing w:line="245" w:lineRule="auto" w:before="60" w:after="60"/>
              <w:jc w:val="right"/>
            </w:pPr>
            <w:r>
              <w:rPr>
                <w:b w:val="0"/>
                <w:sz w:val="20"/>
              </w:rPr>
              <w:t>0.87 [-1.36, 3.97]</w:t>
            </w:r>
          </w:p>
        </w:tc>
      </w:tr>
      <w:tr>
        <w:trPr>
          <w:cantSplit/>
        </w:trPr>
        <w:tc>
          <w:tcPr>
            <w:tcW w:type="dxa" w:w="1008"/>
            <w:vAlign w:val="center"/>
          </w:tcPr>
          <w:p>
            <w:pPr>
              <w:keepNext w:val="0"/>
              <w:spacing w:line="245" w:lineRule="auto" w:before="60" w:after="60"/>
              <w:jc w:val="left"/>
            </w:pPr>
            <w:r>
              <w:rPr>
                <w:b w:val="0"/>
                <w:sz w:val="20"/>
              </w:rPr>
              <w:t>Pooled</w:t>
            </w:r>
          </w:p>
        </w:tc>
        <w:tc>
          <w:tcPr>
            <w:tcW w:type="dxa" w:w="1728"/>
            <w:vAlign w:val="center"/>
          </w:tcPr>
          <w:p>
            <w:pPr>
              <w:keepNext w:val="0"/>
              <w:spacing w:line="245" w:lineRule="auto" w:before="60" w:after="60"/>
              <w:jc w:val="right"/>
            </w:pPr>
            <w:r>
              <w:rPr>
                <w:b w:val="0"/>
                <w:sz w:val="20"/>
              </w:rPr>
              <w:t>5%</w:t>
            </w:r>
          </w:p>
        </w:tc>
        <w:tc>
          <w:tcPr>
            <w:tcW w:type="dxa" w:w="2160"/>
            <w:vAlign w:val="center"/>
          </w:tcPr>
          <w:p>
            <w:pPr>
              <w:keepNext w:val="0"/>
              <w:spacing w:line="245" w:lineRule="auto" w:before="60" w:after="60"/>
              <w:jc w:val="right"/>
            </w:pPr>
            <w:r>
              <w:rPr>
                <w:b w:val="0"/>
                <w:sz w:val="20"/>
              </w:rPr>
              <w:t>0.68 [-0.34, 1.65]</w:t>
            </w:r>
          </w:p>
        </w:tc>
        <w:tc>
          <w:tcPr>
            <w:tcW w:type="dxa" w:w="2160"/>
            <w:vAlign w:val="center"/>
          </w:tcPr>
          <w:p>
            <w:pPr>
              <w:keepNext w:val="0"/>
              <w:spacing w:line="245" w:lineRule="auto" w:before="60" w:after="60"/>
              <w:jc w:val="right"/>
            </w:pPr>
            <w:r>
              <w:rPr>
                <w:b w:val="0"/>
                <w:sz w:val="20"/>
              </w:rPr>
              <w:t>0.68 [-0.34, 1.65]</w:t>
            </w:r>
          </w:p>
        </w:tc>
        <w:tc>
          <w:tcPr>
            <w:tcW w:type="dxa" w:w="2160"/>
            <w:vAlign w:val="center"/>
          </w:tcPr>
          <w:p>
            <w:pPr>
              <w:keepNext w:val="0"/>
              <w:spacing w:line="245" w:lineRule="auto" w:before="60" w:after="60"/>
              <w:jc w:val="right"/>
            </w:pPr>
            <w:r>
              <w:rPr>
                <w:b w:val="0"/>
                <w:sz w:val="20"/>
              </w:rPr>
              <w:t>1.55 [-0.92, 5.04]</w:t>
            </w:r>
          </w:p>
        </w:tc>
      </w:tr>
      <w:tr>
        <w:trPr>
          <w:cantSplit/>
        </w:trPr>
        <w:tc>
          <w:tcPr>
            <w:tcW w:type="dxa" w:w="1008"/>
            <w:vAlign w:val="center"/>
          </w:tcPr>
          <w:p>
            <w:pPr>
              <w:keepNext w:val="0"/>
              <w:spacing w:line="245" w:lineRule="auto" w:before="60" w:after="60"/>
              <w:jc w:val="left"/>
            </w:pPr>
            <w:r>
              <w:rPr>
                <w:b w:val="0"/>
                <w:sz w:val="20"/>
              </w:rPr>
              <w:t>Pooled</w:t>
            </w:r>
          </w:p>
        </w:tc>
        <w:tc>
          <w:tcPr>
            <w:tcW w:type="dxa" w:w="1728"/>
            <w:vAlign w:val="center"/>
          </w:tcPr>
          <w:p>
            <w:pPr>
              <w:keepNext w:val="0"/>
              <w:spacing w:line="245" w:lineRule="auto" w:before="60" w:after="60"/>
              <w:jc w:val="right"/>
            </w:pPr>
            <w:r>
              <w:rPr>
                <w:b w:val="0"/>
                <w:sz w:val="20"/>
              </w:rPr>
              <w:t>10%</w:t>
            </w:r>
          </w:p>
        </w:tc>
        <w:tc>
          <w:tcPr>
            <w:tcW w:type="dxa" w:w="2160"/>
            <w:vAlign w:val="center"/>
          </w:tcPr>
          <w:p>
            <w:pPr>
              <w:keepNext w:val="0"/>
              <w:spacing w:line="245" w:lineRule="auto" w:before="60" w:after="60"/>
              <w:jc w:val="right"/>
            </w:pPr>
            <w:r>
              <w:rPr>
                <w:b w:val="0"/>
                <w:sz w:val="20"/>
              </w:rPr>
              <w:t>0.82 [-0.19, 1.84]</w:t>
            </w:r>
          </w:p>
        </w:tc>
        <w:tc>
          <w:tcPr>
            <w:tcW w:type="dxa" w:w="2160"/>
            <w:vAlign w:val="center"/>
          </w:tcPr>
          <w:p>
            <w:pPr>
              <w:keepNext w:val="0"/>
              <w:spacing w:line="245" w:lineRule="auto" w:before="60" w:after="60"/>
              <w:jc w:val="right"/>
            </w:pPr>
            <w:r>
              <w:rPr>
                <w:b w:val="0"/>
                <w:sz w:val="20"/>
              </w:rPr>
              <w:t>0.82 [-0.19, 1.84]</w:t>
            </w:r>
          </w:p>
        </w:tc>
        <w:tc>
          <w:tcPr>
            <w:tcW w:type="dxa" w:w="2160"/>
            <w:vAlign w:val="center"/>
          </w:tcPr>
          <w:p>
            <w:pPr>
              <w:keepNext w:val="0"/>
              <w:spacing w:line="245" w:lineRule="auto" w:before="60" w:after="60"/>
              <w:jc w:val="right"/>
            </w:pPr>
            <w:r>
              <w:rPr>
                <w:b w:val="0"/>
                <w:sz w:val="20"/>
              </w:rPr>
              <w:t>1.70 [-0.82, 5.19]</w:t>
            </w:r>
          </w:p>
        </w:tc>
      </w:tr>
      <w:tr>
        <w:trPr>
          <w:cantSplit/>
        </w:trPr>
        <w:tc>
          <w:tcPr>
            <w:tcW w:type="dxa" w:w="1008"/>
            <w:vAlign w:val="center"/>
          </w:tcPr>
          <w:p>
            <w:pPr>
              <w:keepNext w:val="0"/>
              <w:spacing w:line="245" w:lineRule="auto" w:before="60" w:after="60"/>
              <w:jc w:val="left"/>
            </w:pPr>
            <w:r>
              <w:rPr>
                <w:b w:val="0"/>
                <w:sz w:val="20"/>
              </w:rPr>
              <w:t>Pooled</w:t>
            </w:r>
          </w:p>
        </w:tc>
        <w:tc>
          <w:tcPr>
            <w:tcW w:type="dxa" w:w="1728"/>
            <w:vAlign w:val="center"/>
          </w:tcPr>
          <w:p>
            <w:pPr>
              <w:keepNext w:val="0"/>
              <w:spacing w:line="245" w:lineRule="auto" w:before="60" w:after="60"/>
              <w:jc w:val="right"/>
            </w:pPr>
            <w:r>
              <w:rPr>
                <w:b w:val="0"/>
                <w:sz w:val="20"/>
              </w:rPr>
              <w:t>20%</w:t>
            </w:r>
          </w:p>
        </w:tc>
        <w:tc>
          <w:tcPr>
            <w:tcW w:type="dxa" w:w="2160"/>
            <w:vAlign w:val="center"/>
          </w:tcPr>
          <w:p>
            <w:pPr>
              <w:keepNext w:val="0"/>
              <w:spacing w:line="245" w:lineRule="auto" w:before="60" w:after="60"/>
              <w:jc w:val="right"/>
            </w:pPr>
            <w:r>
              <w:rPr>
                <w:b w:val="0"/>
                <w:sz w:val="20"/>
              </w:rPr>
              <w:t>0.58 [-1.02, 1.89]</w:t>
            </w:r>
          </w:p>
        </w:tc>
        <w:tc>
          <w:tcPr>
            <w:tcW w:type="dxa" w:w="2160"/>
            <w:vAlign w:val="center"/>
          </w:tcPr>
          <w:p>
            <w:pPr>
              <w:keepNext w:val="0"/>
              <w:spacing w:line="245" w:lineRule="auto" w:before="60" w:after="60"/>
              <w:jc w:val="right"/>
            </w:pPr>
            <w:r>
              <w:rPr>
                <w:b w:val="0"/>
                <w:sz w:val="20"/>
              </w:rPr>
              <w:t>0.58 [-1.02, 1.89]</w:t>
            </w:r>
          </w:p>
        </w:tc>
        <w:tc>
          <w:tcPr>
            <w:tcW w:type="dxa" w:w="2160"/>
            <w:vAlign w:val="center"/>
          </w:tcPr>
          <w:p>
            <w:pPr>
              <w:keepNext w:val="0"/>
              <w:spacing w:line="245" w:lineRule="auto" w:before="60" w:after="60"/>
              <w:jc w:val="right"/>
            </w:pPr>
            <w:r>
              <w:rPr>
                <w:b w:val="0"/>
                <w:sz w:val="20"/>
              </w:rPr>
              <w:t>1.45 [-0.83, 4.65]</w:t>
            </w:r>
          </w:p>
        </w:tc>
      </w:tr>
    </w:tbl>
    <w:p>
      <w:pPr>
        <w:spacing w:after="20"/>
      </w:pPr>
    </w:p>
    <w:p>
      <w:r>
        <w:t>All nondegenerate pooled C-minus-grade contrasts at the displayed cost include zero; identical decisions give exact zero contrasts. These C comparisons do not establish additional ML loss value over the direct grade rules. They also do not prove equivalence: the intervals retain both loss improvement and loss increase. The appendix retains A/B/C for every planned cost and budget, including per-block and pooled detections, workload, excess and paired contrasts. The direct rules differ from the jointly fitted ratings-only models in Table 5.</w:t>
      </w:r>
    </w:p>
    <w:p>
      <w:r>
        <w:t>The selection mechanism changes the comparison. For cost-only B at r=10, pooled ML-minus-grade loss is -4.41 [-7.03, -0.97] for each grade field, with all three intervals below zero. In contrast, B-minus-no-alarm is 1.41 [-9.26, 11.05]. The three grade B rules make exactly the same row-level decisions: every record in block 1 is flagged and no record is flagged in blocks 2-4. Each gives 36 detections, 480 false alerts and 516 alerts; XGBoost gives 35, 379 and 414 respectively. The lower assumed loss therefore reflects 101 fewer false alerts at the cost of 1 fewer detection. These are three comparisons with the same final rule, not three distinct empirical confirmations. Lower loss than that rule does not establish lower loss than no alarms. These exploratory, unadjusted results are retained without selecting a new preferred workflow.</w:t>
      </w:r>
    </w:p>
    <w:p>
      <w:pPr>
        <w:pStyle w:val="Heading1"/>
      </w:pPr>
      <w:r>
        <w:t>5.3 Historical selection explains capacity and no-alarm outcomes</w:t>
      </w:r>
    </w:p>
    <w:p>
      <w:pPr>
        <w:pStyle w:val="Caption"/>
        <w:keepNext/>
      </w:pPr>
      <w:r>
        <w:t>Table 10. Fixed-XGBoost capacity excess and historical reasons for C no-alarm selection.</w:t>
      </w:r>
    </w:p>
    <w:tbl>
      <w:tblPr>
        <w:tblStyle w:val="TableGrid"/>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1921"/>
            <w:vAlign w:val="center"/>
            <w:shd w:fill="EDEFF1"/>
          </w:tcPr>
          <w:p>
            <w:pPr>
              <w:keepNext/>
              <w:spacing w:line="245" w:lineRule="auto" w:before="60" w:after="60"/>
              <w:jc w:val="center"/>
            </w:pPr>
            <w:r>
              <w:rPr>
                <w:b/>
                <w:sz w:val="20"/>
              </w:rPr>
              <w:t>Record block</w:t>
            </w:r>
          </w:p>
        </w:tc>
        <w:tc>
          <w:tcPr>
            <w:tcW w:type="dxa" w:w="1921"/>
            <w:vAlign w:val="center"/>
            <w:shd w:fill="EDEFF1"/>
          </w:tcPr>
          <w:p>
            <w:pPr>
              <w:keepNext/>
              <w:spacing w:line="245" w:lineRule="auto" w:before="60" w:after="60"/>
              <w:jc w:val="center"/>
            </w:pPr>
            <w:r>
              <w:rPr>
                <w:b/>
                <w:sz w:val="20"/>
              </w:rPr>
              <w:t>A excess settings</w:t>
            </w:r>
          </w:p>
        </w:tc>
        <w:tc>
          <w:tcPr>
            <w:tcW w:type="dxa" w:w="1921"/>
            <w:vAlign w:val="center"/>
            <w:shd w:fill="EDEFF1"/>
          </w:tcPr>
          <w:p>
            <w:pPr>
              <w:keepNext/>
              <w:spacing w:line="245" w:lineRule="auto" w:before="60" w:after="60"/>
              <w:jc w:val="center"/>
            </w:pPr>
            <w:r>
              <w:rPr>
                <w:b/>
                <w:sz w:val="20"/>
              </w:rPr>
              <w:t>C excess settings</w:t>
            </w:r>
          </w:p>
        </w:tc>
        <w:tc>
          <w:tcPr>
            <w:tcW w:type="dxa" w:w="1921"/>
            <w:vAlign w:val="center"/>
            <w:shd w:fill="EDEFF1"/>
          </w:tcPr>
          <w:p>
            <w:pPr>
              <w:keepNext/>
              <w:spacing w:line="245" w:lineRule="auto" w:before="60" w:after="60"/>
              <w:jc w:val="center"/>
            </w:pPr>
            <w:r>
              <w:rPr>
                <w:b/>
                <w:sz w:val="20"/>
              </w:rPr>
              <w:t>Cost selects none</w:t>
            </w:r>
          </w:p>
        </w:tc>
        <w:tc>
          <w:tcPr>
            <w:tcW w:type="dxa" w:w="1921"/>
            <w:vAlign w:val="center"/>
            <w:shd w:fill="EDEFF1"/>
          </w:tcPr>
          <w:p>
            <w:pPr>
              <w:keepNext/>
              <w:spacing w:line="245" w:lineRule="auto" w:before="60" w:after="60"/>
              <w:jc w:val="center"/>
            </w:pPr>
            <w:r>
              <w:rPr>
                <w:b/>
                <w:sz w:val="20"/>
              </w:rPr>
              <w:t>Capacity changes to none</w:t>
            </w:r>
          </w:p>
        </w:tc>
      </w:tr>
      <w:tr>
        <w:trPr>
          <w:cantSplit/>
        </w:trPr>
        <w:tc>
          <w:tcPr>
            <w:tcW w:type="dxa" w:w="1921"/>
            <w:vAlign w:val="center"/>
          </w:tcPr>
          <w:p>
            <w:pPr>
              <w:keepNext/>
              <w:spacing w:line="245" w:lineRule="auto" w:before="60" w:after="60"/>
              <w:jc w:val="left"/>
            </w:pPr>
            <w:r>
              <w:rPr>
                <w:b w:val="0"/>
                <w:sz w:val="20"/>
              </w:rPr>
              <w:t>1</w:t>
            </w:r>
          </w:p>
        </w:tc>
        <w:tc>
          <w:tcPr>
            <w:tcW w:type="dxa" w:w="1921"/>
            <w:vAlign w:val="center"/>
          </w:tcPr>
          <w:p>
            <w:pPr>
              <w:keepNext/>
              <w:spacing w:line="245" w:lineRule="auto" w:before="60" w:after="60"/>
              <w:jc w:val="right"/>
            </w:pPr>
            <w:r>
              <w:rPr>
                <w:b w:val="0"/>
                <w:sz w:val="20"/>
              </w:rPr>
              <w:t>1/4</w:t>
            </w:r>
          </w:p>
        </w:tc>
        <w:tc>
          <w:tcPr>
            <w:tcW w:type="dxa" w:w="1921"/>
            <w:vAlign w:val="center"/>
          </w:tcPr>
          <w:p>
            <w:pPr>
              <w:keepNext/>
              <w:spacing w:line="245" w:lineRule="auto" w:before="60" w:after="60"/>
              <w:jc w:val="right"/>
            </w:pPr>
            <w:r>
              <w:rPr>
                <w:b w:val="0"/>
                <w:sz w:val="20"/>
              </w:rPr>
              <w:t>0/16</w:t>
            </w:r>
          </w:p>
        </w:tc>
        <w:tc>
          <w:tcPr>
            <w:tcW w:type="dxa" w:w="1921"/>
            <w:vAlign w:val="center"/>
          </w:tcPr>
          <w:p>
            <w:pPr>
              <w:keepNext/>
              <w:spacing w:line="245" w:lineRule="auto" w:before="60" w:after="60"/>
              <w:jc w:val="right"/>
            </w:pPr>
            <w:r>
              <w:rPr>
                <w:b w:val="0"/>
                <w:sz w:val="20"/>
              </w:rPr>
              <w:t>0</w:t>
            </w:r>
          </w:p>
        </w:tc>
        <w:tc>
          <w:tcPr>
            <w:tcW w:type="dxa" w:w="1921"/>
            <w:vAlign w:val="center"/>
          </w:tcPr>
          <w:p>
            <w:pPr>
              <w:keepNext/>
              <w:spacing w:line="245" w:lineRule="auto" w:before="60" w:after="60"/>
              <w:jc w:val="right"/>
            </w:pPr>
            <w:r>
              <w:rPr>
                <w:b w:val="0"/>
                <w:sz w:val="20"/>
              </w:rPr>
              <w:t>4</w:t>
            </w:r>
          </w:p>
        </w:tc>
      </w:tr>
      <w:tr>
        <w:trPr>
          <w:cantSplit/>
        </w:trPr>
        <w:tc>
          <w:tcPr>
            <w:tcW w:type="dxa" w:w="1921"/>
            <w:vAlign w:val="center"/>
          </w:tcPr>
          <w:p>
            <w:pPr>
              <w:keepNext/>
              <w:spacing w:line="245" w:lineRule="auto" w:before="60" w:after="60"/>
              <w:jc w:val="left"/>
            </w:pPr>
            <w:r>
              <w:rPr>
                <w:b w:val="0"/>
                <w:sz w:val="20"/>
              </w:rPr>
              <w:t>2</w:t>
            </w:r>
          </w:p>
        </w:tc>
        <w:tc>
          <w:tcPr>
            <w:tcW w:type="dxa" w:w="1921"/>
            <w:vAlign w:val="center"/>
          </w:tcPr>
          <w:p>
            <w:pPr>
              <w:keepNext/>
              <w:spacing w:line="245" w:lineRule="auto" w:before="60" w:after="60"/>
              <w:jc w:val="right"/>
            </w:pPr>
            <w:r>
              <w:rPr>
                <w:b w:val="0"/>
                <w:sz w:val="20"/>
              </w:rPr>
              <w:t>4/4</w:t>
            </w:r>
          </w:p>
        </w:tc>
        <w:tc>
          <w:tcPr>
            <w:tcW w:type="dxa" w:w="1921"/>
            <w:vAlign w:val="center"/>
          </w:tcPr>
          <w:p>
            <w:pPr>
              <w:keepNext/>
              <w:spacing w:line="245" w:lineRule="auto" w:before="60" w:after="60"/>
              <w:jc w:val="right"/>
            </w:pPr>
            <w:r>
              <w:rPr>
                <w:b w:val="0"/>
                <w:sz w:val="20"/>
              </w:rPr>
              <w:t>0/16</w:t>
            </w:r>
          </w:p>
        </w:tc>
        <w:tc>
          <w:tcPr>
            <w:tcW w:type="dxa" w:w="1921"/>
            <w:vAlign w:val="center"/>
          </w:tcPr>
          <w:p>
            <w:pPr>
              <w:keepNext/>
              <w:spacing w:line="245" w:lineRule="auto" w:before="60" w:after="60"/>
              <w:jc w:val="right"/>
            </w:pPr>
            <w:r>
              <w:rPr>
                <w:b w:val="0"/>
                <w:sz w:val="20"/>
              </w:rPr>
              <w:t>16</w:t>
            </w:r>
          </w:p>
        </w:tc>
        <w:tc>
          <w:tcPr>
            <w:tcW w:type="dxa" w:w="1921"/>
            <w:vAlign w:val="center"/>
          </w:tcPr>
          <w:p>
            <w:pPr>
              <w:keepNext/>
              <w:spacing w:line="245" w:lineRule="auto" w:before="60" w:after="60"/>
              <w:jc w:val="right"/>
            </w:pPr>
            <w:r>
              <w:rPr>
                <w:b w:val="0"/>
                <w:sz w:val="20"/>
              </w:rPr>
              <w:t>0</w:t>
            </w:r>
          </w:p>
        </w:tc>
      </w:tr>
      <w:tr>
        <w:trPr>
          <w:cantSplit/>
        </w:trPr>
        <w:tc>
          <w:tcPr>
            <w:tcW w:type="dxa" w:w="1921"/>
            <w:vAlign w:val="center"/>
          </w:tcPr>
          <w:p>
            <w:pPr>
              <w:keepNext/>
              <w:spacing w:line="245" w:lineRule="auto" w:before="60" w:after="60"/>
              <w:jc w:val="left"/>
            </w:pPr>
            <w:r>
              <w:rPr>
                <w:b w:val="0"/>
                <w:sz w:val="20"/>
              </w:rPr>
              <w:t>3</w:t>
            </w:r>
          </w:p>
        </w:tc>
        <w:tc>
          <w:tcPr>
            <w:tcW w:type="dxa" w:w="1921"/>
            <w:vAlign w:val="center"/>
          </w:tcPr>
          <w:p>
            <w:pPr>
              <w:keepNext/>
              <w:spacing w:line="245" w:lineRule="auto" w:before="60" w:after="60"/>
              <w:jc w:val="right"/>
            </w:pPr>
            <w:r>
              <w:rPr>
                <w:b w:val="0"/>
                <w:sz w:val="20"/>
              </w:rPr>
              <w:t>4/4</w:t>
            </w:r>
          </w:p>
        </w:tc>
        <w:tc>
          <w:tcPr>
            <w:tcW w:type="dxa" w:w="1921"/>
            <w:vAlign w:val="center"/>
          </w:tcPr>
          <w:p>
            <w:pPr>
              <w:keepNext/>
              <w:spacing w:line="245" w:lineRule="auto" w:before="60" w:after="60"/>
              <w:jc w:val="right"/>
            </w:pPr>
            <w:r>
              <w:rPr>
                <w:b w:val="0"/>
                <w:sz w:val="20"/>
              </w:rPr>
              <w:t>0/16</w:t>
            </w:r>
          </w:p>
        </w:tc>
        <w:tc>
          <w:tcPr>
            <w:tcW w:type="dxa" w:w="1921"/>
            <w:vAlign w:val="center"/>
          </w:tcPr>
          <w:p>
            <w:pPr>
              <w:keepNext/>
              <w:spacing w:line="245" w:lineRule="auto" w:before="60" w:after="60"/>
              <w:jc w:val="right"/>
            </w:pPr>
            <w:r>
              <w:rPr>
                <w:b w:val="0"/>
                <w:sz w:val="20"/>
              </w:rPr>
              <w:t>12</w:t>
            </w:r>
          </w:p>
        </w:tc>
        <w:tc>
          <w:tcPr>
            <w:tcW w:type="dxa" w:w="1921"/>
            <w:vAlign w:val="center"/>
          </w:tcPr>
          <w:p>
            <w:pPr>
              <w:keepNext/>
              <w:spacing w:line="245" w:lineRule="auto" w:before="60" w:after="60"/>
              <w:jc w:val="right"/>
            </w:pPr>
            <w:r>
              <w:rPr>
                <w:b w:val="0"/>
                <w:sz w:val="20"/>
              </w:rPr>
              <w:t>4</w:t>
            </w:r>
          </w:p>
        </w:tc>
      </w:tr>
      <w:tr>
        <w:trPr>
          <w:cantSplit/>
        </w:trPr>
        <w:tc>
          <w:tcPr>
            <w:tcW w:type="dxa" w:w="1921"/>
            <w:vAlign w:val="center"/>
          </w:tcPr>
          <w:p>
            <w:pPr>
              <w:keepNext w:val="0"/>
              <w:spacing w:line="245" w:lineRule="auto" w:before="60" w:after="60"/>
              <w:jc w:val="left"/>
            </w:pPr>
            <w:r>
              <w:rPr>
                <w:b w:val="0"/>
                <w:sz w:val="20"/>
              </w:rPr>
              <w:t>4</w:t>
            </w:r>
          </w:p>
        </w:tc>
        <w:tc>
          <w:tcPr>
            <w:tcW w:type="dxa" w:w="1921"/>
            <w:vAlign w:val="center"/>
          </w:tcPr>
          <w:p>
            <w:pPr>
              <w:keepNext w:val="0"/>
              <w:spacing w:line="245" w:lineRule="auto" w:before="60" w:after="60"/>
              <w:jc w:val="right"/>
            </w:pPr>
            <w:r>
              <w:rPr>
                <w:b w:val="0"/>
                <w:sz w:val="20"/>
              </w:rPr>
              <w:t>4/4</w:t>
            </w:r>
          </w:p>
        </w:tc>
        <w:tc>
          <w:tcPr>
            <w:tcW w:type="dxa" w:w="1921"/>
            <w:vAlign w:val="center"/>
          </w:tcPr>
          <w:p>
            <w:pPr>
              <w:keepNext w:val="0"/>
              <w:spacing w:line="245" w:lineRule="auto" w:before="60" w:after="60"/>
              <w:jc w:val="right"/>
            </w:pPr>
            <w:r>
              <w:rPr>
                <w:b w:val="0"/>
                <w:sz w:val="20"/>
              </w:rPr>
              <w:t>2/16</w:t>
            </w:r>
          </w:p>
        </w:tc>
        <w:tc>
          <w:tcPr>
            <w:tcW w:type="dxa" w:w="1921"/>
            <w:vAlign w:val="center"/>
          </w:tcPr>
          <w:p>
            <w:pPr>
              <w:keepNext w:val="0"/>
              <w:spacing w:line="245" w:lineRule="auto" w:before="60" w:after="60"/>
              <w:jc w:val="right"/>
            </w:pPr>
            <w:r>
              <w:rPr>
                <w:b w:val="0"/>
                <w:sz w:val="20"/>
              </w:rPr>
              <w:t>0</w:t>
            </w:r>
          </w:p>
        </w:tc>
        <w:tc>
          <w:tcPr>
            <w:tcW w:type="dxa" w:w="1921"/>
            <w:vAlign w:val="center"/>
          </w:tcPr>
          <w:p>
            <w:pPr>
              <w:keepNext w:val="0"/>
              <w:spacing w:line="245" w:lineRule="auto" w:before="60" w:after="60"/>
              <w:jc w:val="right"/>
            </w:pPr>
            <w:r>
              <w:rPr>
                <w:b w:val="0"/>
                <w:sz w:val="20"/>
              </w:rPr>
              <w:t>4</w:t>
            </w:r>
          </w:p>
        </w:tc>
      </w:tr>
    </w:tbl>
    <w:p>
      <w:pPr>
        <w:spacing w:after="20"/>
      </w:pPr>
    </w:p>
    <w:p>
      <w:r>
        <w:t>All reference areas contain positive labels, yet 40 of the 64 C settings select no alarms. Of these, 28 follow unconstrained cost optima and 12 follow changes induced by the historical capacity restriction. These classifications use reference decisions, not test performance. A small reference advantage over another feasible alarm set describes a weak selection margin; it does not by itself establish unstable thresholds.</w:t>
      </w:r>
    </w:p>
    <w:p>
      <w:r>
        <w:t>The budget rule exceeds later capacity in 13/16 block-budget settings and C in 2/64 block-budget-cost settings. The settings are dependent and use different denominators. In record block 2, A at a 20% budget produces 254 alerts, with 151 above its 103 later slots. The reference budget had been feasible. Different reference/test prevalences, including only one positive among 207 reference records in record block 2, provide context but do not identify prevalence shift as the sole cause; class-conditional scores can also change. Batch Top-k enforces capacity within the complete observed score batch and remains a retrospective ranking reference, not a real-time rule or performance bound.</w:t>
      </w:r>
    </w:p>
    <w:p>
      <w:r>
        <w:t>On the reference area, C cannot have lower optimized loss than B because its candidate set is a subset. That ordering need not survive transfer. Whole-tie rules and fixed numerical cutoffs explain how historical feasibility can coexist with both later underuse and excess demand.</w:t>
      </w:r>
    </w:p>
    <w:p>
      <w:pPr>
        <w:pStyle w:val="Heading1"/>
      </w:pPr>
      <w:r>
        <w:t>5.4 Model updating at a frozen numerical cutoff</w:t>
      </w:r>
    </w:p>
    <w:p>
      <w:pPr>
        <w:pStyle w:val="Caption"/>
        <w:keepNext/>
      </w:pPr>
      <w:r>
        <w:t>Table 11. XGBoost refitted-minus-fixed changes. Finite groups are defined by historical selection.</w:t>
      </w:r>
    </w:p>
    <w:tbl>
      <w:tblPr>
        <w:tblStyle w:val="TableGrid"/>
        <w:tblW w:type="auto" w:w="0"/>
        <w:jc w:val="center"/>
        <w:tblLook w:firstColumn="1" w:firstRow="1" w:lastColumn="0" w:lastRow="0" w:noHBand="0" w:noVBand="1" w:val="04A0"/>
      </w:tblPr>
      <w:tblGrid>
        <w:gridCol w:w="1601"/>
        <w:gridCol w:w="1601"/>
        <w:gridCol w:w="1601"/>
        <w:gridCol w:w="1601"/>
        <w:gridCol w:w="1601"/>
        <w:gridCol w:w="1601"/>
      </w:tblGrid>
      <w:tr>
        <w:trPr>
          <w:cantSplit/>
          <w:tblHeader/>
        </w:trPr>
        <w:tc>
          <w:tcPr>
            <w:tcW w:type="dxa" w:w="1601"/>
            <w:vAlign w:val="center"/>
            <w:shd w:fill="EDEFF1"/>
          </w:tcPr>
          <w:p>
            <w:pPr>
              <w:keepNext/>
              <w:spacing w:line="245" w:lineRule="auto" w:before="60" w:after="60"/>
              <w:jc w:val="center"/>
            </w:pPr>
            <w:r>
              <w:rPr>
                <w:b/>
                <w:sz w:val="20"/>
              </w:rPr>
              <w:t>Rule</w:t>
            </w:r>
          </w:p>
        </w:tc>
        <w:tc>
          <w:tcPr>
            <w:tcW w:type="dxa" w:w="1601"/>
            <w:vAlign w:val="center"/>
            <w:shd w:fill="EDEFF1"/>
          </w:tcPr>
          <w:p>
            <w:pPr>
              <w:keepNext/>
              <w:spacing w:line="245" w:lineRule="auto" w:before="60" w:after="60"/>
              <w:jc w:val="center"/>
            </w:pPr>
            <w:r>
              <w:rPr>
                <w:b/>
                <w:sz w:val="20"/>
              </w:rPr>
              <w:t>Finite</w:t>
            </w:r>
          </w:p>
        </w:tc>
        <w:tc>
          <w:tcPr>
            <w:tcW w:type="dxa" w:w="1601"/>
            <w:vAlign w:val="center"/>
            <w:shd w:fill="EDEFF1"/>
          </w:tcPr>
          <w:p>
            <w:pPr>
              <w:keepNext/>
              <w:spacing w:line="245" w:lineRule="auto" w:before="60" w:after="60"/>
              <w:jc w:val="center"/>
            </w:pPr>
            <w:r>
              <w:rPr>
                <w:b/>
                <w:sz w:val="20"/>
              </w:rPr>
              <w:t>No alarm</w:t>
            </w:r>
          </w:p>
        </w:tc>
        <w:tc>
          <w:tcPr>
            <w:tcW w:type="dxa" w:w="1601"/>
            <w:vAlign w:val="center"/>
            <w:shd w:fill="EDEFF1"/>
          </w:tcPr>
          <w:p>
            <w:pPr>
              <w:keepNext/>
              <w:spacing w:line="245" w:lineRule="auto" w:before="60" w:after="60"/>
              <w:jc w:val="center"/>
            </w:pPr>
            <w:r>
              <w:rPr>
                <w:b/>
                <w:sz w:val="20"/>
              </w:rPr>
              <w:t>All alarm</w:t>
            </w:r>
          </w:p>
        </w:tc>
        <w:tc>
          <w:tcPr>
            <w:tcW w:type="dxa" w:w="1601"/>
            <w:vAlign w:val="center"/>
            <w:shd w:fill="EDEFF1"/>
          </w:tcPr>
          <w:p>
            <w:pPr>
              <w:keepNext/>
              <w:spacing w:line="245" w:lineRule="auto" w:before="60" w:after="60"/>
              <w:jc w:val="center"/>
            </w:pPr>
            <w:r>
              <w:rPr>
                <w:b/>
                <w:sz w:val="20"/>
              </w:rPr>
              <w:t>Finite Delta L100</w:t>
            </w:r>
          </w:p>
        </w:tc>
        <w:tc>
          <w:tcPr>
            <w:tcW w:type="dxa" w:w="1601"/>
            <w:vAlign w:val="center"/>
            <w:shd w:fill="EDEFF1"/>
          </w:tcPr>
          <w:p>
            <w:pPr>
              <w:keepNext/>
              <w:spacing w:line="245" w:lineRule="auto" w:before="60" w:after="60"/>
              <w:jc w:val="center"/>
            </w:pPr>
            <w:r>
              <w:rPr>
                <w:b/>
                <w:sz w:val="20"/>
              </w:rPr>
              <w:t>Finite Delta alerts</w:t>
            </w:r>
          </w:p>
        </w:tc>
      </w:tr>
      <w:tr>
        <w:trPr>
          <w:cantSplit/>
        </w:trPr>
        <w:tc>
          <w:tcPr>
            <w:tcW w:type="dxa" w:w="1601"/>
            <w:vAlign w:val="center"/>
          </w:tcPr>
          <w:p>
            <w:pPr>
              <w:keepNext/>
              <w:spacing w:line="245" w:lineRule="auto" w:before="60" w:after="60"/>
              <w:jc w:val="left"/>
            </w:pPr>
            <w:r>
              <w:rPr>
                <w:b w:val="0"/>
                <w:sz w:val="20"/>
              </w:rPr>
              <w:t>A</w:t>
            </w:r>
          </w:p>
        </w:tc>
        <w:tc>
          <w:tcPr>
            <w:tcW w:type="dxa" w:w="1601"/>
            <w:vAlign w:val="center"/>
          </w:tcPr>
          <w:p>
            <w:pPr>
              <w:keepNext/>
              <w:spacing w:line="245" w:lineRule="auto" w:before="60" w:after="60"/>
              <w:jc w:val="right"/>
            </w:pPr>
            <w:r>
              <w:rPr>
                <w:b w:val="0"/>
                <w:sz w:val="20"/>
              </w:rPr>
              <w:t>16</w:t>
            </w:r>
          </w:p>
        </w:tc>
        <w:tc>
          <w:tcPr>
            <w:tcW w:type="dxa" w:w="1601"/>
            <w:vAlign w:val="center"/>
          </w:tcPr>
          <w:p>
            <w:pPr>
              <w:keepNext/>
              <w:spacing w:line="245" w:lineRule="auto" w:before="60" w:after="60"/>
              <w:jc w:val="right"/>
            </w:pPr>
            <w:r>
              <w:rPr>
                <w:b w:val="0"/>
                <w:sz w:val="20"/>
              </w:rPr>
              <w:t>0</w:t>
            </w:r>
          </w:p>
        </w:tc>
        <w:tc>
          <w:tcPr>
            <w:tcW w:type="dxa" w:w="1601"/>
            <w:vAlign w:val="center"/>
          </w:tcPr>
          <w:p>
            <w:pPr>
              <w:keepNext/>
              <w:spacing w:line="245" w:lineRule="auto" w:before="60" w:after="60"/>
              <w:jc w:val="right"/>
            </w:pPr>
            <w:r>
              <w:rPr>
                <w:b w:val="0"/>
                <w:sz w:val="20"/>
              </w:rPr>
              <w:t>0</w:t>
            </w:r>
          </w:p>
        </w:tc>
        <w:tc>
          <w:tcPr>
            <w:tcW w:type="dxa" w:w="1601"/>
            <w:vAlign w:val="center"/>
          </w:tcPr>
          <w:p>
            <w:pPr>
              <w:keepNext/>
              <w:spacing w:line="245" w:lineRule="auto" w:before="60" w:after="60"/>
              <w:jc w:val="right"/>
            </w:pPr>
            <w:r>
              <w:rPr>
                <w:b w:val="0"/>
                <w:sz w:val="20"/>
              </w:rPr>
              <w:t>-18.83 to 18.22</w:t>
            </w:r>
          </w:p>
        </w:tc>
        <w:tc>
          <w:tcPr>
            <w:tcW w:type="dxa" w:w="1601"/>
            <w:vAlign w:val="center"/>
          </w:tcPr>
          <w:p>
            <w:pPr>
              <w:keepNext/>
              <w:spacing w:line="245" w:lineRule="auto" w:before="60" w:after="60"/>
              <w:jc w:val="right"/>
            </w:pPr>
            <w:r>
              <w:rPr>
                <w:b w:val="0"/>
                <w:sz w:val="20"/>
              </w:rPr>
              <w:t>-97 to 82</w:t>
            </w:r>
          </w:p>
        </w:tc>
      </w:tr>
      <w:tr>
        <w:trPr>
          <w:cantSplit/>
        </w:trPr>
        <w:tc>
          <w:tcPr>
            <w:tcW w:type="dxa" w:w="1601"/>
            <w:vAlign w:val="center"/>
          </w:tcPr>
          <w:p>
            <w:pPr>
              <w:keepNext/>
              <w:spacing w:line="245" w:lineRule="auto" w:before="60" w:after="60"/>
              <w:jc w:val="left"/>
            </w:pPr>
            <w:r>
              <w:rPr>
                <w:b w:val="0"/>
                <w:sz w:val="20"/>
              </w:rPr>
              <w:t>B</w:t>
            </w:r>
          </w:p>
        </w:tc>
        <w:tc>
          <w:tcPr>
            <w:tcW w:type="dxa" w:w="1601"/>
            <w:vAlign w:val="center"/>
          </w:tcPr>
          <w:p>
            <w:pPr>
              <w:keepNext/>
              <w:spacing w:line="245" w:lineRule="auto" w:before="60" w:after="60"/>
              <w:jc w:val="right"/>
            </w:pPr>
            <w:r>
              <w:rPr>
                <w:b w:val="0"/>
                <w:sz w:val="20"/>
              </w:rPr>
              <w:t>9</w:t>
            </w:r>
          </w:p>
        </w:tc>
        <w:tc>
          <w:tcPr>
            <w:tcW w:type="dxa" w:w="1601"/>
            <w:vAlign w:val="center"/>
          </w:tcPr>
          <w:p>
            <w:pPr>
              <w:keepNext/>
              <w:spacing w:line="245" w:lineRule="auto" w:before="60" w:after="60"/>
              <w:jc w:val="right"/>
            </w:pPr>
            <w:r>
              <w:rPr>
                <w:b w:val="0"/>
                <w:sz w:val="20"/>
              </w:rPr>
              <w:t>7</w:t>
            </w:r>
          </w:p>
        </w:tc>
        <w:tc>
          <w:tcPr>
            <w:tcW w:type="dxa" w:w="1601"/>
            <w:vAlign w:val="center"/>
          </w:tcPr>
          <w:p>
            <w:pPr>
              <w:keepNext/>
              <w:spacing w:line="245" w:lineRule="auto" w:before="60" w:after="60"/>
              <w:jc w:val="right"/>
            </w:pPr>
            <w:r>
              <w:rPr>
                <w:b w:val="0"/>
                <w:sz w:val="20"/>
              </w:rPr>
              <w:t>0</w:t>
            </w:r>
          </w:p>
        </w:tc>
        <w:tc>
          <w:tcPr>
            <w:tcW w:type="dxa" w:w="1601"/>
            <w:vAlign w:val="center"/>
          </w:tcPr>
          <w:p>
            <w:pPr>
              <w:keepNext/>
              <w:spacing w:line="245" w:lineRule="auto" w:before="60" w:after="60"/>
              <w:jc w:val="right"/>
            </w:pPr>
            <w:r>
              <w:rPr>
                <w:b w:val="0"/>
                <w:sz w:val="20"/>
              </w:rPr>
              <w:t>-17.64 to 18.80</w:t>
            </w:r>
          </w:p>
        </w:tc>
        <w:tc>
          <w:tcPr>
            <w:tcW w:type="dxa" w:w="1601"/>
            <w:vAlign w:val="center"/>
          </w:tcPr>
          <w:p>
            <w:pPr>
              <w:keepNext/>
              <w:spacing w:line="245" w:lineRule="auto" w:before="60" w:after="60"/>
              <w:jc w:val="right"/>
            </w:pPr>
            <w:r>
              <w:rPr>
                <w:b w:val="0"/>
                <w:sz w:val="20"/>
              </w:rPr>
              <w:t>-25 to 119</w:t>
            </w:r>
          </w:p>
        </w:tc>
      </w:tr>
      <w:tr>
        <w:trPr>
          <w:cantSplit/>
        </w:trPr>
        <w:tc>
          <w:tcPr>
            <w:tcW w:type="dxa" w:w="1601"/>
            <w:vAlign w:val="center"/>
          </w:tcPr>
          <w:p>
            <w:pPr>
              <w:keepNext w:val="0"/>
              <w:spacing w:line="245" w:lineRule="auto" w:before="60" w:after="60"/>
              <w:jc w:val="left"/>
            </w:pPr>
            <w:r>
              <w:rPr>
                <w:b w:val="0"/>
                <w:sz w:val="20"/>
              </w:rPr>
              <w:t>C</w:t>
            </w:r>
          </w:p>
        </w:tc>
        <w:tc>
          <w:tcPr>
            <w:tcW w:type="dxa" w:w="1601"/>
            <w:vAlign w:val="center"/>
          </w:tcPr>
          <w:p>
            <w:pPr>
              <w:keepNext w:val="0"/>
              <w:spacing w:line="245" w:lineRule="auto" w:before="60" w:after="60"/>
              <w:jc w:val="right"/>
            </w:pPr>
            <w:r>
              <w:rPr>
                <w:b w:val="0"/>
                <w:sz w:val="20"/>
              </w:rPr>
              <w:t>24</w:t>
            </w:r>
          </w:p>
        </w:tc>
        <w:tc>
          <w:tcPr>
            <w:tcW w:type="dxa" w:w="1601"/>
            <w:vAlign w:val="center"/>
          </w:tcPr>
          <w:p>
            <w:pPr>
              <w:keepNext w:val="0"/>
              <w:spacing w:line="245" w:lineRule="auto" w:before="60" w:after="60"/>
              <w:jc w:val="right"/>
            </w:pPr>
            <w:r>
              <w:rPr>
                <w:b w:val="0"/>
                <w:sz w:val="20"/>
              </w:rPr>
              <w:t>40</w:t>
            </w:r>
          </w:p>
        </w:tc>
        <w:tc>
          <w:tcPr>
            <w:tcW w:type="dxa" w:w="1601"/>
            <w:vAlign w:val="center"/>
          </w:tcPr>
          <w:p>
            <w:pPr>
              <w:keepNext w:val="0"/>
              <w:spacing w:line="245" w:lineRule="auto" w:before="60" w:after="60"/>
              <w:jc w:val="right"/>
            </w:pPr>
            <w:r>
              <w:rPr>
                <w:b w:val="0"/>
                <w:sz w:val="20"/>
              </w:rPr>
              <w:t>0</w:t>
            </w:r>
          </w:p>
        </w:tc>
        <w:tc>
          <w:tcPr>
            <w:tcW w:type="dxa" w:w="1601"/>
            <w:vAlign w:val="center"/>
          </w:tcPr>
          <w:p>
            <w:pPr>
              <w:keepNext w:val="0"/>
              <w:spacing w:line="245" w:lineRule="auto" w:before="60" w:after="60"/>
              <w:jc w:val="right"/>
            </w:pPr>
            <w:r>
              <w:rPr>
                <w:b w:val="0"/>
                <w:sz w:val="20"/>
              </w:rPr>
              <w:t>-11.05 to 7.75</w:t>
            </w:r>
          </w:p>
        </w:tc>
        <w:tc>
          <w:tcPr>
            <w:tcW w:type="dxa" w:w="1601"/>
            <w:vAlign w:val="center"/>
          </w:tcPr>
          <w:p>
            <w:pPr>
              <w:keepNext w:val="0"/>
              <w:spacing w:line="245" w:lineRule="auto" w:before="60" w:after="60"/>
              <w:jc w:val="right"/>
            </w:pPr>
            <w:r>
              <w:rPr>
                <w:b w:val="0"/>
                <w:sz w:val="20"/>
              </w:rPr>
              <w:t>-11 to 2</w:t>
            </w:r>
          </w:p>
        </w:tc>
      </w:tr>
    </w:tbl>
    <w:p>
      <w:pPr>
        <w:spacing w:after="20"/>
      </w:pPr>
    </w:p>
    <w:p>
      <w:r>
        <w:t>Distinct historical settings count record block times budget for A, record block times cost for B, and record block times budget times cost for C. A is reused when evaluating costs. The ranges retain all stated evaluation costs. Refitting can alter both the fitted function and raw-score scale; using the same cutoff measures their combined workflow difference, not a causal effect of either component. Infinite cutoffs are invariant by construction and provide no evidence of finite-cutoff robustness.</w:t>
      </w:r>
    </w:p>
    <w:p>
      <w:r>
        <w:t>For a specific finite cutoff, record block 1 A at budget 20% and r=10 uses 0.385854 in both workflows. Alerts change from 21 fixed to 7 refitted; detections change from 2 to 0. Refitted-minus-fixed loss is 1.55 per 100 records, with paired 95% interval [-2.52, 7.17]. This interval concerns model updating, separately from the C-A policy intervals in Section 5.</w:t>
      </w:r>
    </w:p>
    <w:p>
      <w:r>
        <w:t>The retained block intervals are descriptive and unadjusted across settings. They characterize uncertainty in differences among frozen decisions on the observed queue of records. LR and bagged CART supply additional model comparisons under the same reference boundaries; they do not certify robustness across mines, future distributions or untested model classes. Complete per-block results and all costs remain in the Stage 2 technical report and saved files.</w:t>
      </w:r>
    </w:p>
    <w:p>
      <w:pPr>
        <w:pStyle w:val="Heading1"/>
      </w:pPr>
      <w:r>
        <w:t>5.5 Frozen-rule cost and prevalence descriptions</w:t>
      </w:r>
    </w:p>
    <w:p>
      <w:pPr>
        <w:pStyle w:val="Caption"/>
        <w:keepNext/>
      </w:pPr>
      <w:r>
        <w:t>Table 12. Cost equality for unchanged pooled C rules selected historically at rselect=10.</w:t>
      </w:r>
    </w:p>
    <w:tbl>
      <w:tblPr>
        <w:tblStyle w:val="TableGrid"/>
        <w:tblW w:type="auto" w:w="0"/>
        <w:jc w:val="center"/>
        <w:tblLook w:firstColumn="1" w:firstRow="1" w:lastColumn="0" w:lastRow="0" w:noHBand="0" w:noVBand="1" w:val="04A0"/>
      </w:tblPr>
      <w:tblGrid>
        <w:gridCol w:w="1921"/>
        <w:gridCol w:w="1921"/>
        <w:gridCol w:w="1921"/>
        <w:gridCol w:w="1921"/>
        <w:gridCol w:w="1921"/>
      </w:tblGrid>
      <w:tr>
        <w:trPr>
          <w:cantSplit/>
          <w:tblHeader/>
        </w:trPr>
        <w:tc>
          <w:tcPr>
            <w:tcW w:type="dxa" w:w="1921"/>
            <w:vAlign w:val="center"/>
            <w:shd w:fill="EDEFF1"/>
          </w:tcPr>
          <w:p>
            <w:pPr>
              <w:keepNext/>
              <w:spacing w:line="245" w:lineRule="auto" w:before="60" w:after="60"/>
              <w:jc w:val="center"/>
            </w:pPr>
            <w:r>
              <w:rPr>
                <w:b/>
                <w:sz w:val="20"/>
              </w:rPr>
              <w:t>Historical budget</w:t>
            </w:r>
          </w:p>
        </w:tc>
        <w:tc>
          <w:tcPr>
            <w:tcW w:type="dxa" w:w="1921"/>
            <w:vAlign w:val="center"/>
            <w:shd w:fill="EDEFF1"/>
          </w:tcPr>
          <w:p>
            <w:pPr>
              <w:keepNext/>
              <w:spacing w:line="245" w:lineRule="auto" w:before="60" w:after="60"/>
              <w:jc w:val="center"/>
            </w:pPr>
            <w:r>
              <w:rPr>
                <w:b/>
                <w:sz w:val="20"/>
              </w:rPr>
              <w:t>TP</w:t>
            </w:r>
          </w:p>
        </w:tc>
        <w:tc>
          <w:tcPr>
            <w:tcW w:type="dxa" w:w="1921"/>
            <w:vAlign w:val="center"/>
            <w:shd w:fill="EDEFF1"/>
          </w:tcPr>
          <w:p>
            <w:pPr>
              <w:keepNext/>
              <w:spacing w:line="245" w:lineRule="auto" w:before="60" w:after="60"/>
              <w:jc w:val="center"/>
            </w:pPr>
            <w:r>
              <w:rPr>
                <w:b/>
                <w:sz w:val="20"/>
              </w:rPr>
              <w:t>FP</w:t>
            </w:r>
          </w:p>
        </w:tc>
        <w:tc>
          <w:tcPr>
            <w:tcW w:type="dxa" w:w="1921"/>
            <w:vAlign w:val="center"/>
            <w:shd w:fill="EDEFF1"/>
          </w:tcPr>
          <w:p>
            <w:pPr>
              <w:keepNext/>
              <w:spacing w:line="245" w:lineRule="auto" w:before="60" w:after="60"/>
              <w:jc w:val="center"/>
            </w:pPr>
            <w:r>
              <w:rPr>
                <w:b/>
                <w:sz w:val="20"/>
              </w:rPr>
              <w:t>Alerts</w:t>
            </w:r>
          </w:p>
        </w:tc>
        <w:tc>
          <w:tcPr>
            <w:tcW w:type="dxa" w:w="1921"/>
            <w:vAlign w:val="center"/>
            <w:shd w:fill="EDEFF1"/>
          </w:tcPr>
          <w:p>
            <w:pPr>
              <w:keepNext/>
              <w:spacing w:line="245" w:lineRule="auto" w:before="60" w:after="60"/>
              <w:jc w:val="center"/>
            </w:pPr>
            <w:r>
              <w:rPr>
                <w:b/>
                <w:sz w:val="20"/>
              </w:rPr>
              <w:t>Equality cost r*</w:t>
            </w:r>
          </w:p>
        </w:tc>
      </w:tr>
      <w:tr>
        <w:trPr>
          <w:cantSplit/>
        </w:trPr>
        <w:tc>
          <w:tcPr>
            <w:tcW w:type="dxa" w:w="1921"/>
            <w:vAlign w:val="center"/>
          </w:tcPr>
          <w:p>
            <w:pPr>
              <w:keepNext/>
              <w:spacing w:line="245" w:lineRule="auto" w:before="60" w:after="60"/>
              <w:jc w:val="left"/>
            </w:pPr>
            <w:r>
              <w:rPr>
                <w:b w:val="0"/>
                <w:sz w:val="20"/>
              </w:rPr>
              <w:t>1%</w:t>
            </w:r>
          </w:p>
        </w:tc>
        <w:tc>
          <w:tcPr>
            <w:tcW w:type="dxa" w:w="1921"/>
            <w:vAlign w:val="center"/>
          </w:tcPr>
          <w:p>
            <w:pPr>
              <w:keepNext/>
              <w:spacing w:line="245" w:lineRule="auto" w:before="60" w:after="60"/>
              <w:jc w:val="right"/>
            </w:pPr>
            <w:r>
              <w:rPr>
                <w:b w:val="0"/>
                <w:sz w:val="20"/>
              </w:rPr>
              <w:t>0</w:t>
            </w:r>
          </w:p>
        </w:tc>
        <w:tc>
          <w:tcPr>
            <w:tcW w:type="dxa" w:w="1921"/>
            <w:vAlign w:val="center"/>
          </w:tcPr>
          <w:p>
            <w:pPr>
              <w:keepNext/>
              <w:spacing w:line="245" w:lineRule="auto" w:before="60" w:after="60"/>
              <w:jc w:val="right"/>
            </w:pPr>
            <w:r>
              <w:rPr>
                <w:b w:val="0"/>
                <w:sz w:val="20"/>
              </w:rPr>
              <w:t>0</w:t>
            </w:r>
          </w:p>
        </w:tc>
        <w:tc>
          <w:tcPr>
            <w:tcW w:type="dxa" w:w="1921"/>
            <w:vAlign w:val="center"/>
          </w:tcPr>
          <w:p>
            <w:pPr>
              <w:keepNext/>
              <w:spacing w:line="245" w:lineRule="auto" w:before="60" w:after="60"/>
              <w:jc w:val="right"/>
            </w:pPr>
            <w:r>
              <w:rPr>
                <w:b w:val="0"/>
                <w:sz w:val="20"/>
              </w:rPr>
              <w:t>0</w:t>
            </w:r>
          </w:p>
        </w:tc>
        <w:tc>
          <w:tcPr>
            <w:tcW w:type="dxa" w:w="1921"/>
            <w:vAlign w:val="center"/>
          </w:tcPr>
          <w:p>
            <w:pPr>
              <w:keepNext/>
              <w:spacing w:line="245" w:lineRule="auto" w:before="60" w:after="60"/>
              <w:jc w:val="right"/>
            </w:pPr>
            <w:r>
              <w:rPr>
                <w:b w:val="0"/>
                <w:sz w:val="20"/>
              </w:rPr>
              <w:t>-</w:t>
            </w:r>
          </w:p>
        </w:tc>
      </w:tr>
      <w:tr>
        <w:trPr>
          <w:cantSplit/>
        </w:trPr>
        <w:tc>
          <w:tcPr>
            <w:tcW w:type="dxa" w:w="1921"/>
            <w:vAlign w:val="center"/>
          </w:tcPr>
          <w:p>
            <w:pPr>
              <w:keepNext/>
              <w:spacing w:line="245" w:lineRule="auto" w:before="60" w:after="60"/>
              <w:jc w:val="left"/>
            </w:pPr>
            <w:r>
              <w:rPr>
                <w:b w:val="0"/>
                <w:sz w:val="20"/>
              </w:rPr>
              <w:t>5%</w:t>
            </w:r>
          </w:p>
        </w:tc>
        <w:tc>
          <w:tcPr>
            <w:tcW w:type="dxa" w:w="1921"/>
            <w:vAlign w:val="center"/>
          </w:tcPr>
          <w:p>
            <w:pPr>
              <w:keepNext/>
              <w:spacing w:line="245" w:lineRule="auto" w:before="60" w:after="60"/>
              <w:jc w:val="right"/>
            </w:pPr>
            <w:r>
              <w:rPr>
                <w:b w:val="0"/>
                <w:sz w:val="20"/>
              </w:rPr>
              <w:t>1</w:t>
            </w:r>
          </w:p>
        </w:tc>
        <w:tc>
          <w:tcPr>
            <w:tcW w:type="dxa" w:w="1921"/>
            <w:vAlign w:val="center"/>
          </w:tcPr>
          <w:p>
            <w:pPr>
              <w:keepNext/>
              <w:spacing w:line="245" w:lineRule="auto" w:before="60" w:after="60"/>
              <w:jc w:val="right"/>
            </w:pPr>
            <w:r>
              <w:rPr>
                <w:b w:val="0"/>
                <w:sz w:val="20"/>
              </w:rPr>
              <w:t>24</w:t>
            </w:r>
          </w:p>
        </w:tc>
        <w:tc>
          <w:tcPr>
            <w:tcW w:type="dxa" w:w="1921"/>
            <w:vAlign w:val="center"/>
          </w:tcPr>
          <w:p>
            <w:pPr>
              <w:keepNext/>
              <w:spacing w:line="245" w:lineRule="auto" w:before="60" w:after="60"/>
              <w:jc w:val="right"/>
            </w:pPr>
            <w:r>
              <w:rPr>
                <w:b w:val="0"/>
                <w:sz w:val="20"/>
              </w:rPr>
              <w:t>25</w:t>
            </w:r>
          </w:p>
        </w:tc>
        <w:tc>
          <w:tcPr>
            <w:tcW w:type="dxa" w:w="1921"/>
            <w:vAlign w:val="center"/>
          </w:tcPr>
          <w:p>
            <w:pPr>
              <w:keepNext/>
              <w:spacing w:line="245" w:lineRule="auto" w:before="60" w:after="60"/>
              <w:jc w:val="right"/>
            </w:pPr>
            <w:r>
              <w:rPr>
                <w:b w:val="0"/>
                <w:sz w:val="20"/>
              </w:rPr>
              <w:t>24.00</w:t>
            </w:r>
          </w:p>
        </w:tc>
      </w:tr>
      <w:tr>
        <w:trPr>
          <w:cantSplit/>
        </w:trPr>
        <w:tc>
          <w:tcPr>
            <w:tcW w:type="dxa" w:w="1921"/>
            <w:vAlign w:val="center"/>
          </w:tcPr>
          <w:p>
            <w:pPr>
              <w:keepNext/>
              <w:spacing w:line="245" w:lineRule="auto" w:before="60" w:after="60"/>
              <w:jc w:val="left"/>
            </w:pPr>
            <w:r>
              <w:rPr>
                <w:b w:val="0"/>
                <w:sz w:val="20"/>
              </w:rPr>
              <w:t>10%</w:t>
            </w:r>
          </w:p>
        </w:tc>
        <w:tc>
          <w:tcPr>
            <w:tcW w:type="dxa" w:w="1921"/>
            <w:vAlign w:val="center"/>
          </w:tcPr>
          <w:p>
            <w:pPr>
              <w:keepNext/>
              <w:spacing w:line="245" w:lineRule="auto" w:before="60" w:after="60"/>
              <w:jc w:val="right"/>
            </w:pPr>
            <w:r>
              <w:rPr>
                <w:b w:val="0"/>
                <w:sz w:val="20"/>
              </w:rPr>
              <w:t>1</w:t>
            </w:r>
          </w:p>
        </w:tc>
        <w:tc>
          <w:tcPr>
            <w:tcW w:type="dxa" w:w="1921"/>
            <w:vAlign w:val="center"/>
          </w:tcPr>
          <w:p>
            <w:pPr>
              <w:keepNext/>
              <w:spacing w:line="245" w:lineRule="auto" w:before="60" w:after="60"/>
              <w:jc w:val="right"/>
            </w:pPr>
            <w:r>
              <w:rPr>
                <w:b w:val="0"/>
                <w:sz w:val="20"/>
              </w:rPr>
              <w:t>27</w:t>
            </w:r>
          </w:p>
        </w:tc>
        <w:tc>
          <w:tcPr>
            <w:tcW w:type="dxa" w:w="1921"/>
            <w:vAlign w:val="center"/>
          </w:tcPr>
          <w:p>
            <w:pPr>
              <w:keepNext/>
              <w:spacing w:line="245" w:lineRule="auto" w:before="60" w:after="60"/>
              <w:jc w:val="right"/>
            </w:pPr>
            <w:r>
              <w:rPr>
                <w:b w:val="0"/>
                <w:sz w:val="20"/>
              </w:rPr>
              <w:t>28</w:t>
            </w:r>
          </w:p>
        </w:tc>
        <w:tc>
          <w:tcPr>
            <w:tcW w:type="dxa" w:w="1921"/>
            <w:vAlign w:val="center"/>
          </w:tcPr>
          <w:p>
            <w:pPr>
              <w:keepNext/>
              <w:spacing w:line="245" w:lineRule="auto" w:before="60" w:after="60"/>
              <w:jc w:val="right"/>
            </w:pPr>
            <w:r>
              <w:rPr>
                <w:b w:val="0"/>
                <w:sz w:val="20"/>
              </w:rPr>
              <w:t>27.00</w:t>
            </w:r>
          </w:p>
        </w:tc>
      </w:tr>
      <w:tr>
        <w:trPr>
          <w:cantSplit/>
        </w:trPr>
        <w:tc>
          <w:tcPr>
            <w:tcW w:type="dxa" w:w="1921"/>
            <w:vAlign w:val="center"/>
          </w:tcPr>
          <w:p>
            <w:pPr>
              <w:keepNext w:val="0"/>
              <w:spacing w:line="245" w:lineRule="auto" w:before="60" w:after="60"/>
              <w:jc w:val="left"/>
            </w:pPr>
            <w:r>
              <w:rPr>
                <w:b w:val="0"/>
                <w:sz w:val="20"/>
              </w:rPr>
              <w:t>20%</w:t>
            </w:r>
          </w:p>
        </w:tc>
        <w:tc>
          <w:tcPr>
            <w:tcW w:type="dxa" w:w="1921"/>
            <w:vAlign w:val="center"/>
          </w:tcPr>
          <w:p>
            <w:pPr>
              <w:keepNext w:val="0"/>
              <w:spacing w:line="245" w:lineRule="auto" w:before="60" w:after="60"/>
              <w:jc w:val="right"/>
            </w:pPr>
            <w:r>
              <w:rPr>
                <w:b w:val="0"/>
                <w:sz w:val="20"/>
              </w:rPr>
              <w:t>2</w:t>
            </w:r>
          </w:p>
        </w:tc>
        <w:tc>
          <w:tcPr>
            <w:tcW w:type="dxa" w:w="1921"/>
            <w:vAlign w:val="center"/>
          </w:tcPr>
          <w:p>
            <w:pPr>
              <w:keepNext w:val="0"/>
              <w:spacing w:line="245" w:lineRule="auto" w:before="60" w:after="60"/>
              <w:jc w:val="right"/>
            </w:pPr>
            <w:r>
              <w:rPr>
                <w:b w:val="0"/>
                <w:sz w:val="20"/>
              </w:rPr>
              <w:t>32</w:t>
            </w:r>
          </w:p>
        </w:tc>
        <w:tc>
          <w:tcPr>
            <w:tcW w:type="dxa" w:w="1921"/>
            <w:vAlign w:val="center"/>
          </w:tcPr>
          <w:p>
            <w:pPr>
              <w:keepNext w:val="0"/>
              <w:spacing w:line="245" w:lineRule="auto" w:before="60" w:after="60"/>
              <w:jc w:val="right"/>
            </w:pPr>
            <w:r>
              <w:rPr>
                <w:b w:val="0"/>
                <w:sz w:val="20"/>
              </w:rPr>
              <w:t>34</w:t>
            </w:r>
          </w:p>
        </w:tc>
        <w:tc>
          <w:tcPr>
            <w:tcW w:type="dxa" w:w="1921"/>
            <w:vAlign w:val="center"/>
          </w:tcPr>
          <w:p>
            <w:pPr>
              <w:keepNext w:val="0"/>
              <w:spacing w:line="245" w:lineRule="auto" w:before="60" w:after="60"/>
              <w:jc w:val="right"/>
            </w:pPr>
            <w:r>
              <w:rPr>
                <w:b w:val="0"/>
                <w:sz w:val="20"/>
              </w:rPr>
              <w:t>16.00</w:t>
            </w:r>
          </w:p>
        </w:tc>
      </w:tr>
    </w:tbl>
    <w:p>
      <w:pPr>
        <w:spacing w:after="20"/>
      </w:pPr>
    </w:p>
    <w:p>
      <w:pPr>
        <w:keepNext/>
      </w:pPr>
      <w:r>
        <w:t>For a frozen alert set with at least one true detection, the evaluation-cost equality point with no alarms is:</w:t>
      </w:r>
    </w:p>
    <w:p>
      <w:pPr>
        <w:keepLines/>
        <w:jc w:val="center"/>
      </w:pPr>
      <m:oMath>
        <m:sSup>
          <m:e>
            <m:r>
              <m:rPr>
                <m:nor m:val="1"/>
              </m:rPr>
              <w:rPr>
                <w:rFonts w:ascii="Cambria Math" w:hAnsi="Cambria Math"/>
              </w:rPr>
              <m:t>r</m:t>
            </m:r>
          </m:e>
          <m:sup>
            <m:r>
              <m:rPr>
                <m:nor m:val="1"/>
              </m:rPr>
              <w:rPr>
                <w:rFonts w:ascii="Cambria Math" w:hAnsi="Cambria Math"/>
              </w:rPr>
              <m:t>*</m:t>
            </m:r>
          </m:sup>
        </m:sSup>
        <m:r>
          <m:rPr>
            <m:nor m:val="1"/>
          </m:rPr>
          <w:rPr>
            <w:rFonts w:ascii="Cambria Math" w:hAnsi="Cambria Math"/>
          </w:rPr>
          <m:t>=</m:t>
        </m:r>
        <m:f>
          <m:num>
            <m:r>
              <m:rPr>
                <m:nor m:val="1"/>
              </m:rPr>
              <w:rPr>
                <w:rFonts w:ascii="Cambria Math" w:hAnsi="Cambria Math"/>
              </w:rPr>
              <m:t>FP</m:t>
            </m:r>
          </m:num>
          <m:den>
            <m:r>
              <m:rPr>
                <m:nor m:val="1"/>
              </m:rPr>
              <w:rPr>
                <w:rFonts w:ascii="Cambria Math" w:hAnsi="Cambria Math"/>
              </w:rPr>
              <m:t>TP</m:t>
            </m:r>
          </m:den>
        </m:f>
      </m:oMath>
    </w:p>
    <w:p>
      <w:r>
        <w:t>Above this ratio the observed point loss favors the unchanged rule. TP=FP=0 is equivalent to no alarms for every cost; with TP=0 and FP&gt;0 the rule has higher loss at every cost. The dash identifies no-alarm equivalence. These are descriptive equality points on this cohort, not cost estimates or test-selected recommendations.</w:t>
      </w:r>
    </w:p>
    <w:p>
      <w:pPr>
        <w:pStyle w:val="Caption"/>
        <w:keepNext/>
      </w:pPr>
      <w:r>
        <w:t>Table 13. Frozen prevalence scenarios for C selected at r=10. Loss differences are versus no alarms; alerts and precision are expectations.</w:t>
      </w:r>
    </w:p>
    <w:tbl>
      <w:tblPr>
        <w:tblStyle w:val="TableGrid"/>
        <w:tblW w:type="auto" w:w="0"/>
        <w:jc w:val="center"/>
        <w:tblLook w:firstColumn="1" w:firstRow="1" w:lastColumn="0" w:lastRow="0" w:noHBand="0" w:noVBand="1" w:val="04A0"/>
      </w:tblPr>
      <w:tblGrid>
        <w:gridCol w:w="1372"/>
        <w:gridCol w:w="1372"/>
        <w:gridCol w:w="1372"/>
        <w:gridCol w:w="1372"/>
        <w:gridCol w:w="1372"/>
        <w:gridCol w:w="1372"/>
        <w:gridCol w:w="1372"/>
      </w:tblGrid>
      <w:tr>
        <w:trPr>
          <w:cantSplit/>
          <w:tblHeader/>
        </w:trPr>
        <w:tc>
          <w:tcPr>
            <w:tcW w:type="dxa" w:w="1372"/>
            <w:vAlign w:val="center"/>
            <w:shd w:fill="EDEFF1"/>
          </w:tcPr>
          <w:p>
            <w:pPr>
              <w:keepNext/>
              <w:spacing w:line="245" w:lineRule="auto" w:before="60" w:after="60"/>
              <w:jc w:val="center"/>
            </w:pPr>
            <w:r>
              <w:rPr>
                <w:b/>
                <w:sz w:val="18"/>
              </w:rPr>
              <w:t>Budget</w:t>
            </w:r>
          </w:p>
        </w:tc>
        <w:tc>
          <w:tcPr>
            <w:tcW w:type="dxa" w:w="1372"/>
            <w:vAlign w:val="center"/>
            <w:shd w:fill="EDEFF1"/>
          </w:tcPr>
          <w:p>
            <w:pPr>
              <w:keepNext/>
              <w:spacing w:line="245" w:lineRule="auto" w:before="60" w:after="60"/>
              <w:jc w:val="center"/>
            </w:pPr>
            <w:r>
              <w:rPr>
                <w:b/>
                <w:sz w:val="18"/>
              </w:rPr>
              <w:t>pi 5% Delta</w:t>
            </w:r>
          </w:p>
        </w:tc>
        <w:tc>
          <w:tcPr>
            <w:tcW w:type="dxa" w:w="1372"/>
            <w:vAlign w:val="center"/>
            <w:shd w:fill="EDEFF1"/>
          </w:tcPr>
          <w:p>
            <w:pPr>
              <w:keepNext/>
              <w:spacing w:line="245" w:lineRule="auto" w:before="60" w:after="60"/>
              <w:jc w:val="center"/>
            </w:pPr>
            <w:r>
              <w:rPr>
                <w:b/>
                <w:sz w:val="18"/>
              </w:rPr>
              <w:t>Alerts</w:t>
            </w:r>
          </w:p>
        </w:tc>
        <w:tc>
          <w:tcPr>
            <w:tcW w:type="dxa" w:w="1372"/>
            <w:vAlign w:val="center"/>
            <w:shd w:fill="EDEFF1"/>
          </w:tcPr>
          <w:p>
            <w:pPr>
              <w:keepNext/>
              <w:spacing w:line="245" w:lineRule="auto" w:before="60" w:after="60"/>
              <w:jc w:val="center"/>
            </w:pPr>
            <w:r>
              <w:rPr>
                <w:b/>
                <w:sz w:val="18"/>
              </w:rPr>
              <w:t>Precision</w:t>
            </w:r>
          </w:p>
        </w:tc>
        <w:tc>
          <w:tcPr>
            <w:tcW w:type="dxa" w:w="1372"/>
            <w:vAlign w:val="center"/>
            <w:shd w:fill="EDEFF1"/>
          </w:tcPr>
          <w:p>
            <w:pPr>
              <w:keepNext/>
              <w:spacing w:line="245" w:lineRule="auto" w:before="60" w:after="60"/>
              <w:jc w:val="center"/>
            </w:pPr>
            <w:r>
              <w:rPr>
                <w:b/>
                <w:sz w:val="18"/>
              </w:rPr>
              <w:t>pi 10% Delta</w:t>
            </w:r>
          </w:p>
        </w:tc>
        <w:tc>
          <w:tcPr>
            <w:tcW w:type="dxa" w:w="1372"/>
            <w:vAlign w:val="center"/>
            <w:shd w:fill="EDEFF1"/>
          </w:tcPr>
          <w:p>
            <w:pPr>
              <w:keepNext/>
              <w:spacing w:line="245" w:lineRule="auto" w:before="60" w:after="60"/>
              <w:jc w:val="center"/>
            </w:pPr>
            <w:r>
              <w:rPr>
                <w:b/>
                <w:sz w:val="18"/>
              </w:rPr>
              <w:t>Alerts</w:t>
            </w:r>
          </w:p>
        </w:tc>
        <w:tc>
          <w:tcPr>
            <w:tcW w:type="dxa" w:w="1372"/>
            <w:vAlign w:val="center"/>
            <w:shd w:fill="EDEFF1"/>
          </w:tcPr>
          <w:p>
            <w:pPr>
              <w:keepNext/>
              <w:spacing w:line="245" w:lineRule="auto" w:before="60" w:after="60"/>
              <w:jc w:val="center"/>
            </w:pPr>
            <w:r>
              <w:rPr>
                <w:b/>
                <w:sz w:val="18"/>
              </w:rPr>
              <w:t>Precision</w:t>
            </w:r>
          </w:p>
        </w:tc>
      </w:tr>
      <w:tr>
        <w:trPr>
          <w:cantSplit/>
        </w:trPr>
        <w:tc>
          <w:tcPr>
            <w:tcW w:type="dxa" w:w="1372"/>
            <w:vAlign w:val="center"/>
          </w:tcPr>
          <w:p>
            <w:pPr>
              <w:keepNext/>
              <w:spacing w:line="245" w:lineRule="auto" w:before="60" w:after="60"/>
              <w:jc w:val="left"/>
            </w:pPr>
            <w:r>
              <w:rPr>
                <w:b w:val="0"/>
                <w:sz w:val="18"/>
              </w:rPr>
              <w:t>1%</w:t>
            </w:r>
          </w:p>
        </w:tc>
        <w:tc>
          <w:tcPr>
            <w:tcW w:type="dxa" w:w="1372"/>
            <w:vAlign w:val="center"/>
          </w:tcPr>
          <w:p>
            <w:pPr>
              <w:keepNext/>
              <w:spacing w:line="245" w:lineRule="auto" w:before="60" w:after="60"/>
              <w:jc w:val="right"/>
            </w:pPr>
            <w:r>
              <w:rPr>
                <w:b w:val="0"/>
                <w:sz w:val="18"/>
              </w:rPr>
              <w:t>0.00</w:t>
            </w:r>
          </w:p>
        </w:tc>
        <w:tc>
          <w:tcPr>
            <w:tcW w:type="dxa" w:w="1372"/>
            <w:vAlign w:val="center"/>
          </w:tcPr>
          <w:p>
            <w:pPr>
              <w:keepNext/>
              <w:spacing w:line="245" w:lineRule="auto" w:before="60" w:after="60"/>
              <w:jc w:val="right"/>
            </w:pPr>
            <w:r>
              <w:rPr>
                <w:b w:val="0"/>
                <w:sz w:val="18"/>
              </w:rPr>
              <w:t>0.00%</w:t>
            </w:r>
          </w:p>
        </w:tc>
        <w:tc>
          <w:tcPr>
            <w:tcW w:type="dxa" w:w="1372"/>
            <w:vAlign w:val="center"/>
          </w:tcPr>
          <w:p>
            <w:pPr>
              <w:keepNext/>
              <w:spacing w:line="245" w:lineRule="auto" w:before="60" w:after="60"/>
              <w:jc w:val="right"/>
            </w:pPr>
            <w:r>
              <w:rPr>
                <w:b w:val="0"/>
                <w:sz w:val="18"/>
              </w:rPr>
              <w:t>NA</w:t>
            </w:r>
          </w:p>
        </w:tc>
        <w:tc>
          <w:tcPr>
            <w:tcW w:type="dxa" w:w="1372"/>
            <w:vAlign w:val="center"/>
          </w:tcPr>
          <w:p>
            <w:pPr>
              <w:keepNext/>
              <w:spacing w:line="245" w:lineRule="auto" w:before="60" w:after="60"/>
              <w:jc w:val="right"/>
            </w:pPr>
            <w:r>
              <w:rPr>
                <w:b w:val="0"/>
                <w:sz w:val="18"/>
              </w:rPr>
              <w:t>0.00</w:t>
            </w:r>
          </w:p>
        </w:tc>
        <w:tc>
          <w:tcPr>
            <w:tcW w:type="dxa" w:w="1372"/>
            <w:vAlign w:val="center"/>
          </w:tcPr>
          <w:p>
            <w:pPr>
              <w:keepNext/>
              <w:spacing w:line="245" w:lineRule="auto" w:before="60" w:after="60"/>
              <w:jc w:val="right"/>
            </w:pPr>
            <w:r>
              <w:rPr>
                <w:b w:val="0"/>
                <w:sz w:val="18"/>
              </w:rPr>
              <w:t>0.00%</w:t>
            </w:r>
          </w:p>
        </w:tc>
        <w:tc>
          <w:tcPr>
            <w:tcW w:type="dxa" w:w="1372"/>
            <w:vAlign w:val="center"/>
          </w:tcPr>
          <w:p>
            <w:pPr>
              <w:keepNext/>
              <w:spacing w:line="245" w:lineRule="auto" w:before="60" w:after="60"/>
              <w:jc w:val="right"/>
            </w:pPr>
            <w:r>
              <w:rPr>
                <w:b w:val="0"/>
                <w:sz w:val="18"/>
              </w:rPr>
              <w:t>NA</w:t>
            </w:r>
          </w:p>
        </w:tc>
      </w:tr>
      <w:tr>
        <w:trPr>
          <w:cantSplit/>
        </w:trPr>
        <w:tc>
          <w:tcPr>
            <w:tcW w:type="dxa" w:w="1372"/>
            <w:vAlign w:val="center"/>
          </w:tcPr>
          <w:p>
            <w:pPr>
              <w:keepNext/>
              <w:spacing w:line="245" w:lineRule="auto" w:before="60" w:after="60"/>
              <w:jc w:val="left"/>
            </w:pPr>
            <w:r>
              <w:rPr>
                <w:b w:val="0"/>
                <w:sz w:val="18"/>
              </w:rPr>
              <w:t>5%</w:t>
            </w:r>
          </w:p>
        </w:tc>
        <w:tc>
          <w:tcPr>
            <w:tcW w:type="dxa" w:w="1372"/>
            <w:vAlign w:val="center"/>
          </w:tcPr>
          <w:p>
            <w:pPr>
              <w:keepNext/>
              <w:spacing w:line="245" w:lineRule="auto" w:before="60" w:after="60"/>
              <w:jc w:val="right"/>
            </w:pPr>
            <w:r>
              <w:rPr>
                <w:b w:val="0"/>
                <w:sz w:val="18"/>
              </w:rPr>
              <w:t>0.59</w:t>
            </w:r>
          </w:p>
        </w:tc>
        <w:tc>
          <w:tcPr>
            <w:tcW w:type="dxa" w:w="1372"/>
            <w:vAlign w:val="center"/>
          </w:tcPr>
          <w:p>
            <w:pPr>
              <w:keepNext/>
              <w:spacing w:line="245" w:lineRule="auto" w:before="60" w:after="60"/>
              <w:jc w:val="right"/>
            </w:pPr>
            <w:r>
              <w:rPr>
                <w:b w:val="0"/>
                <w:sz w:val="18"/>
              </w:rPr>
              <w:t>1.21%</w:t>
            </w:r>
          </w:p>
        </w:tc>
        <w:tc>
          <w:tcPr>
            <w:tcW w:type="dxa" w:w="1372"/>
            <w:vAlign w:val="center"/>
          </w:tcPr>
          <w:p>
            <w:pPr>
              <w:keepNext/>
              <w:spacing w:line="245" w:lineRule="auto" w:before="60" w:after="60"/>
              <w:jc w:val="right"/>
            </w:pPr>
            <w:r>
              <w:rPr>
                <w:b w:val="0"/>
                <w:sz w:val="18"/>
              </w:rPr>
              <w:t>4.69%</w:t>
            </w:r>
          </w:p>
        </w:tc>
        <w:tc>
          <w:tcPr>
            <w:tcW w:type="dxa" w:w="1372"/>
            <w:vAlign w:val="center"/>
          </w:tcPr>
          <w:p>
            <w:pPr>
              <w:keepNext/>
              <w:spacing w:line="245" w:lineRule="auto" w:before="60" w:after="60"/>
              <w:jc w:val="right"/>
            </w:pPr>
            <w:r>
              <w:rPr>
                <w:b w:val="0"/>
                <w:sz w:val="18"/>
              </w:rPr>
              <w:t>-0.04</w:t>
            </w:r>
          </w:p>
        </w:tc>
        <w:tc>
          <w:tcPr>
            <w:tcW w:type="dxa" w:w="1372"/>
            <w:vAlign w:val="center"/>
          </w:tcPr>
          <w:p>
            <w:pPr>
              <w:keepNext/>
              <w:spacing w:line="245" w:lineRule="auto" w:before="60" w:after="60"/>
              <w:jc w:val="right"/>
            </w:pPr>
            <w:r>
              <w:rPr>
                <w:b w:val="0"/>
                <w:sz w:val="18"/>
              </w:rPr>
              <w:t>1.21%</w:t>
            </w:r>
          </w:p>
        </w:tc>
        <w:tc>
          <w:tcPr>
            <w:tcW w:type="dxa" w:w="1372"/>
            <w:vAlign w:val="center"/>
          </w:tcPr>
          <w:p>
            <w:pPr>
              <w:keepNext/>
              <w:spacing w:line="245" w:lineRule="auto" w:before="60" w:after="60"/>
              <w:jc w:val="right"/>
            </w:pPr>
            <w:r>
              <w:rPr>
                <w:b w:val="0"/>
                <w:sz w:val="18"/>
              </w:rPr>
              <w:t>9.41%</w:t>
            </w:r>
          </w:p>
        </w:tc>
      </w:tr>
      <w:tr>
        <w:trPr>
          <w:cantSplit/>
        </w:trPr>
        <w:tc>
          <w:tcPr>
            <w:tcW w:type="dxa" w:w="1372"/>
            <w:vAlign w:val="center"/>
          </w:tcPr>
          <w:p>
            <w:pPr>
              <w:keepNext/>
              <w:spacing w:line="245" w:lineRule="auto" w:before="60" w:after="60"/>
              <w:jc w:val="left"/>
            </w:pPr>
            <w:r>
              <w:rPr>
                <w:b w:val="0"/>
                <w:sz w:val="18"/>
              </w:rPr>
              <w:t>10%</w:t>
            </w:r>
          </w:p>
        </w:tc>
        <w:tc>
          <w:tcPr>
            <w:tcW w:type="dxa" w:w="1372"/>
            <w:vAlign w:val="center"/>
          </w:tcPr>
          <w:p>
            <w:pPr>
              <w:keepNext/>
              <w:spacing w:line="245" w:lineRule="auto" w:before="60" w:after="60"/>
              <w:jc w:val="right"/>
            </w:pPr>
            <w:r>
              <w:rPr>
                <w:b w:val="0"/>
                <w:sz w:val="18"/>
              </w:rPr>
              <w:t>0.73</w:t>
            </w:r>
          </w:p>
        </w:tc>
        <w:tc>
          <w:tcPr>
            <w:tcW w:type="dxa" w:w="1372"/>
            <w:vAlign w:val="center"/>
          </w:tcPr>
          <w:p>
            <w:pPr>
              <w:keepNext/>
              <w:spacing w:line="245" w:lineRule="auto" w:before="60" w:after="60"/>
              <w:jc w:val="right"/>
            </w:pPr>
            <w:r>
              <w:rPr>
                <w:b w:val="0"/>
                <w:sz w:val="18"/>
              </w:rPr>
              <w:t>1.36%</w:t>
            </w:r>
          </w:p>
        </w:tc>
        <w:tc>
          <w:tcPr>
            <w:tcW w:type="dxa" w:w="1372"/>
            <w:vAlign w:val="center"/>
          </w:tcPr>
          <w:p>
            <w:pPr>
              <w:keepNext/>
              <w:spacing w:line="245" w:lineRule="auto" w:before="60" w:after="60"/>
              <w:jc w:val="right"/>
            </w:pPr>
            <w:r>
              <w:rPr>
                <w:b w:val="0"/>
                <w:sz w:val="18"/>
              </w:rPr>
              <w:t>4.19%</w:t>
            </w:r>
          </w:p>
        </w:tc>
        <w:tc>
          <w:tcPr>
            <w:tcW w:type="dxa" w:w="1372"/>
            <w:vAlign w:val="center"/>
          </w:tcPr>
          <w:p>
            <w:pPr>
              <w:keepNext/>
              <w:spacing w:line="245" w:lineRule="auto" w:before="60" w:after="60"/>
              <w:jc w:val="right"/>
            </w:pPr>
            <w:r>
              <w:rPr>
                <w:b w:val="0"/>
                <w:sz w:val="18"/>
              </w:rPr>
              <w:t>0.09</w:t>
            </w:r>
          </w:p>
        </w:tc>
        <w:tc>
          <w:tcPr>
            <w:tcW w:type="dxa" w:w="1372"/>
            <w:vAlign w:val="center"/>
          </w:tcPr>
          <w:p>
            <w:pPr>
              <w:keepNext/>
              <w:spacing w:line="245" w:lineRule="auto" w:before="60" w:after="60"/>
              <w:jc w:val="right"/>
            </w:pPr>
            <w:r>
              <w:rPr>
                <w:b w:val="0"/>
                <w:sz w:val="18"/>
              </w:rPr>
              <w:t>1.34%</w:t>
            </w:r>
          </w:p>
        </w:tc>
        <w:tc>
          <w:tcPr>
            <w:tcW w:type="dxa" w:w="1372"/>
            <w:vAlign w:val="center"/>
          </w:tcPr>
          <w:p>
            <w:pPr>
              <w:keepNext/>
              <w:spacing w:line="245" w:lineRule="auto" w:before="60" w:after="60"/>
              <w:jc w:val="right"/>
            </w:pPr>
            <w:r>
              <w:rPr>
                <w:b w:val="0"/>
                <w:sz w:val="18"/>
              </w:rPr>
              <w:t>8.45%</w:t>
            </w:r>
          </w:p>
        </w:tc>
      </w:tr>
      <w:tr>
        <w:trPr>
          <w:cantSplit/>
        </w:trPr>
        <w:tc>
          <w:tcPr>
            <w:tcW w:type="dxa" w:w="1372"/>
            <w:vAlign w:val="center"/>
          </w:tcPr>
          <w:p>
            <w:pPr>
              <w:keepNext w:val="0"/>
              <w:spacing w:line="245" w:lineRule="auto" w:before="60" w:after="60"/>
              <w:jc w:val="left"/>
            </w:pPr>
            <w:r>
              <w:rPr>
                <w:b w:val="0"/>
                <w:sz w:val="18"/>
              </w:rPr>
              <w:t>20%</w:t>
            </w:r>
          </w:p>
        </w:tc>
        <w:tc>
          <w:tcPr>
            <w:tcW w:type="dxa" w:w="1372"/>
            <w:vAlign w:val="center"/>
          </w:tcPr>
          <w:p>
            <w:pPr>
              <w:keepNext w:val="0"/>
              <w:spacing w:line="245" w:lineRule="auto" w:before="60" w:after="60"/>
              <w:jc w:val="right"/>
            </w:pPr>
            <w:r>
              <w:rPr>
                <w:b w:val="0"/>
                <w:sz w:val="18"/>
              </w:rPr>
              <w:t>0.40</w:t>
            </w:r>
          </w:p>
        </w:tc>
        <w:tc>
          <w:tcPr>
            <w:tcW w:type="dxa" w:w="1372"/>
            <w:vAlign w:val="center"/>
          </w:tcPr>
          <w:p>
            <w:pPr>
              <w:keepNext w:val="0"/>
              <w:spacing w:line="245" w:lineRule="auto" w:before="60" w:after="60"/>
              <w:jc w:val="right"/>
            </w:pPr>
            <w:r>
              <w:rPr>
                <w:b w:val="0"/>
                <w:sz w:val="18"/>
              </w:rPr>
              <w:t>1.65%</w:t>
            </w:r>
          </w:p>
        </w:tc>
        <w:tc>
          <w:tcPr>
            <w:tcW w:type="dxa" w:w="1372"/>
            <w:vAlign w:val="center"/>
          </w:tcPr>
          <w:p>
            <w:pPr>
              <w:keepNext w:val="0"/>
              <w:spacing w:line="245" w:lineRule="auto" w:before="60" w:after="60"/>
              <w:jc w:val="right"/>
            </w:pPr>
            <w:r>
              <w:rPr>
                <w:b w:val="0"/>
                <w:sz w:val="18"/>
              </w:rPr>
              <w:t>6.88%</w:t>
            </w:r>
          </w:p>
        </w:tc>
        <w:tc>
          <w:tcPr>
            <w:tcW w:type="dxa" w:w="1372"/>
            <w:vAlign w:val="center"/>
          </w:tcPr>
          <w:p>
            <w:pPr>
              <w:keepNext w:val="0"/>
              <w:spacing w:line="245" w:lineRule="auto" w:before="60" w:after="60"/>
              <w:jc w:val="right"/>
            </w:pPr>
            <w:r>
              <w:rPr>
                <w:b w:val="0"/>
                <w:sz w:val="18"/>
              </w:rPr>
              <w:t>-0.81</w:t>
            </w:r>
          </w:p>
        </w:tc>
        <w:tc>
          <w:tcPr>
            <w:tcW w:type="dxa" w:w="1372"/>
            <w:vAlign w:val="center"/>
          </w:tcPr>
          <w:p>
            <w:pPr>
              <w:keepNext w:val="0"/>
              <w:spacing w:line="245" w:lineRule="auto" w:before="60" w:after="60"/>
              <w:jc w:val="right"/>
            </w:pPr>
            <w:r>
              <w:rPr>
                <w:b w:val="0"/>
                <w:sz w:val="18"/>
              </w:rPr>
              <w:t>1.69%</w:t>
            </w:r>
          </w:p>
        </w:tc>
        <w:tc>
          <w:tcPr>
            <w:tcW w:type="dxa" w:w="1372"/>
            <w:vAlign w:val="center"/>
          </w:tcPr>
          <w:p>
            <w:pPr>
              <w:keepNext w:val="0"/>
              <w:spacing w:line="245" w:lineRule="auto" w:before="60" w:after="60"/>
              <w:jc w:val="right"/>
            </w:pPr>
            <w:r>
              <w:rPr>
                <w:b w:val="0"/>
                <w:sz w:val="18"/>
              </w:rPr>
              <w:t>13.48%</w:t>
            </w:r>
          </w:p>
        </w:tc>
      </w:tr>
    </w:tbl>
    <w:p>
      <w:pPr>
        <w:spacing w:after="20"/>
      </w:pPr>
    </w:p>
    <w:p>
      <w:pPr>
        <w:keepNext/>
      </w:pPr>
      <w:r>
        <w:t>The full supplement retains prevalences 2%, 5%, 10% and 15%. The compact display pairs loss and workload at 5% and 10% without reselecting policies. Under unchanged within-class rates, π denotes the scenario hazardous fraction, TPR and FNR are the detection and miss fractions among hazardous records, and FPR is the false-alert fraction among non-hazardous records. Expected loss and alert fraction A are:</w:t>
      </w:r>
    </w:p>
    <w:p>
      <w:pPr>
        <w:keepNext/>
        <w:keepLines/>
        <w:jc w:val="center"/>
      </w:pPr>
      <m:oMath>
        <m:sSub>
          <m:e>
            <m:r>
              <m:rPr>
                <m:nor m:val="1"/>
              </m:rPr>
              <w:rPr>
                <w:rFonts w:ascii="Cambria Math" w:hAnsi="Cambria Math"/>
              </w:rPr>
              <m:t>L</m:t>
            </m:r>
          </m:e>
          <m:sub>
            <m:r>
              <m:rPr>
                <m:nor m:val="1"/>
              </m:rPr>
              <w:rPr>
                <w:rFonts w:ascii="Cambria Math" w:hAnsi="Cambria Math"/>
              </w:rPr>
              <m:t>100</m:t>
            </m:r>
          </m:sub>
        </m:sSub>
        <m:d>
          <m:dPr>
            <m:begChr m:val="("/>
            <m:endChr m:val=")"/>
          </m:dPr>
          <m:e>
            <m:r>
              <m:rPr>
                <m:nor m:val="1"/>
              </m:rPr>
              <w:rPr>
                <w:rFonts w:ascii="Cambria Math" w:hAnsi="Cambria Math"/>
              </w:rPr>
              <m:t>π</m:t>
            </m:r>
          </m:e>
        </m:d>
        <m:r>
          <m:rPr>
            <m:nor m:val="1"/>
          </m:rPr>
          <w:rPr>
            <w:rFonts w:ascii="Cambria Math" w:hAnsi="Cambria Math"/>
          </w:rPr>
          <m:t>=</m:t>
        </m:r>
        <m:r>
          <m:rPr>
            <m:nor m:val="1"/>
          </m:rPr>
          <w:rPr>
            <w:rFonts w:ascii="Cambria Math" w:hAnsi="Cambria Math"/>
          </w:rPr>
          <m:t>100</m:t>
        </m:r>
        <m:d>
          <m:dPr>
            <m:begChr m:val="["/>
            <m:endChr m:val="]"/>
          </m:dPr>
          <m:e>
            <m:r>
              <m:rPr>
                <m:nor m:val="1"/>
              </m:rPr>
              <w:rPr>
                <w:rFonts w:ascii="Cambria Math" w:hAnsi="Cambria Math"/>
              </w:rPr>
              <m:t>r</m:t>
            </m:r>
            <m:r>
              <m:rPr>
                <m:nor m:val="1"/>
              </m:rPr>
              <w:rPr>
                <w:rFonts w:ascii="Cambria Math" w:hAnsi="Cambria Math"/>
              </w:rPr>
              <m:t>π</m:t>
            </m:r>
            <m:r>
              <m:rPr>
                <m:nor m:val="1"/>
              </m:rPr>
              <w:rPr>
                <w:rFonts w:ascii="Cambria Math" w:hAnsi="Cambria Math"/>
              </w:rPr>
              <m:t>FNR</m:t>
            </m:r>
            <m:r>
              <m:rPr>
                <m:nor m:val="1"/>
              </m:rPr>
              <w:rPr>
                <w:rFonts w:ascii="Cambria Math" w:hAnsi="Cambria Math"/>
              </w:rPr>
              <m:t>+</m:t>
            </m:r>
            <m:d>
              <m:dPr>
                <m:begChr m:val="("/>
                <m:endChr m:val=")"/>
              </m:dPr>
              <m:e>
                <m:r>
                  <m:rPr>
                    <m:nor m:val="1"/>
                  </m:rPr>
                  <w:rPr>
                    <w:rFonts w:ascii="Cambria Math" w:hAnsi="Cambria Math"/>
                  </w:rPr>
                  <m:t>1</m:t>
                </m:r>
                <m:r>
                  <m:rPr>
                    <m:nor m:val="1"/>
                  </m:rPr>
                  <w:rPr>
                    <w:rFonts w:ascii="Cambria Math" w:hAnsi="Cambria Math"/>
                  </w:rPr>
                  <m:t>−</m:t>
                </m:r>
                <m:r>
                  <m:rPr>
                    <m:nor m:val="1"/>
                  </m:rPr>
                  <w:rPr>
                    <w:rFonts w:ascii="Cambria Math" w:hAnsi="Cambria Math"/>
                  </w:rPr>
                  <m:t>π</m:t>
                </m:r>
              </m:e>
            </m:d>
            <m:r>
              <m:rPr>
                <m:nor m:val="1"/>
              </m:rPr>
              <w:rPr>
                <w:rFonts w:ascii="Cambria Math" w:hAnsi="Cambria Math"/>
              </w:rPr>
              <m:t>FPR</m:t>
            </m:r>
          </m:e>
        </m:d>
      </m:oMath>
    </w:p>
    <w:p>
      <w:pPr>
        <w:keepNext/>
        <w:keepLines/>
        <w:jc w:val="center"/>
      </w:pPr>
      <m:oMath>
        <m:r>
          <m:rPr>
            <m:nor m:val="1"/>
          </m:rPr>
          <w:rPr>
            <w:rFonts w:ascii="Cambria Math" w:hAnsi="Cambria Math"/>
          </w:rPr>
          <m:t>A</m:t>
        </m:r>
        <m:d>
          <m:dPr>
            <m:begChr m:val="("/>
            <m:endChr m:val=")"/>
          </m:dPr>
          <m:e>
            <m:r>
              <m:rPr>
                <m:nor m:val="1"/>
              </m:rPr>
              <w:rPr>
                <w:rFonts w:ascii="Cambria Math" w:hAnsi="Cambria Math"/>
              </w:rPr>
              <m:t>π</m:t>
            </m:r>
          </m:e>
        </m:d>
        <m:r>
          <m:rPr>
            <m:nor m:val="1"/>
          </m:rPr>
          <w:rPr>
            <w:rFonts w:ascii="Cambria Math" w:hAnsi="Cambria Math"/>
          </w:rPr>
          <m:t>=</m:t>
        </m:r>
        <m:r>
          <m:rPr>
            <m:nor m:val="1"/>
          </m:rPr>
          <w:rPr>
            <w:rFonts w:ascii="Cambria Math" w:hAnsi="Cambria Math"/>
          </w:rPr>
          <m:t>π</m:t>
        </m:r>
        <m:r>
          <m:rPr>
            <m:nor m:val="1"/>
          </m:rPr>
          <w:rPr>
            <w:rFonts w:ascii="Cambria Math" w:hAnsi="Cambria Math"/>
          </w:rPr>
          <m:t>TPR</m:t>
        </m:r>
        <m:r>
          <m:rPr>
            <m:nor m:val="1"/>
          </m:rPr>
          <w:rPr>
            <w:rFonts w:ascii="Cambria Math" w:hAnsi="Cambria Math"/>
          </w:rPr>
          <m:t>+</m:t>
        </m:r>
        <m:d>
          <m:dPr>
            <m:begChr m:val="("/>
            <m:endChr m:val=")"/>
          </m:dPr>
          <m:e>
            <m:r>
              <m:rPr>
                <m:nor m:val="1"/>
              </m:rPr>
              <w:rPr>
                <w:rFonts w:ascii="Cambria Math" w:hAnsi="Cambria Math"/>
              </w:rPr>
              <m:t>1</m:t>
            </m:r>
            <m:r>
              <m:rPr>
                <m:nor m:val="1"/>
              </m:rPr>
              <w:rPr>
                <w:rFonts w:ascii="Cambria Math" w:hAnsi="Cambria Math"/>
              </w:rPr>
              <m:t>−</m:t>
            </m:r>
            <m:r>
              <m:rPr>
                <m:nor m:val="1"/>
              </m:rPr>
              <w:rPr>
                <w:rFonts w:ascii="Cambria Math" w:hAnsi="Cambria Math"/>
              </w:rPr>
              <m:t>π</m:t>
            </m:r>
          </m:e>
        </m:d>
        <m:r>
          <m:rPr>
            <m:nor m:val="1"/>
          </m:rPr>
          <w:rPr>
            <w:rFonts w:ascii="Cambria Math" w:hAnsi="Cambria Math"/>
          </w:rPr>
          <m:t>FPR</m:t>
        </m:r>
      </m:oMath>
    </w:p>
    <w:p>
      <w:pPr>
        <w:keepLines/>
        <w:jc w:val="center"/>
      </w:pPr>
      <m:oMath>
        <m:r>
          <m:rPr>
            <m:nor m:val="1"/>
          </m:rPr>
          <w:rPr>
            <w:rFonts w:ascii="Cambria Math" w:hAnsi="Cambria Math"/>
          </w:rPr>
          <m:t>Precision</m:t>
        </m:r>
        <m:d>
          <m:dPr>
            <m:begChr m:val="("/>
            <m:endChr m:val=")"/>
          </m:dPr>
          <m:e>
            <m:r>
              <m:rPr>
                <m:nor m:val="1"/>
              </m:rPr>
              <w:rPr>
                <w:rFonts w:ascii="Cambria Math" w:hAnsi="Cambria Math"/>
              </w:rPr>
              <m:t>π</m:t>
            </m:r>
          </m:e>
        </m:d>
        <m:r>
          <m:rPr>
            <m:nor m:val="1"/>
          </m:rPr>
          <w:rPr>
            <w:rFonts w:ascii="Cambria Math" w:hAnsi="Cambria Math"/>
          </w:rPr>
          <m:t>=</m:t>
        </m:r>
        <m:f>
          <m:num>
            <m:r>
              <m:rPr>
                <m:nor m:val="1"/>
              </m:rPr>
              <w:rPr>
                <w:rFonts w:ascii="Cambria Math" w:hAnsi="Cambria Math"/>
              </w:rPr>
              <m:t>π</m:t>
            </m:r>
            <m:r>
              <m:rPr>
                <m:nor m:val="1"/>
              </m:rPr>
              <w:rPr>
                <w:rFonts w:ascii="Cambria Math" w:hAnsi="Cambria Math"/>
              </w:rPr>
              <m:t>TPR</m:t>
            </m:r>
          </m:num>
          <m:den>
            <m:r>
              <m:rPr>
                <m:nor m:val="1"/>
              </m:rPr>
              <w:rPr>
                <w:rFonts w:ascii="Cambria Math" w:hAnsi="Cambria Math"/>
              </w:rPr>
              <m:t>A</m:t>
            </m:r>
            <m:d>
              <m:dPr>
                <m:begChr m:val="("/>
                <m:endChr m:val=")"/>
              </m:dPr>
              <m:e>
                <m:r>
                  <m:rPr>
                    <m:nor m:val="1"/>
                  </m:rPr>
                  <w:rPr>
                    <w:rFonts w:ascii="Cambria Math" w:hAnsi="Cambria Math"/>
                  </w:rPr>
                  <m:t>π</m:t>
                </m:r>
              </m:e>
            </m:d>
          </m:den>
        </m:f>
      </m:oMath>
    </w:p>
    <w:p>
      <w:r>
        <w:t>Scenario precision is undefined at zero expected alerts (NA); observed zero-alert precision retains its existing zero convention. These scenarios neither diagnose actual shift nor estimate the probability of exceeding capacity.</w:t>
      </w:r>
    </w:p>
    <w:p>
      <w:pPr>
        <w:pStyle w:val="Heading1"/>
      </w:pPr>
      <w:r>
        <w:t>5.6 Monitoring information at matched grades and slots</w:t>
      </w:r>
    </w:p>
    <w:p>
      <w:r>
        <w:t>Historical threshold transfer changes both detection and workload. This supplement holds workload and grade allocation fixed to ask how much additional hazardous-shift coverage the monitoring variables supply. The four-input baseline contains seismic, seismoacoustic, ghazard and shift type; the extended design uses the retained 17 columns. Both use XGBoost, the same four historical fitting/test splits and the same inner AP search, tuned separately for each design. Neither policy-reference labels nor test labels enter fitting or tuning. The two designs therefore receive matched tuning opportunities, unlike the earlier ratings-only ablation that omits shift type.</w:t>
      </w:r>
    </w:p>
    <w:p>
      <w:pPr>
        <w:keepNext/>
      </w:pPr>
      <w:r>
        <w:t>Within each test block, the following K slots are allocated to higher seismic grades first and then to higher model scores within each grade. Both models receive identical total and grade-specific slots. A boundary tie is allocated uniformly: h slots among m tied records containing p hazardous labels contribute the expectation below; labels evaluate the allocation and do not determine it. Counts with decimals are expectations over tie allocation. Each of the 2,000 paired block-bootstrap draws reranks its sampled multiset and recomputes the slots and ties. Length 32 is primary; lengths 16 and 64 and the complete table remain in the supplement. These conditional intervals freeze model fits and tuning and do not cover their uncertainty.</w:t>
      </w:r>
    </w:p>
    <w:p>
      <w:pPr>
        <w:keepNext/>
        <w:keepLines/>
        <w:jc w:val="center"/>
      </w:pPr>
      <m:oMath>
        <m:r>
          <m:rPr>
            <m:nor m:val="1"/>
          </m:rPr>
          <w:rPr>
            <w:rFonts w:ascii="Cambria Math" w:hAnsi="Cambria Math"/>
          </w:rPr>
          <m:t>K</m:t>
        </m:r>
        <m:r>
          <m:rPr>
            <m:nor m:val="1"/>
          </m:rPr>
          <w:rPr>
            <w:rFonts w:ascii="Cambria Math" w:hAnsi="Cambria Math"/>
          </w:rPr>
          <m:t>=</m:t>
        </m:r>
        <m:d>
          <m:dPr>
            <m:begChr m:val="⌊"/>
            <m:endChr m:val="⌋"/>
          </m:dPr>
          <m:e>
            <m:r>
              <m:rPr>
                <m:nor m:val="1"/>
              </m:rPr>
              <w:rPr>
                <w:rFonts w:ascii="Cambria Math" w:hAnsi="Cambria Math"/>
              </w:rPr>
              <m:t>B</m:t>
            </m:r>
            <m:sSub>
              <m:e>
                <m:r>
                  <m:rPr>
                    <m:nor m:val="1"/>
                  </m:rPr>
                  <w:rPr>
                    <w:rFonts w:ascii="Cambria Math" w:hAnsi="Cambria Math"/>
                  </w:rPr>
                  <m:t>N</m:t>
                </m:r>
              </m:e>
              <m:sub>
                <m:r>
                  <m:rPr>
                    <m:nor m:val="1"/>
                  </m:rPr>
                  <w:rPr>
                    <w:rFonts w:ascii="Cambria Math" w:hAnsi="Cambria Math"/>
                  </w:rPr>
                  <m:t>test</m:t>
                </m:r>
              </m:sub>
            </m:sSub>
          </m:e>
        </m:d>
      </m:oMath>
    </w:p>
    <w:p>
      <w:pPr>
        <w:keepLines/>
        <w:jc w:val="center"/>
      </w:pPr>
      <m:oMath>
        <m:r>
          <m:rPr>
            <m:nor m:val="1"/>
          </m:rPr>
          <w:rPr>
            <w:rFonts w:ascii="Cambria Math" w:hAnsi="Cambria Math"/>
          </w:rPr>
          <m:t>E</m:t>
        </m:r>
        <m:d>
          <m:dPr>
            <m:begChr m:val="("/>
            <m:endChr m:val=")"/>
          </m:dPr>
          <m:e>
            <m:r>
              <m:rPr>
                <m:nor m:val="1"/>
              </m:rPr>
              <w:rPr>
                <w:rFonts w:ascii="Cambria Math" w:hAnsi="Cambria Math"/>
              </w:rPr>
              <m:t>TP</m:t>
            </m:r>
          </m:e>
        </m:d>
        <m:r>
          <m:rPr>
            <m:nor m:val="1"/>
          </m:rPr>
          <w:rPr>
            <w:rFonts w:ascii="Cambria Math" w:hAnsi="Cambria Math"/>
          </w:rPr>
          <m:t>=</m:t>
        </m:r>
        <m:f>
          <m:num>
            <m:r>
              <m:rPr>
                <m:nor m:val="1"/>
              </m:rPr>
              <w:rPr>
                <w:rFonts w:ascii="Cambria Math" w:hAnsi="Cambria Math"/>
              </w:rPr>
              <m:t>h</m:t>
            </m:r>
            <m:r>
              <m:rPr>
                <m:nor m:val="1"/>
              </m:rPr>
              <w:rPr>
                <w:rFonts w:ascii="Cambria Math" w:hAnsi="Cambria Math"/>
              </w:rPr>
              <m:t>p</m:t>
            </m:r>
          </m:num>
          <m:den>
            <m:r>
              <m:rPr>
                <m:nor m:val="1"/>
              </m:rPr>
              <w:rPr>
                <w:rFonts w:ascii="Cambria Math" w:hAnsi="Cambria Math"/>
              </w:rPr>
              <m:t>m</m:t>
            </m:r>
          </m:den>
        </m:f>
      </m:oMath>
    </w:p>
    <w:p>
      <w:r>
        <w:t>At 20% test-batch slots, the pooled baseline has E(TP)=30.71 and the extended design 32.00, each using 412 slots. The difference is 1.29 with conditional 95% interval [-5.48, 7.05]. All 16 block-specific primary intervals and all four pooled intervals include zero; the point differences vary across blocks. This workflow has not established a consistent monitoring-information increment, and it does not establish that monitoring information is generally uninformative.</w:t>
      </w:r>
    </w:p>
    <w:p>
      <w:pPr>
        <w:keepNext/>
      </w:pPr>
      <w:r>
        <w:t>At fixed hazardous count P and allocated slots K, expected loss is determined by expected detections; a separate cost grid would restate this contrast:</w:t>
      </w:r>
    </w:p>
    <w:p>
      <w:pPr>
        <w:keepLines/>
        <w:jc w:val="center"/>
      </w:pPr>
      <m:oMath>
        <m:r>
          <m:rPr>
            <m:nor m:val="1"/>
          </m:rPr>
          <w:rPr>
            <w:rFonts w:ascii="Cambria Math" w:hAnsi="Cambria Math"/>
          </w:rPr>
          <m:t>E</m:t>
        </m:r>
        <m:d>
          <m:dPr>
            <m:begChr m:val="("/>
            <m:endChr m:val=")"/>
          </m:dPr>
          <m:e>
            <m:r>
              <m:rPr>
                <m:nor m:val="1"/>
              </m:rPr>
              <w:rPr>
                <w:rFonts w:ascii="Cambria Math" w:hAnsi="Cambria Math"/>
              </w:rPr>
              <m:t>L</m:t>
            </m:r>
          </m:e>
        </m:d>
        <m:r>
          <m:rPr>
            <m:nor m:val="1"/>
          </m:rPr>
          <w:rPr>
            <w:rFonts w:ascii="Cambria Math" w:hAnsi="Cambria Math"/>
          </w:rPr>
          <m:t>=</m:t>
        </m:r>
        <m:r>
          <m:rPr>
            <m:nor m:val="1"/>
          </m:rPr>
          <w:rPr>
            <w:rFonts w:ascii="Cambria Math" w:hAnsi="Cambria Math"/>
          </w:rPr>
          <m:t>r</m:t>
        </m:r>
        <m:r>
          <m:rPr>
            <m:nor m:val="1"/>
          </m:rPr>
          <w:rPr>
            <w:rFonts w:ascii="Cambria Math" w:hAnsi="Cambria Math"/>
          </w:rPr>
          <m:t>P</m:t>
        </m:r>
        <m:r>
          <m:rPr>
            <m:nor m:val="1"/>
          </m:rPr>
          <w:rPr>
            <w:rFonts w:ascii="Cambria Math" w:hAnsi="Cambria Math"/>
          </w:rPr>
          <m:t>+</m:t>
        </m:r>
        <m:r>
          <m:rPr>
            <m:nor m:val="1"/>
          </m:rPr>
          <w:rPr>
            <w:rFonts w:ascii="Cambria Math" w:hAnsi="Cambria Math"/>
          </w:rPr>
          <m:t>K</m:t>
        </m:r>
        <m:r>
          <m:rPr>
            <m:nor m:val="1"/>
          </m:rPr>
          <w:rPr>
            <w:rFonts w:ascii="Cambria Math" w:hAnsi="Cambria Math"/>
          </w:rPr>
          <m:t>−</m:t>
        </m:r>
        <m:d>
          <m:dPr>
            <m:begChr m:val="("/>
            <m:endChr m:val=")"/>
          </m:dPr>
          <m:e>
            <m:r>
              <m:rPr>
                <m:nor m:val="1"/>
              </m:rPr>
              <w:rPr>
                <w:rFonts w:ascii="Cambria Math" w:hAnsi="Cambria Math"/>
              </w:rPr>
              <m:t>r</m:t>
            </m:r>
            <m:r>
              <m:rPr>
                <m:nor m:val="1"/>
              </m:rPr>
              <w:rPr>
                <w:rFonts w:ascii="Cambria Math" w:hAnsi="Cambria Math"/>
              </w:rPr>
              <m:t>+</m:t>
            </m:r>
            <m:r>
              <m:rPr>
                <m:nor m:val="1"/>
              </m:rPr>
              <w:rPr>
                <w:rFonts w:ascii="Cambria Math" w:hAnsi="Cambria Math"/>
              </w:rPr>
              <m:t>1</m:t>
            </m:r>
          </m:e>
        </m:d>
        <m:r>
          <m:rPr>
            <m:nor m:val="1"/>
          </m:rPr>
          <w:rPr>
            <w:rFonts w:ascii="Cambria Math" w:hAnsi="Cambria Math"/>
          </w:rPr>
          <m:t>E</m:t>
        </m:r>
        <m:d>
          <m:dPr>
            <m:begChr m:val="("/>
            <m:endChr m:val=")"/>
          </m:dPr>
          <m:e>
            <m:r>
              <m:rPr>
                <m:nor m:val="1"/>
              </m:rPr>
              <w:rPr>
                <w:rFonts w:ascii="Cambria Math" w:hAnsi="Cambria Math"/>
              </w:rPr>
              <m:t>TP</m:t>
            </m:r>
          </m:e>
        </m:d>
      </m:oMath>
    </w:p>
    <w:p>
      <w:pPr>
        <w:keepNext/>
        <w:jc w:val="center"/>
      </w:pPr>
      <w:r>
        <w:drawing>
          <wp:inline xmlns:a="http://schemas.openxmlformats.org/drawingml/2006/main" xmlns:pic="http://schemas.openxmlformats.org/drawingml/2006/picture">
            <wp:extent cx="5669280" cy="5865857"/>
            <wp:docPr id="5" name="Picture 5"/>
            <wp:cNvGraphicFramePr>
              <a:graphicFrameLocks noChangeAspect="1"/>
            </wp:cNvGraphicFramePr>
            <a:graphic>
              <a:graphicData uri="http://schemas.openxmlformats.org/drawingml/2006/picture">
                <pic:pic>
                  <pic:nvPicPr>
                    <pic:cNvPr id="0" name="monitoring_increment.png"/>
                    <pic:cNvPicPr/>
                  </pic:nvPicPr>
                  <pic:blipFill>
                    <a:blip r:embed="rId17">
                      <a:extLst>
                        <a:ext uri="{96DAC541-7B7A-43D3-8B79-37D633B846F1}">
                          <asvg:svgBlip xmlns:asvg="http://schemas.microsoft.com/office/drawing/2016/SVG/main" r:embed="rId18"/>
                        </a:ext>
                      </a:extLst>
                    </a:blip>
                    <a:stretch>
                      <a:fillRect/>
                    </a:stretch>
                  </pic:blipFill>
                  <pic:spPr>
                    <a:xfrm>
                      <a:off x="0" y="0"/>
                      <a:ext cx="5669280" cy="5865857"/>
                    </a:xfrm>
                    <a:prstGeom prst="rect"/>
                  </pic:spPr>
                </pic:pic>
              </a:graphicData>
            </a:graphic>
          </wp:inline>
        </w:drawing>
      </w:r>
    </w:p>
    <w:p>
      <w:pPr>
        <w:pStyle w:val="Caption"/>
        <w:keepLines/>
      </w:pPr>
      <w:r>
        <w:t>Figure 5. Extended minus grade-plus-shift expected detections at identical seismic-grade allocations and test-batch slots. Positive differences favor added monitoring; bars are conditional 95% paired reranking intervals at block length 32. All four blocks and four slot fractions are shown; pooled results are supplementary. These fractions fix test-batch slots, whereas the earlier historical budgets constrain reference threshold selection and permit future workload to change.</w:t>
      </w:r>
    </w:p>
    <w:p>
      <w:r>
        <w:t>The two uses of 20% answer different questions. Historical C at r=10 produces 34 test alerts and 2 detections, whereas this batch study allocates 412 slots to each model. Its 32.00 expected detections cannot be compared with C as an improvement at equal workload. The batch task is retrospective ranking, not observed dispatch. Its protocol was specified after these test records had been examined; the records overlap the two stages and add no independent validation cohort.</w:t>
      </w:r>
    </w:p>
    <w:p>
      <w:hyperlink r:id="rId19">
        <w:r>
          <w:t>Exploratory supplement: matched design, all intervals and reproduction details</w:t>
        </w:r>
      </w:hyperlink>
    </w:p>
    <w:p>
      <w:hyperlink r:id="rId20">
        <w:r>
          <w:t>Supplementary decision combinations and threshold evidence</w:t>
        </w:r>
      </w:hyperlink>
    </w:p>
    <w:p>
      <w:pPr>
        <w:pStyle w:val="Heading1"/>
      </w:pPr>
      <w:r>
        <w:t>6 Integrated interpretation and next evidence</w:t>
      </w:r>
    </w:p>
    <w:p>
      <w:r>
        <w:t>Common-cohort comparisons establish protocol-gap sensitivity, probability correction concerns a named error reference, and feature attribution concerns fitted-model use. These supporting analyses distinguish the forecast evidence needed to interpret subsequent warning decisions.</w:t>
      </w:r>
    </w:p>
    <w:p>
      <w:r>
        <w:t>Decision evaluation adds information that ranking, probability assessment and attribution do not supply. At the displayed cost, C can lower loss and inspection demand relative to A while having no favorable pooled point difference against no alarms. Historical capacity choices explain why rules are silent or active, whereas later counts show their transferred coverage and workload. Refitting changes which score function is subjected to a historical cutoff. These comparisons establish workflow-specific tradeoffs; they do not identify a universally preferred policy.</w:t>
      </w:r>
    </w:p>
    <w:p>
      <w:r>
        <w:t>Block-specific evidence must accompany the pooled comparison. In record block 1, C at 5% and 10% has no detections and loss-difference intervals entirely above zero. The nonzero pooled intervals cross zero. Pooling therefore does not describe every record block, and an unresolved pooled direction does not erase a resolved increase within the stated record block and conditional analysis.</w:t>
      </w:r>
    </w:p>
    <w:p>
      <w:r>
        <w:t>The shared cohort is also the main inference boundary. Recorded order supplies no verified timestamps or longwall continuity. Deduplication reproduces a public mirror, not a certified operational history. Costs, capacity slots and the absence of an excess-demand penalty are explicit scenario assumptions. The target counts hazardous shifts, not accidents, executed inspections or interventions. Two analyses of the same observed records increase explanatory coverage, not the number of independent validation cohorts.</w:t>
      </w:r>
    </w:p>
    <w:p>
      <w:r>
        <w:t>Additional direct-grade and no-alarm contrasts show that decision value depends on the comparator: cost-only XGBoost has lower loss than the identical grade-rule decisions at r=10, while its no-alarm interval spans zero. The matched-information analysis fixes workload and does not establish a consistent monitoring increment beyond grades and shift type. Full refit/reselection uncertainty requires a separate protocol; credible lag features require verified continuity. Independent-site and inspection outcomes are the next evidence needed.</w:t>
      </w:r>
    </w:p>
    <w:p>
      <w:pPr>
        <w:pStyle w:val="Heading1"/>
      </w:pPr>
      <w:r>
        <w:t>7 Conclusions</w:t>
      </w:r>
    </w:p>
    <w:p>
      <w:r>
        <w:t>Comparable-cohort evaluation reduces the original AP gaps by 89.7% for LR, 86.9% for CART, 89.4% for XGBoost; this quantifies cohort sensitivity, not leakage or drift attribution. At r=10 and a 20% historical budget, capacity-constrained cost rules produce 34 alerts and 2/88 detections, versus 557 alerts and 25/88 for budget-only rules. C in record block 1 at 5% and 10% has no detections and positive loss-difference intervals; the nonzero pooled C intervals span zero. Joint loss, detection and workload accounting shows why historical optimality and capacity feasibility do not establish later decision value.</w:t>
      </w:r>
    </w:p>
    <w:p>
      <w:r>
        <w:t>Fixing grade allocations and test-batch slots provides a different comparison: at 20%, monitoring inputs add 1.29 expected detections to a grade-plus-shift model, with conditional interval [-5.48, 7.05] and 412 slots per model. The block-specific evidence does not establish a consistent increment. Historical threshold transfer and equal-slot batch ranking should therefore remain distinct when interpreting decision value. Independent timestamped working-face data with inspection outcomes are needed to test transfer beyond this cohort.</w:t>
      </w:r>
    </w:p>
    <w:p>
      <w:pPr>
        <w:pStyle w:val="Heading1"/>
      </w:pPr>
      <w:r>
        <w:t>Data, code, contributions and AI assistance</w:t>
      </w:r>
    </w:p>
    <w:p>
      <w:r>
        <w:t>The repository retains source mapping, predictions, historical candidates, row-level decisions, resampling outputs and version-specific checks. The reporting guide documents generation and verification; both stage papers provide technical detail. Code and evidence: https://github.com/junjie-yang11/seismic-bump-forecasting.</w:t>
      </w:r>
    </w:p>
    <w:p>
      <w:r>
        <w:t>The author directed scope, protocol refinement and review priorities. ChatGPT and Codex substantially assisted implementation, execution, computational and reference checks, and writing. CONTRIBUTIONS.md documents these roles. AI-assisted writing workflows do not supply scientific evidence for the research conclusions.</w:t>
      </w:r>
    </w:p>
    <w:p>
      <w:pPr>
        <w:pStyle w:val="Heading1"/>
      </w:pPr>
      <w:r>
        <w:t>References</w:t>
      </w:r>
    </w:p>
    <w:p>
      <w:pPr>
        <w:ind w:left="331" w:hanging="331"/>
        <w:jc w:val="left"/>
      </w:pPr>
      <w:r>
        <w:rPr>
          <w:sz w:val="20"/>
        </w:rPr>
        <w:t>[1] Sikora M, Wrobel L. Seismic Bumps [Dataset]. UCI Machine Learning Repository, 2010. DOI: 10.24432/C5W902. https://archive.ics.uci.edu/dataset/266/seismic+bumps</w:t>
      </w:r>
    </w:p>
    <w:p>
      <w:pPr>
        <w:ind w:left="331" w:hanging="331"/>
        <w:jc w:val="left"/>
      </w:pPr>
      <w:r>
        <w:rPr>
          <w:sz w:val="20"/>
        </w:rPr>
        <w:t>[2] Sikora M, Wrobel L. Application of rule induction algorithms for analysis of data collected by seismic hazard monitoring systems in coal mines. Archives of Mining Sciences, 2010, 55(1):91-114. Author-linked full text: https://www.researchgate.net/publication/281395657</w:t>
      </w:r>
    </w:p>
    <w:p>
      <w:pPr>
        <w:ind w:left="331" w:hanging="331"/>
        <w:jc w:val="left"/>
      </w:pPr>
      <w:r>
        <w:rPr>
          <w:sz w:val="20"/>
        </w:rPr>
        <w:t>[3] Janusz A, Grzegorowski M, Michalak M, Wrobel L, Sikora M, Slezak D. Predicting seismic events in coal mines based on underground sensor measurements. Engineering Applications of Artificial Intelligence, 2017, 64:83-94. DOI: 10.1016/j.engappai.2017.06.002.</w:t>
      </w:r>
    </w:p>
    <w:p>
      <w:pPr>
        <w:ind w:left="331" w:hanging="331"/>
        <w:jc w:val="left"/>
      </w:pPr>
      <w:r>
        <w:rPr>
          <w:sz w:val="20"/>
        </w:rPr>
        <w:t>[4] Anikiev D, Birnie C, Waheed Ub, Alkhalifah T, Gu C, Verschuur DJ, Eisner L. Machine learning in microseismic monitoring. Earth-Science Reviews, 2023, 239:104371. DOI: 10.1016/j.earscirev.2023.104371.</w:t>
      </w:r>
    </w:p>
    <w:p>
      <w:pPr>
        <w:ind w:left="331" w:hanging="331"/>
        <w:jc w:val="left"/>
      </w:pPr>
      <w:r>
        <w:rPr>
          <w:sz w:val="20"/>
        </w:rPr>
        <w:t>[5] Hernández-Orallo J, Flach P, Ferri C. A Unified View of Performance Metrics: Translating Threshold Choice into Expected Classification Loss. Journal of Machine Learning Research, 2012, 13:2813-2869. https://jmlr.org/papers/v13/hernandez-orallo12a.html</w:t>
      </w:r>
    </w:p>
    <w:p>
      <w:pPr>
        <w:ind w:left="331" w:hanging="331"/>
        <w:jc w:val="left"/>
      </w:pPr>
      <w:r>
        <w:rPr>
          <w:sz w:val="20"/>
        </w:rPr>
        <w:t>[6] Spahic R, Hepsø V, Lundteigen MA. A Novel Warning Identification Framework for Risk-Informed Anomaly Detection. Journal of Intelligent &amp; Robotic Systems, 2023, 108:17. DOI: 10.1007/s10846-023-01887-2.</w:t>
      </w:r>
    </w:p>
    <w:p>
      <w:pPr>
        <w:ind w:left="331" w:hanging="331"/>
        <w:jc w:val="left"/>
      </w:pPr>
      <w:r>
        <w:rPr>
          <w:sz w:val="20"/>
        </w:rPr>
        <w:t>[7] Saito T, Rehmsmeier M. The Precision-Recall Plot Is More Informative than the ROC Plot When Evaluating Binary Classifiers on Imbalanced Datasets. PLOS ONE, 2015, 10(3):e0118432. DOI: 10.1371/journal.pone.0118432.</w:t>
      </w:r>
    </w:p>
    <w:p>
      <w:pPr>
        <w:ind w:left="331" w:hanging="331"/>
        <w:jc w:val="left"/>
      </w:pPr>
      <w:r>
        <w:rPr>
          <w:sz w:val="20"/>
        </w:rPr>
        <w:t>[8] datasets/seismic-bumps. CSV mirror and preparation description. https://github.com/datasets/seismic-bumps</w:t>
      </w:r>
    </w:p>
    <w:p>
      <w:pPr>
        <w:ind w:left="331" w:hanging="331"/>
        <w:jc w:val="left"/>
      </w:pPr>
      <w:r>
        <w:rPr>
          <w:sz w:val="20"/>
        </w:rPr>
        <w:t>[9] Chen T, Guestrin C. XGBoost: A Scalable Tree Boosting System. Proceedings of KDD, 2016, 785-794. DOI: 10.1145/2939672.2939785.</w:t>
      </w:r>
    </w:p>
    <w:p>
      <w:pPr>
        <w:ind w:left="331" w:hanging="331"/>
        <w:jc w:val="left"/>
      </w:pPr>
      <w:r>
        <w:rPr>
          <w:sz w:val="20"/>
        </w:rPr>
        <w:t>[10] Bergmeir C, Benitez JM. On the use of cross-validation for time series predictor evaluation. Information Sciences, 2012, 191:192-213. DOI: 10.1016/j.ins.2011.12.028.</w:t>
      </w:r>
    </w:p>
    <w:p>
      <w:pPr>
        <w:ind w:left="331" w:hanging="331"/>
        <w:jc w:val="left"/>
      </w:pPr>
      <w:r>
        <w:rPr>
          <w:sz w:val="20"/>
        </w:rPr>
        <w:t>[11] Roberts DR et al. Cross-validation strategies for data with temporal, spatial, hierarchical, or phylogenetic structure. Ecography, 2017, 40:913-929. DOI: 10.1111/ecog.02881.</w:t>
      </w:r>
    </w:p>
    <w:p>
      <w:pPr>
        <w:ind w:left="331" w:hanging="331"/>
        <w:jc w:val="left"/>
      </w:pPr>
      <w:r>
        <w:rPr>
          <w:sz w:val="20"/>
        </w:rPr>
        <w:t>[12] Pakdaman Naeini M, Cooper G, Hauskrecht M. Obtaining Well Calibrated Probabilities Using Bayesian Binning. Proceedings of the AAAI Conference on Artificial Intelligence, 2015, 29(1). DOI: 10.1609/aaai.v29i1.9602.</w:t>
      </w:r>
    </w:p>
    <w:p>
      <w:pPr>
        <w:ind w:left="331" w:hanging="331"/>
        <w:jc w:val="left"/>
      </w:pPr>
      <w:r>
        <w:rPr>
          <w:sz w:val="20"/>
        </w:rPr>
        <w:t>[13] Guo C, Pleiss G, Sun Y, Weinberger KQ. On Calibration of Modern Neural Networks. Proceedings of ICML, PMLR 70, 2017:1321-1330. https://proceedings.mlr.press/v70/guo17a.html</w:t>
      </w:r>
    </w:p>
    <w:p>
      <w:pPr>
        <w:ind w:left="331" w:hanging="331"/>
        <w:jc w:val="left"/>
      </w:pPr>
      <w:r>
        <w:rPr>
          <w:sz w:val="20"/>
        </w:rPr>
        <w:t>[14] Brier GW. Verification of Forecasts Expressed in Terms of Probability. Monthly Weather Review, 1950, 78(1):1-3. DOI: 10.1175/1520-0493(1950)078&lt;0001:VOFEIT&gt;2.0.CO;2.</w:t>
      </w:r>
    </w:p>
    <w:p>
      <w:pPr>
        <w:ind w:left="331" w:hanging="331"/>
        <w:jc w:val="left"/>
      </w:pPr>
      <w:r>
        <w:rPr>
          <w:sz w:val="20"/>
        </w:rPr>
        <w:t>[15] Lipton ZC, Wang YX, Smola AJ. Detecting and Correcting for Label Shift with Black Box Predictors. Proceedings of ICML, PMLR 80, 2018:3122-3130. https://proceedings.mlr.press/v80/lipton18a.html</w:t>
      </w:r>
    </w:p>
    <w:p>
      <w:pPr>
        <w:ind w:left="331" w:hanging="331"/>
        <w:jc w:val="left"/>
      </w:pPr>
      <w:r>
        <w:rPr>
          <w:sz w:val="20"/>
        </w:rPr>
        <w:t>[16] Lundberg SM et al. From local explanations to global understanding with explainable AI for trees. Nature Machine Intelligence, 2020, 2:56-67. DOI: 10.1038/s42256-019-0138-9.</w:t>
      </w:r>
    </w:p>
    <w:p>
      <w:pPr>
        <w:ind w:left="331" w:hanging="331"/>
        <w:jc w:val="left"/>
      </w:pPr>
      <w:r>
        <w:rPr>
          <w:sz w:val="20"/>
        </w:rPr>
        <w:t>[17] XGBoost documentation. Booster.predict and exact feature contributions. https://xgboost.readthedocs.io/en/stable/python/python_api.html</w:t>
      </w:r>
    </w:p>
    <w:p>
      <w:pPr>
        <w:ind w:left="331" w:hanging="331"/>
        <w:jc w:val="left"/>
      </w:pPr>
      <w:r>
        <w:rPr>
          <w:sz w:val="20"/>
        </w:rPr>
        <w:t>[18] Elkan C. The Foundations of Cost-Sensitive Learning. Proceedings of IJCAI, 2001:973-978. Author manuscript: https://cseweb.ucsd.edu/~elkan/rescale.pdf</w:t>
      </w:r>
    </w:p>
    <w:p>
      <w:pPr>
        <w:ind w:left="331" w:hanging="331"/>
        <w:jc w:val="left"/>
      </w:pPr>
      <w:r>
        <w:rPr>
          <w:sz w:val="20"/>
        </w:rPr>
        <w:t>[19] Shalizi CR. Simulation for Inference I: The Bootstrap. Carnegie Mellon University course notes, 2018. https://stat.cmu.edu/~cshalizi/dst/18/lectures/18/lecture-18.html</w:t>
      </w:r>
    </w:p>
    <w:p>
      <w:pPr>
        <w:ind w:left="331" w:hanging="331"/>
        <w:jc w:val="left"/>
      </w:pPr>
      <w:r>
        <w:rPr>
          <w:sz w:val="20"/>
        </w:rPr>
        <w:t>[20] Künsch HR. The Jackknife and the Bootstrap for General Stationary Observations. The Annals of Statistics, 1989, 17(3):1217-1241. DOI: 10.1214/aos/1176347265.</w:t>
      </w:r>
    </w:p>
    <w:sectPr>
      <w:footerReference w:type="default" r:id="rId21"/>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oNotAutoCompressPictures/>
  <w14:defaultImageDpi w14:val="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jc w:val="both"/>
    </w:pPr>
    <w:rPr>
      <w:rFonts w:ascii="Times New Roman" w:hAnsi="Times New Roman" w:eastAsia="Times New Roman" w:cs="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cstheme="majorBidi" w:ascii="Times New Roman" w:hAnsi="Times New Roman" w:eastAsia="Times New Roman" w:cs="Times New Roman"/>
      <w:b/>
      <w:bCs/>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cstheme="majorBidi" w:ascii="Times New Roman" w:hAnsi="Times New Roman" w:eastAsia="Times New Roman" w:cs="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cstheme="majorBidi" w:ascii="Times New Roman" w:hAnsi="Times New Roman" w:eastAsia="Times New Roman" w:cs="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cstheme="majorBidi"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val="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eastAsia="Times New Roman" w:cs="Times New Roman"/>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vector1.svg"/><Relationship Id="rId11" Type="http://schemas.openxmlformats.org/officeDocument/2006/relationships/image" Target="media/image2.png"/><Relationship Id="rId12" Type="http://schemas.openxmlformats.org/officeDocument/2006/relationships/image" Target="media/vector2.svg"/><Relationship Id="rId13" Type="http://schemas.openxmlformats.org/officeDocument/2006/relationships/image" Target="media/image3.png"/><Relationship Id="rId14" Type="http://schemas.openxmlformats.org/officeDocument/2006/relationships/image" Target="media/vector3.svg"/><Relationship Id="rId15" Type="http://schemas.openxmlformats.org/officeDocument/2006/relationships/image" Target="media/image4.png"/><Relationship Id="rId16" Type="http://schemas.openxmlformats.org/officeDocument/2006/relationships/image" Target="media/vector4.svg"/><Relationship Id="rId17" Type="http://schemas.openxmlformats.org/officeDocument/2006/relationships/image" Target="media/image5.png"/><Relationship Id="rId18" Type="http://schemas.openxmlformats.org/officeDocument/2006/relationships/image" Target="media/vector5.svg"/><Relationship Id="rId19" Type="http://schemas.openxmlformats.org/officeDocument/2006/relationships/hyperlink" Target="https://github.com/junjie-yang11/seismic-bump-forecasting/blob/manuscript-2026-10-25/reports/information/monitoring_information_increment.pdf" TargetMode="External"/><Relationship Id="rId20" Type="http://schemas.openxmlformats.org/officeDocument/2006/relationships/hyperlink" Target="https://github.com/junjie-yang11/seismic-bump-forecasting/blob/manuscript-2026-10-25/reports/overall/decision_comparison_supplement.pdf" TargetMode="External"/><Relationship Id="rId2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Forecast Evaluation to Warning Decisions: A Retrospective Study of Seismic Hazard in Underground Mining</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