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Test-cohort composition materially changes the apparent validation gap in seismic hazard forecasting. We evaluate logistic regression (LR), bagged CART and training-tuned XGBoost on 2,063 common test rows from the 2,578-row UCI Seismic Bumps mirror. Record order serves as a temporal proxy because timestamps and longwall identifiers are absent. Matching test rows reduces the apparent random-versus-record-order average-precision gap by 89.7 percent for LR and 86.9 percent for CART. Residual differences are 0.0114 (95 percent interval [-0.0110, 0.0243]) and 0.0188 ([0.0064, 0.0323]), respectively. These changes quantify sensitivity to evaluation-cohort composition.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assess the predictive information in hazard ratings, geophone signals, seismic activity and shift type. Exact TreeSHAP identifies total seismic energy, low-energy event counts and pulse activity as recurring contributors to XGBoost predictions; comparison with refitted feature ablations distinguishes model reliance from incremental predictive value. At training reference budgets of 10 and 20 percent, supplementary holdout XGBoost produces 30 and 81 alerts and detects 3 and 6 of 26 hazardous shifts. The results distinguish three properties needed for engineering interpretation: performance on comparable shifts, the probability scale of the forecasts and the detection workload of a warning rule. Paired intervals describe uncertainty conditional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Interpreting a forecast for engineering review requires evidence about its performance on later shifts, the monitoring signals it uses and the inspections its warnings would trigger. These questions connect model evaluation to detected hazards, missed hazardous shifts and false-alert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Their coexistence makes the additional predictive information in measured signals testable against the recorded assessments. The target is next-shift high-energy seismic occurrence; confirmed rockburst accidents are outside its label definition.</w:t>
      </w:r>
    </w:p>
    <w:p>
      <w:r>
        <w:t>Validation protocols can change both the training history and the test population [3,4]. Comparing their scores on different shifts can therefore obscure the source of an apparent performance gap. A common test cohort makes that comparison interpretable, while probability assessment determines what the score scale conveys. Feature ablation, model explanations and frozen thresholds then connect the monitoring inputs to predictive contribution and warning workload.</w:t>
      </w:r>
    </w:p>
    <w:p>
      <w:r>
        <w:t>This study examines how evaluation-cohort composition changes the validation gap and how monitoring information translates into forecasts and warning decisions. The common cohort supports comparisons across three model families, and nine prespecified feature combinations test the contribution of each engineering group. Exact TreeSHAP traces how the fitted XGBoost models use these signals across four test phases; comparison with refitted ablations separates model reliance from observed predictive gains. Four training reference budgets quantify detections, missed shifts and inspection workload after threshold transfer. All comparisons use saved row-level predictions and explicit training-only selection rules.</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Variables</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Question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seismoacoustic, ghazard</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How much information is already represented by recorded assessments?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 gpuls, gdenergy, gdpuls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energy, pulse activity and deviations add information beyond ratings?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 to nbumps89, energy, maxenergy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event counts by energy band and released-energy measures add information?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Does shift type provide predictive context?</w:t>
            </w:r>
          </w:p>
        </w:tc>
      </w:tr>
    </w:tbl>
    <w:p>
      <w:pPr>
        <w:spacing w:after="20"/>
      </w:pPr>
    </w:p>
    <w:p>
      <w:r>
        <w:t>Categorical fields retain the existing ordinal encoding. The total count nbumps is excluded from the retained 17-column design, which includes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Full-feature XGBoost models explain their own outer-test predictions through native exact TreeSHAP, using the training-derived leaf covers as the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frozen-inner-model comparison would isolate this refitting contribution from temporal distribution changes.</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82"/>
        <w:gridCol w:w="1462"/>
        <w:gridCol w:w="1828"/>
        <w:gridCol w:w="1462"/>
        <w:gridCol w:w="2925"/>
      </w:tblGrid>
      <w:tr>
        <w:trPr>
          <w:cantSplit/>
          <w:tblHeader/>
        </w:trPr>
        <w:tc>
          <w:tcPr>
            <w:tcW w:type="dxa" w:w="16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AP</w:t>
            </w:r>
          </w:p>
        </w:tc>
        <w:tc>
          <w:tcPr>
            <w:tcW w:type="dxa" w:w="182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29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0.0972</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0.0188</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[0.0064, 0.0323]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0.0995</w:t>
            </w:r>
          </w:p>
        </w:tc>
        <w:tc>
          <w:tcPr>
            <w:tcW w:type="dxa" w:w="182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0.0133</w:t>
            </w:r>
          </w:p>
        </w:tc>
        <w:tc>
          <w:tcPr>
            <w:tcW w:type="dxa" w:w="29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Columns</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17</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0.0862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0.0596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hazard ratings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0.0856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geophone</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0.0828</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seismic activity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0.1292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Shift type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0.0504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16</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0.0837</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0.0778</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94"/>
        <w:gridCol w:w="2530"/>
        <w:gridCol w:w="4337"/>
      </w:tblGrid>
      <w:tr>
        <w:trPr>
          <w:cantSplit/>
          <w:tblHeader/>
        </w:trPr>
        <w:tc>
          <w:tcPr>
            <w:tcW w:type="dxa" w:w="24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Incremental AP</w:t>
            </w:r>
          </w:p>
        </w:tc>
        <w:tc>
          <w:tcPr>
            <w:tcW w:type="dxa" w:w="4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0.0243</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[-0.0039, 0.0619]</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0.0046</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[-0.0252, 0.0264]</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2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0.0096</w:t>
            </w:r>
          </w:p>
        </w:tc>
        <w:tc>
          <w:tcPr>
            <w:tcW w:type="dxa" w:w="4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79"/>
        <w:gridCol w:w="1373"/>
        <w:gridCol w:w="1831"/>
        <w:gridCol w:w="1831"/>
        <w:gridCol w:w="1373"/>
        <w:gridCol w:w="1373"/>
      </w:tblGrid>
      <w:tr>
        <w:trPr>
          <w:cantSplit/>
          <w:tblHeader/>
        </w:trPr>
        <w:tc>
          <w:tcPr>
            <w:tcW w:type="dxa" w:w="157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skill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Brier</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skill</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0.0342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0.0433</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0.0472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-0.0607</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0.0429</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0.0573</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303520" cy="3155814"/>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303520" cy="3155814"/>
                    </a:xfrm>
                    <a:prstGeom prst="rect"/>
                  </pic:spPr>
                </pic:pic>
              </a:graphicData>
            </a:graphic>
          </wp:inline>
        </w:drawing>
      </w:r>
    </w:p>
    <w:p>
      <w:pPr>
        <w:pStyle w:val="Caption"/>
        <w:jc w:val="both"/>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42"/>
        <w:gridCol w:w="4425"/>
        <w:gridCol w:w="2893"/>
      </w:tblGrid>
      <w:tr>
        <w:trPr>
          <w:cantSplit/>
          <w:tblHeader/>
        </w:trPr>
        <w:tc>
          <w:tcPr>
            <w:tcW w:type="dxa" w:w="204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44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absolute contribution</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Value association</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0.5642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0.6854</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0.3902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0.7179</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gpuls</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0.3523</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0.7668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0.1466</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0.0148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w:t>
            </w:r>
          </w:p>
        </w:tc>
        <w:tc>
          <w:tcPr>
            <w:tcW w:type="dxa" w:w="44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0.1391</w:t>
            </w:r>
          </w:p>
        </w:tc>
        <w:tc>
          <w:tcPr>
            <w:tcW w:type="dxa" w:w="289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Model reliance and incremental predictive value are distinct: influential signals need not improve the performance of a refitted model under the tested configuration. The interval leaves the direction of the group-removal gain unresolved.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669280" cy="2834640"/>
                    </a:xfrm>
                    <a:prstGeom prst="rect"/>
                  </pic:spPr>
                </pic:pic>
              </a:graphicData>
            </a:graphic>
          </wp:inline>
        </w:drawing>
      </w:r>
    </w:p>
    <w:p>
      <w:pPr>
        <w:pStyle w:val="Caption"/>
        <w:jc w:val="both"/>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669280" cy="2105733"/>
                    </a:xfrm>
                    <a:prstGeom prst="rect"/>
                  </pic:spPr>
                </pic:pic>
              </a:graphicData>
            </a:graphic>
          </wp:inline>
        </w:drawing>
      </w:r>
    </w:p>
    <w:p>
      <w:pPr>
        <w:pStyle w:val="Caption"/>
        <w:jc w:val="both"/>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Rows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Positives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Prevalence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 AP</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0.0698</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0.1341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0.0194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0.0284</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0.0465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0.0632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18</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0.1142</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The TP, FP and FN categories depend on predicted alerts and observed labels. The first row in each category supplies a deterministic illustration with limited discretionary case selection.</w:t>
      </w:r>
    </w:p>
    <w:p>
      <w:pPr>
        <w:keepNext/>
        <w:jc w:val="center"/>
      </w:pPr>
      <w:r>
        <w:drawing>
          <wp:inline xmlns:a="http://schemas.openxmlformats.org/drawingml/2006/main" xmlns:pic="http://schemas.openxmlformats.org/drawingml/2006/picture">
            <wp:extent cx="5669280" cy="2146227"/>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669280" cy="2146227"/>
                    </a:xfrm>
                    <a:prstGeom prst="rect"/>
                  </pic:spPr>
                </pic:pic>
              </a:graphicData>
            </a:graphic>
          </wp:inline>
        </w:drawing>
      </w:r>
    </w:p>
    <w:p>
      <w:pPr>
        <w:pStyle w:val="Caption"/>
        <w:jc w:val="both"/>
      </w:pPr>
      <w:r>
        <w:t>Figure 4. Earliest holdout true-positive, false-positive and false-negative cases under the 10 percent reference budget. IDs are one-based mirror rows; raw log-odds contributions, including Other features, sum with the bias to the margin.</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4846320" cy="2630859"/>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4846320" cy="2630859"/>
                    </a:xfrm>
                    <a:prstGeom prst="rect"/>
                  </pic:spPr>
                </pic:pic>
              </a:graphicData>
            </a:graphic>
          </wp:inline>
        </w:drawing>
      </w:r>
    </w:p>
    <w:p>
      <w:pPr>
        <w:pStyle w:val="Caption"/>
        <w:jc w:val="both"/>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76"/>
        <w:gridCol w:w="1023"/>
        <w:gridCol w:w="1023"/>
        <w:gridCol w:w="1023"/>
        <w:gridCol w:w="1023"/>
        <w:gridCol w:w="1023"/>
        <w:gridCol w:w="1023"/>
        <w:gridCol w:w="1023"/>
        <w:gridCol w:w="1023"/>
      </w:tblGrid>
      <w:tr>
        <w:trPr>
          <w:cantSplit/>
          <w:tblHeader/>
        </w:trPr>
        <w:tc>
          <w:tcPr>
            <w:tcW w:type="dxa" w:w="117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Budget</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False 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 rate</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Precision</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0.0013</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0.1429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0.0672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0.1538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0.2500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0.0103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0.1250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0.1923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0.0820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0.1047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0.2308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policy curves describe the observed detection–workload tradeoff. Choosing an operating budget would also require defined inspection capacity and consequences of missed hazards.</w:t>
      </w:r>
    </w:p>
    <w:p>
      <w:pPr>
        <w:pStyle w:val="Heading1"/>
      </w:pPr>
      <w:r>
        <w:t>7 Discussion</w:t>
      </w:r>
    </w:p>
    <w:p>
      <w:pPr>
        <w:pStyle w:val="Heading2"/>
      </w:pPr>
      <w:r>
        <w:t>7.1 Connecting monitoring evidence to warning decisions</w:t>
      </w:r>
    </w:p>
    <w:p>
      <w:r>
        <w:t>Matching test rows sharply reduces the LR and CART validation gaps, showing that the evaluation cohort materially affects their apparent size. The residual gaps compare workflows that still differ in training history and size; they do not isolate a leakage effect. Probability assessment adds a second distinction. Training-prior correction improves LR calibration, but corrected probabilities have positive Brier skill against the historical reference and negative skill against the retrospective test-prevalence reference. Improvement over the raw model and advantage over a reference are separate findings.</w:t>
      </w:r>
    </w:p>
    <w:p>
      <w:r>
        <w:t>The SHAP-ablation comparison provides an engineering reading of the monitoring signals. Energy and low-energy event counts strongly influence the fitted XGBoost predictions, while refitting without their group yields a positive pooled AP difference whose interval includes zero. Their influence describes the fitted prediction mechanism; the ablation tests the performance of a different fitted model. Reading these results together prevents global importance from becoming a claim of incremental value. The warning-budget results extend this interpretation to decisions: additional detections come with additional false alerts, and a historical reference budget can produce a different alert rate on later records.</w:t>
      </w:r>
    </w:p>
    <w:p>
      <w:pPr>
        <w:pStyle w:val="Heading2"/>
      </w:pPr>
      <w:r>
        <w:t>7.2 Scope and prospective validation</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Its signed values explain fitted associations rather than the causal effect of changing a monitoring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A subsequent study should preregister its feature and alert-policy choices, then test them on independent timestamped working-face data with defined inspection actions.</w:t>
      </w:r>
    </w:p>
    <w:p>
      <w:pPr>
        <w:pStyle w:val="Heading1"/>
      </w:pPr>
      <w:r>
        <w:t>8 Conclusions</w:t>
      </w:r>
    </w:p>
    <w:p>
      <w:r>
        <w:t>Recalculating performance on common test rows substantially reduces the apparent random-versus-record-order gap. The paired residual differences and their intervals measure the remaining protocol contrast; they do not identify a causal share of leakage or drift. Training-prior correction improves LR probability assessment, while its reference-dependent Brier skill shows why calibration gains need an explicit comparator. TreeSHAP and refitted ablations distinguish the signals used by a model from their observed incremental predictive value. Frozen-budget outcomes quantify the detections, missed shifts and false alerts associated with those forecasts. The engineering contribution is an auditable connection from monitoring signals to forecasts and inspection demand: matched shifts define the performance comparison, explicit probability references define calibration value, and detected, missed and falsely alerted shifts define warning workload.</w:t>
      </w:r>
    </w:p>
    <w:p>
      <w:pPr>
        <w:pStyle w:val="Heading1"/>
      </w:pPr>
      <w:r>
        <w:t>Data and computational reproducibility</w:t>
      </w:r>
    </w:p>
    <w:p>
      <w:r>
        <w:t>Source data are available from UCI [1] and the CSV mirror [2]. Saved evidence includes all feature-set predictions, inner-reference scores, fold audits, candidate-selection predictions and row-index manifests, bootstrap replicates, five random seeds, native XGBoost models, row-level TreeSHAP contributions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Run commands from the repository root. Use the recorded baseline environment for python -m phase1.run_experiments and python -m phase1.run_engineering. For the extension, install requirements/requirements-research.txt in a separate Python 3.12 environment, then run python -m phase1.run_research, python -m phase1.review_analysis and python -m phase1.verify_research --replay. In a separate document environment, python -m phase1.generate_report --docx generates the paper; pwsh -NoProfile -ExecutionPolicy Bypass -File phase1/export_report.ps1 exports PDF. Use python -m phase1.verify_results --reports to check results and report agreement.</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w:t>
      </w:r>
    </w:p>
    <w:p>
      <w:pPr>
        <w:ind w:left="317" w:hanging="317"/>
        <w:jc w:val="left"/>
      </w:pPr>
      <w:r>
        <w:rPr>
          <w:sz w:val="20"/>
        </w:rPr>
        <w:t>[4] Roberts DR et al. Cross-validation strategies for data with temporal, spatial, hierarchical, or phylogenetic structure. Ecography, 2017, 40:913-929.</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84"/>
        <w:gridCol w:w="1584"/>
        <w:gridCol w:w="4896"/>
        <w:gridCol w:w="1296"/>
      </w:tblGrid>
      <w:tr>
        <w:trPr>
          <w:cantSplit/>
          <w:tblHeader/>
        </w:trPr>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48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Definition</w:t>
            </w:r>
          </w:p>
        </w:tc>
        <w:tc>
          <w:tcPr>
            <w:tcW w:type="dxa" w:w="12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Encoding</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w:t>
            </w:r>
          </w:p>
        </w:tc>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Seismic-method shift hazard rating</w:t>
            </w:r>
          </w:p>
        </w:tc>
        <w:tc>
          <w:tcPr>
            <w:tcW w:type="dxa" w:w="12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 shift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ghazard</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GMax geophone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energy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pulse count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Pulse-count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Coal-getting W or preparation 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Binary</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total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maxenergy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maximum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nbumps2</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[10^2, 10^3)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nbumps3</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[10^3, 10^4)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nbumps4</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[10^4, 10^5)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nbumps5</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[10^5, 10^6)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nbumps6</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[10^6, 10^7)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nbumps7</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[10^7, 10^8)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nbumps89</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[10^8, 10^10)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bl>
    <w:p>
      <w:pPr>
        <w:spacing w:after="20"/>
      </w:pPr>
    </w:p>
    <w:p>
      <w:r>
        <w:t>The total count nbumps is excluded from the retained 17-column design, which includes the energy-band counts.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54"/>
        <w:gridCol w:w="3077"/>
        <w:gridCol w:w="1282"/>
        <w:gridCol w:w="1282"/>
        <w:gridCol w:w="1282"/>
        <w:gridCol w:w="1282"/>
      </w:tblGrid>
      <w:tr>
        <w:trPr>
          <w:cantSplit/>
          <w:tblHeader/>
        </w:trPr>
        <w:tc>
          <w:tcPr>
            <w:tcW w:type="dxa" w:w="115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0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1</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2</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3</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0.0355</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0.1589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0.1103</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0.1224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0.0649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0.2310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0.1204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0.0514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0.2119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0.0791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0.1182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0.1096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0.2399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0.0667</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52"/>
        <w:gridCol w:w="1652"/>
        <w:gridCol w:w="1652"/>
        <w:gridCol w:w="2202"/>
        <w:gridCol w:w="2202"/>
      </w:tblGrid>
      <w:tr>
        <w:trPr>
          <w:cantSplit/>
          <w:tblHeader/>
        </w:trPr>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pair</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17</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14</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17</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14</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0.8354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0.8023</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0.8178</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0.7932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0.7122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0.6570</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0.9412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0.9342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0.8306</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0.7879</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3-4</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0.8047</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0.7277</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r>
    </w:tbl>
    <w:p>
      <w:pPr>
        <w:spacing w:after="20"/>
      </w:pPr>
    </w:p>
    <w:sectPr>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