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Test-cohort composition materially changes the apparent validation gap in seismic hazard forecasting. We compare logistic regression (LR), bagged CART and training-tuned XGBoost on 2,063 common test rows from the 2,578-row UCI Seismic Bumps mirror. Record order is a temporal proxy because timestamps and longwall identifiers are absent. Matching rows reduces the apparent random-versus-record-order average-precision gap by 89.7 percent for LR and 86.9 percent for CART. Residual differences are 0.0114 (95 percent interval [-0.0110, 0.0243]) and 0.0188 ([0.0064, 0.0323]); the comparison does not isolate leakage or drift.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and exact TreeSHAP distinguish fitted-model feature use from incremental predictive value. Energy, low-energy event counts and pulse activity repeatedly contribute to XGBoost predictions. At 10 and 20 percent training reference budgets, supplementary holdout XGBoost produces 30 and 81 alerts, detecting 3 and 6 of 26 hazardous shifts. Matched cohorts, explicit probability references and detection counts provide a traceable basis for interpreting forecast performance and inspection demand. Intervals condition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Interpreting a forecast for engineering review requires evidence about its performance on later shifts, the monitoring signals it uses and the inspections its warnings would trigger. These questions connect model evaluation to detected hazards, missed hazardous shifts and false-alert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 data therefore support comparisons of recorded assessments with measured signals. The target is next-shift high-energy seismic occurrence; confirmed rockburst accidents are outside its label definition.</w:t>
      </w:r>
    </w:p>
    <w:p>
      <w:r>
        <w:t>Rule-based mining-hazard prediction predates this study. Sikora and Wrobel [9] evaluated shift and hourly forecasts using longwall-specific monitoring data and also transferred rules between working faces. Their hazard definition and cohorts differ from the public UCI task, so their classification results provide engineering context rather than a numerical benchmark for our average precision.</w:t>
      </w:r>
    </w:p>
    <w:p>
      <w:r>
        <w:t>Janusz et al. [13] compared expert and sensor information and investigated cold start at new mining sites. Site adaptation requires identified locations and local histories; our common-row evaluation addresses protocol comparisons within an anonymous record sequence. The microseismic review by Anikiev et al. [14] distinguishes detection and location tasks from forecasting. This study uses shift summaries, not waveform detection or event-location models.</w:t>
      </w:r>
    </w:p>
    <w:p>
      <w:r>
        <w:t>Validation protocols can change both the training history and the test population [3,4]. Comparing their scores on different shifts can therefore obscure the source of an apparent performance gap. A common test cohort makes that comparison interpretable, while probability assessment determines what the score scale conveys. Feature ablation, model explanations and frozen thresholds then connect the monitoring inputs to predictive contribution and warning workload.</w:t>
      </w:r>
    </w:p>
    <w:p>
      <w:r>
        <w:t>This study connects three engineering questions: how cohort composition changes the validation comparison, whether probability correction improves assessment, and how monitoring signals contribute to predictions and warning workload. Common test rows reveal how cohort composition changes the apparent protocol gap. Training-local correction and explicit probability references separate calibration improvement from baseline-relative skill. TreeSHAP and nine prespecified, refitted feature combinations distinguish the inputs used by a fitted model from their incremental predictive value. Frozen reference budgets then express the forecasts as detections, missed hazardous shifts and inspection workload. These empirical findings use established learning and explanation methods [6,7], saved row-level evidence and training-only selection.</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1929"/>
        <w:gridCol w:w="3086"/>
        <w:gridCol w:w="4244"/>
      </w:tblGrid>
      <w:tr>
        <w:trPr>
          <w:cantSplit/>
          <w:tblHeader/>
        </w:trPr>
        <w:tc>
          <w:tcPr>
            <w:tcW w:type="dxa" w:w="192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Group</w:t>
            </w:r>
          </w:p>
        </w:tc>
        <w:tc>
          <w:tcPr>
            <w:tcW w:type="dxa" w:w="308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Variables</w:t>
            </w:r>
          </w:p>
        </w:tc>
        <w:tc>
          <w:tcPr>
            <w:tcW w:type="dxa" w:w="424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Question</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Hazard ratings</w:t>
            </w:r>
          </w:p>
        </w:tc>
        <w:tc>
          <w:tcPr>
            <w:tcW w:type="dxa" w:w="3086"/>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 seismoacoustic, ghazard</w:t>
            </w:r>
          </w:p>
        </w:tc>
        <w:tc>
          <w:tcPr>
            <w:tcW w:type="dxa" w:w="42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How much information is already represented by recorded assessments?</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Geophone</w:t>
            </w:r>
          </w:p>
        </w:tc>
        <w:tc>
          <w:tcPr>
            <w:tcW w:type="dxa" w:w="3086"/>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genergy, gpuls, gdenergy, gdpuls</w:t>
            </w:r>
          </w:p>
        </w:tc>
        <w:tc>
          <w:tcPr>
            <w:tcW w:type="dxa" w:w="42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Do energy, pulse activity and deviations add information beyond ratings?</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 activity</w:t>
            </w:r>
          </w:p>
        </w:tc>
        <w:tc>
          <w:tcPr>
            <w:tcW w:type="dxa" w:w="3086"/>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nbumps2 to nbumps89, energy, maxenergy</w:t>
            </w:r>
          </w:p>
        </w:tc>
        <w:tc>
          <w:tcPr>
            <w:tcW w:type="dxa" w:w="42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Do event counts by energy band and released-energy measures add information?</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Operation</w:t>
            </w:r>
          </w:p>
        </w:tc>
        <w:tc>
          <w:tcPr>
            <w:tcW w:type="dxa" w:w="3086"/>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w:t>
            </w:r>
          </w:p>
        </w:tc>
        <w:tc>
          <w:tcPr>
            <w:tcW w:type="dxa" w:w="42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Does shift type provide predictive context?</w:t>
            </w:r>
          </w:p>
        </w:tc>
      </w:tr>
    </w:tbl>
    <w:p>
      <w:pPr>
        <w:spacing w:after="20"/>
      </w:pPr>
    </w:p>
    <w:p>
      <w:r>
        <w:t>Categorical fields retain the existing ordinal encoding. The total count nbumps is excluded from the retained 17-column design, which includes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Every bootstrap draw is retained; single-class draws form constant leaf trees. Each feature supplies up to 12 split thresholds at quantiles 0.05 to 0.95.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XGBoost models with all features explain their own outer test predictions through native exact TreeSHAP. Training leaf covers provide its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fixed-inner-model comparison at the same cutoff would quantify the difference between these workflows on identical test rows; it would not identify a causal effect of refitting.</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64"/>
        <w:gridCol w:w="1447"/>
        <w:gridCol w:w="1808"/>
        <w:gridCol w:w="1447"/>
        <w:gridCol w:w="2893"/>
      </w:tblGrid>
      <w:tr>
        <w:trPr>
          <w:cantSplit/>
          <w:tblHeader/>
        </w:trPr>
        <w:tc>
          <w:tcPr>
            <w:tcW w:type="dxa" w:w="166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144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Random AP</w:t>
            </w:r>
          </w:p>
        </w:tc>
        <w:tc>
          <w:tcPr>
            <w:tcW w:type="dxa" w:w="180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Record-order AP</w:t>
            </w:r>
          </w:p>
        </w:tc>
        <w:tc>
          <w:tcPr>
            <w:tcW w:type="dxa" w:w="144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Difference</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95% interval</w:t>
            </w:r>
          </w:p>
        </w:tc>
      </w:tr>
      <w:tr>
        <w:trPr>
          <w:cantSplit/>
        </w:trPr>
        <w:tc>
          <w:tcPr>
            <w:tcW w:type="dxa" w:w="166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0.0953</w:t>
            </w:r>
          </w:p>
        </w:tc>
        <w:tc>
          <w:tcPr>
            <w:tcW w:type="dxa" w:w="180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0.0838</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0.0114</w:t>
            </w:r>
          </w:p>
        </w:tc>
        <w:tc>
          <w:tcPr>
            <w:tcW w:type="dxa" w:w="289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[-0.0110, 0.0243]</w:t>
            </w:r>
          </w:p>
        </w:tc>
      </w:tr>
      <w:tr>
        <w:trPr>
          <w:cantSplit/>
        </w:trPr>
        <w:tc>
          <w:tcPr>
            <w:tcW w:type="dxa" w:w="166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CART</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0.0972</w:t>
            </w:r>
          </w:p>
        </w:tc>
        <w:tc>
          <w:tcPr>
            <w:tcW w:type="dxa" w:w="180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0.0784</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0.0188</w:t>
            </w:r>
          </w:p>
        </w:tc>
        <w:tc>
          <w:tcPr>
            <w:tcW w:type="dxa" w:w="289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[0.0064, 0.0323]</w:t>
            </w:r>
          </w:p>
        </w:tc>
      </w:tr>
      <w:tr>
        <w:trPr>
          <w:cantSplit/>
        </w:trPr>
        <w:tc>
          <w:tcPr>
            <w:tcW w:type="dxa" w:w="16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447"/>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0.0995</w:t>
            </w:r>
          </w:p>
        </w:tc>
        <w:tc>
          <w:tcPr>
            <w:tcW w:type="dxa" w:w="180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0.0862</w:t>
            </w:r>
          </w:p>
        </w:tc>
        <w:tc>
          <w:tcPr>
            <w:tcW w:type="dxa" w:w="1447"/>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0.0133</w:t>
            </w:r>
          </w:p>
        </w:tc>
        <w:tc>
          <w:tcPr>
            <w:tcW w:type="dxa" w:w="289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3579"/>
        <w:gridCol w:w="1012"/>
        <w:gridCol w:w="1556"/>
        <w:gridCol w:w="1556"/>
        <w:gridCol w:w="1556"/>
      </w:tblGrid>
      <w:tr>
        <w:trPr>
          <w:cantSplit/>
          <w:tblHeader/>
        </w:trPr>
        <w:tc>
          <w:tcPr>
            <w:tcW w:type="dxa" w:w="357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 set</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Columns</w:t>
            </w:r>
          </w:p>
        </w:tc>
        <w:tc>
          <w:tcPr>
            <w:tcW w:type="dxa" w:w="155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LR</w:t>
            </w:r>
          </w:p>
        </w:tc>
        <w:tc>
          <w:tcPr>
            <w:tcW w:type="dxa" w:w="155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CART</w:t>
            </w:r>
          </w:p>
        </w:tc>
        <w:tc>
          <w:tcPr>
            <w:tcW w:type="dxa" w:w="155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XGBoost</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All features</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17</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0.0838</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0.0784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0.0862</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Hazard ratings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3</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0.0596</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0.0738</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0.0766</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Without hazard ratings</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0.0900</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0.0766</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0.0856</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Geophone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0.0792</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0.1000</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0.1025</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Without geophone</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13</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0.0734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0.0794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0.0828</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 activity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9</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0.0751</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0.0761</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0.0785</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Without seismic activity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8</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0.1020</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0.0952</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0.1292</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Shift type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0.0504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0.0824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0.0824</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16</w:t>
            </w:r>
          </w:p>
        </w:tc>
        <w:tc>
          <w:tcPr>
            <w:tcW w:type="dxa" w:w="1556"/>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0.0837</w:t>
            </w:r>
          </w:p>
        </w:tc>
        <w:tc>
          <w:tcPr>
            <w:tcW w:type="dxa" w:w="1556"/>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0.0778</w:t>
            </w:r>
          </w:p>
        </w:tc>
        <w:tc>
          <w:tcPr>
            <w:tcW w:type="dxa" w:w="1556"/>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67"/>
        <w:gridCol w:w="2502"/>
        <w:gridCol w:w="4290"/>
      </w:tblGrid>
      <w:tr>
        <w:trPr>
          <w:cantSplit/>
          <w:tblHeader/>
        </w:trPr>
        <w:tc>
          <w:tcPr>
            <w:tcW w:type="dxa" w:w="246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250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Incremental AP</w:t>
            </w:r>
          </w:p>
        </w:tc>
        <w:tc>
          <w:tcPr>
            <w:tcW w:type="dxa" w:w="4290"/>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95% interval</w:t>
            </w:r>
          </w:p>
        </w:tc>
      </w:tr>
      <w:tr>
        <w:trPr>
          <w:cantSplit/>
        </w:trPr>
        <w:tc>
          <w:tcPr>
            <w:tcW w:type="dxa" w:w="24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250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0.0243</w:t>
            </w:r>
          </w:p>
        </w:tc>
        <w:tc>
          <w:tcPr>
            <w:tcW w:type="dxa" w:w="4290"/>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[-0.0039, 0.0619]</w:t>
            </w:r>
          </w:p>
        </w:tc>
      </w:tr>
      <w:tr>
        <w:trPr>
          <w:cantSplit/>
        </w:trPr>
        <w:tc>
          <w:tcPr>
            <w:tcW w:type="dxa" w:w="24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CART</w:t>
            </w:r>
          </w:p>
        </w:tc>
        <w:tc>
          <w:tcPr>
            <w:tcW w:type="dxa" w:w="250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0.0046</w:t>
            </w:r>
          </w:p>
        </w:tc>
        <w:tc>
          <w:tcPr>
            <w:tcW w:type="dxa" w:w="4290"/>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[-0.0252, 0.0264]</w:t>
            </w:r>
          </w:p>
        </w:tc>
      </w:tr>
      <w:tr>
        <w:trPr>
          <w:cantSplit/>
        </w:trPr>
        <w:tc>
          <w:tcPr>
            <w:tcW w:type="dxa" w:w="24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250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0.0096</w:t>
            </w:r>
          </w:p>
        </w:tc>
        <w:tc>
          <w:tcPr>
            <w:tcW w:type="dxa" w:w="4290"/>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62"/>
        <w:gridCol w:w="1358"/>
        <w:gridCol w:w="1811"/>
        <w:gridCol w:w="1811"/>
        <w:gridCol w:w="1358"/>
        <w:gridCol w:w="1358"/>
      </w:tblGrid>
      <w:tr>
        <w:trPr>
          <w:cantSplit/>
          <w:tblHeader/>
        </w:trPr>
        <w:tc>
          <w:tcPr>
            <w:tcW w:type="dxa" w:w="156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135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 Brier</w:t>
            </w:r>
          </w:p>
        </w:tc>
        <w:tc>
          <w:tcPr>
            <w:tcW w:type="dxa" w:w="1811"/>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Historical Brier</w:t>
            </w:r>
          </w:p>
        </w:tc>
        <w:tc>
          <w:tcPr>
            <w:tcW w:type="dxa" w:w="1811"/>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Historical skill</w:t>
            </w:r>
          </w:p>
        </w:tc>
        <w:tc>
          <w:tcPr>
            <w:tcW w:type="dxa" w:w="135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Oracle Brier</w:t>
            </w:r>
          </w:p>
        </w:tc>
        <w:tc>
          <w:tcPr>
            <w:tcW w:type="dxa" w:w="135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Oracle skill</w:t>
            </w:r>
          </w:p>
        </w:tc>
      </w:tr>
      <w:tr>
        <w:trPr>
          <w:cantSplit/>
        </w:trPr>
        <w:tc>
          <w:tcPr>
            <w:tcW w:type="dxa" w:w="156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0.0439</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0.0455</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0.0342</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0.0408</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-0.0751</w:t>
            </w:r>
          </w:p>
        </w:tc>
      </w:tr>
      <w:tr>
        <w:trPr>
          <w:cantSplit/>
        </w:trPr>
        <w:tc>
          <w:tcPr>
            <w:tcW w:type="dxa" w:w="156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CART</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0.0433</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0.0455</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0.0472</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0.0408</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-0.0607</w:t>
            </w:r>
          </w:p>
        </w:tc>
      </w:tr>
      <w:tr>
        <w:trPr>
          <w:cantSplit/>
        </w:trPr>
        <w:tc>
          <w:tcPr>
            <w:tcW w:type="dxa" w:w="156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35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0.0429</w:t>
            </w:r>
          </w:p>
        </w:tc>
        <w:tc>
          <w:tcPr>
            <w:tcW w:type="dxa" w:w="1811"/>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0.0455</w:t>
            </w:r>
          </w:p>
        </w:tc>
        <w:tc>
          <w:tcPr>
            <w:tcW w:type="dxa" w:w="1811"/>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0.0573</w:t>
            </w:r>
          </w:p>
        </w:tc>
        <w:tc>
          <w:tcPr>
            <w:tcW w:type="dxa" w:w="135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0.0408</w:t>
            </w:r>
          </w:p>
        </w:tc>
        <w:tc>
          <w:tcPr>
            <w:tcW w:type="dxa" w:w="135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669280" cy="3373456"/>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669280" cy="3373456"/>
                    </a:xfrm>
                    <a:prstGeom prst="rect"/>
                  </pic:spPr>
                </pic:pic>
              </a:graphicData>
            </a:graphic>
          </wp:inline>
        </w:drawing>
      </w:r>
    </w:p>
    <w:p>
      <w:pPr>
        <w:pStyle w:val="Caption"/>
        <w:jc w:val="left"/>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20"/>
        <w:gridCol w:w="4377"/>
        <w:gridCol w:w="2862"/>
      </w:tblGrid>
      <w:tr>
        <w:trPr>
          <w:cantSplit/>
          <w:tblHeader/>
        </w:trPr>
        <w:tc>
          <w:tcPr>
            <w:tcW w:type="dxa" w:w="2020"/>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w:t>
            </w:r>
          </w:p>
        </w:tc>
        <w:tc>
          <w:tcPr>
            <w:tcW w:type="dxa" w:w="437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Mean absolute contribution</w:t>
            </w:r>
          </w:p>
        </w:tc>
        <w:tc>
          <w:tcPr>
            <w:tcW w:type="dxa" w:w="286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Value association</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energy</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0.5642</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0.6854</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nbumps2</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0.3902</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0.7179</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gpuls</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0.3523</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0.7668</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genergy</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0.1466</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0.0148</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w:t>
            </w:r>
          </w:p>
        </w:tc>
        <w:tc>
          <w:tcPr>
            <w:tcW w:type="dxa" w:w="4377"/>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0.1391</w:t>
            </w:r>
          </w:p>
        </w:tc>
        <w:tc>
          <w:tcPr>
            <w:tcW w:type="dxa" w:w="286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Model reliance and incremental predictive value are distinct: influential signals need not improve the performance of a refitted model under the tested configuration. The interval leaves the direction of the group-removal gain unresolved.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852160" cy="2926080"/>
                    </a:xfrm>
                    <a:prstGeom prst="rect"/>
                  </pic:spPr>
                </pic:pic>
              </a:graphicData>
            </a:graphic>
          </wp:inline>
        </w:drawing>
      </w:r>
    </w:p>
    <w:p>
      <w:pPr>
        <w:pStyle w:val="Caption"/>
        <w:jc w:val="left"/>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852160" cy="2173659"/>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852160" cy="2173659"/>
                    </a:xfrm>
                    <a:prstGeom prst="rect"/>
                  </pic:spPr>
                </pic:pic>
              </a:graphicData>
            </a:graphic>
          </wp:inline>
        </w:drawing>
      </w:r>
    </w:p>
    <w:p>
      <w:pPr>
        <w:pStyle w:val="Caption"/>
        <w:jc w:val="left"/>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23"/>
        <w:gridCol w:w="1323"/>
        <w:gridCol w:w="1323"/>
        <w:gridCol w:w="1323"/>
        <w:gridCol w:w="1323"/>
        <w:gridCol w:w="1323"/>
        <w:gridCol w:w="1323"/>
      </w:tblGrid>
      <w:tr>
        <w:trPr>
          <w:cantSplit/>
          <w:tblHeader/>
        </w:trPr>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Rows</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Positives</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Prevalence</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LR AP</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CART AP</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XGBoost AP</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516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36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0.0698</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0.1360</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0.1136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0.1341</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515</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10</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0.0194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0.0204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0.0274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0.0284</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3</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516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0.0465</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0.0873</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0.0632</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0.0731</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516</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18</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0.0349</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0.1142</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0.0781</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The TP, FP and FN categories depend on predicted alerts and observed labels. The first row in each category supplies a deterministic illustration with limited discretionary case selection.</w:t>
      </w:r>
    </w:p>
    <w:p>
      <w:pPr>
        <w:keepNext/>
        <w:jc w:val="center"/>
      </w:pPr>
      <w:r>
        <w:drawing>
          <wp:inline xmlns:a="http://schemas.openxmlformats.org/drawingml/2006/main" xmlns:pic="http://schemas.openxmlformats.org/drawingml/2006/picture">
            <wp:extent cx="5852160" cy="2215461"/>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852160" cy="2215461"/>
                    </a:xfrm>
                    <a:prstGeom prst="rect"/>
                  </pic:spPr>
                </pic:pic>
              </a:graphicData>
            </a:graphic>
          </wp:inline>
        </w:drawing>
      </w:r>
    </w:p>
    <w:p>
      <w:pPr>
        <w:pStyle w:val="Caption"/>
        <w:jc w:val="left"/>
      </w:pPr>
      <w:r>
        <w:t>Figure 4. Earliest holdout true-positive, false-positive and false-negative cases under the 10 percent reference budget. IDs are one-based mirror rows; raw log-odds contributions, including Other features, sum with the bias to the margin. Bars use a common symmetric scale.</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5852160" cy="3176887"/>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5852160" cy="3176887"/>
                    </a:xfrm>
                    <a:prstGeom prst="rect"/>
                  </pic:spPr>
                </pic:pic>
              </a:graphicData>
            </a:graphic>
          </wp:inline>
        </w:drawing>
      </w:r>
    </w:p>
    <w:p>
      <w:pPr>
        <w:pStyle w:val="Caption"/>
        <w:jc w:val="left"/>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64"/>
        <w:gridCol w:w="1012"/>
        <w:gridCol w:w="1012"/>
        <w:gridCol w:w="1012"/>
        <w:gridCol w:w="1012"/>
        <w:gridCol w:w="1012"/>
        <w:gridCol w:w="1012"/>
        <w:gridCol w:w="1012"/>
        <w:gridCol w:w="1012"/>
      </w:tblGrid>
      <w:tr>
        <w:trPr>
          <w:cantSplit/>
          <w:tblHeader/>
        </w:trPr>
        <w:tc>
          <w:tcPr>
            <w:tcW w:type="dxa" w:w="116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Budget</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Alerts</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Detected</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False alerts</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Missed</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Alert rate</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Recall</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Precision</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0.0013</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0.0065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0.0181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0.0769</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0.1429</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0.0672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0.1538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0.0769</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0.0052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0.2500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7</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0.0103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0.1250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61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0.0788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0.1923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0.0820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0.0052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27</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0.1154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81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75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0.1047</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0.2308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policy curves describe the observed detection–workload tradeoff. Choosing an operating budget would also require defined inspection capacity and consequences of missed hazards.</w:t>
      </w:r>
    </w:p>
    <w:p>
      <w:pPr>
        <w:pStyle w:val="Heading1"/>
      </w:pPr>
      <w:r>
        <w:t>7 Discussion</w:t>
      </w:r>
    </w:p>
    <w:p>
      <w:pPr>
        <w:pStyle w:val="Heading2"/>
      </w:pPr>
      <w:r>
        <w:t>7.1 Connecting monitoring evidence to warning decisions</w:t>
      </w:r>
    </w:p>
    <w:p>
      <w:r>
        <w:t>Matching test rows sharply reduces the LR and CART validation gaps, showing that the evaluation cohort materially affects their apparent size. The residual gaps compare workflows that still differ in training history and size; they do not isolate a leakage effect. Probability assessment adds a second distinction. Training-prior correction improves LR calibration, but corrected probabilities have positive Brier skill against the historical reference and negative skill against the retrospective test-prevalence reference. Improvement over the raw model and advantage over a reference are separate findings.</w:t>
      </w:r>
    </w:p>
    <w:p>
      <w:r>
        <w:t>SHAP and ablation answer different engineering questions. Energy and low-energy event counts strongly influence the fitted XGBoost predictions, while refitting without their group yields a positive pooled AP difference whose interval includes zero. Their influence describes the fitted prediction mechanism; the ablation tests the performance of a different fitted model. Reading these results together prevents global importance from becoming a claim of incremental value. The warning-budget results extend this interpretation to decisions: additional detections come with additional false alerts, and a historical reference budget can produce a different alert rate on later records.</w:t>
      </w:r>
    </w:p>
    <w:p>
      <w:pPr>
        <w:pStyle w:val="Heading2"/>
      </w:pPr>
      <w:r>
        <w:t>7.2 Scope and prospective validation</w:t>
      </w:r>
    </w:p>
    <w:p>
      <w:r>
        <w:t>Changing a probability scale and changing a decision rule address different engineering questions. Cost-sensitive decision theory [11] links probabilities to error costs; here historical reference scores supply empirical cutoffs. Prior-only distribution change [10] is a specific assumption rather than a diagnosis of the observed protocol gap. The companion decision study evaluates loss, capacity and refitting at frozen thresholds; it builds on this forecast evidence without treating calibration gains as evidence of operational warning value.</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Signed contributions explain how the fitted model uses a variable, not the causal effect of changing that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The cold-start question in [13] concerns adapting to a new site with limited local history. Our record blocks assess evaluation and cutoff transfer, without identifying site changes. A subsequent study should preregister its feature and alert-policy choices, then test them on independent timestamped working-face data with defined inspection actions.</w:t>
      </w:r>
    </w:p>
    <w:p>
      <w:pPr>
        <w:pStyle w:val="Heading1"/>
      </w:pPr>
      <w:r>
        <w:t>8 Conclusions</w:t>
      </w:r>
    </w:p>
    <w:p>
      <w:r>
        <w:t>This study evaluates seismic forecasts through matched test records, probability references and monitoring-feature comparisons. Matching rows reduces the apparent protocol gap without identifying a causal share of leakage or drift. Training-prior correction improves LR calibration, while baseline-relative Brier skill depends on the stated reference. TreeSHAP describes fitted-model feature use; refitted ablations assess incremental predictive value. Frozen-budget outcomes connect these forecasts to detected, missed and falsely alerted shifts. The workflow links saved predictions to probability assessment, feature comparisons and inspection demand, making the scope of each engineering claim explicit.</w:t>
      </w:r>
    </w:p>
    <w:p>
      <w:pPr>
        <w:pStyle w:val="Heading1"/>
      </w:pPr>
      <w:r>
        <w:t>Data and computational reproducibility</w:t>
      </w:r>
    </w:p>
    <w:p>
      <w:r>
        <w:t>Source data are available from UCI [1] and the CSV mirror [2]. Saved evidence includes predictions for every feature set, scores from inner reference sets, fold audits, predictions for candidate selection and manifests of row indices. It also retains bootstrap replicates, five random seeds, native XGBoost models, TreeSHAP contributions for each row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Run commands from the repository root. Use the recorded baseline environment for python -m phase1.run_experiments and python -m phase1.run_engineering. For the extension, install requirements/requirements-research.txt in a separate Python 3.12 environment, then run python -m phase1.run_research, python -m phase1.review_analysis and python -m phase1.verify_research --replay. In a separate document environment, python -m phase1.generate_report --docx generates the paper; pwsh -NoProfile -ExecutionPolicy Bypass -File phase1/export_report.ps1 exports PDF. Use python -m phase1.verify_results --reports to check results and report agreement.</w:t>
      </w:r>
    </w:p>
    <w:p>
      <w:r>
        <w:t>Reference metadata were cross-checked with the citation-management tools in Scientific Agent Skills [12].</w:t>
      </w:r>
    </w:p>
    <w:p>
      <w:r>
        <w:t>The author directed the research scope, protocol refinement and review priorities. ChatGPT and Codex substantially assisted implementation, execution, verification and writing. The repository CONTRIBUTIONS.md separates author review from recorded computational checks and links project decisions to evidence.</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 DOI: 10.1016/j.ins.2011.12.028.</w:t>
      </w:r>
    </w:p>
    <w:p>
      <w:pPr>
        <w:ind w:left="317" w:hanging="317"/>
        <w:jc w:val="left"/>
      </w:pPr>
      <w:r>
        <w:rPr>
          <w:sz w:val="20"/>
        </w:rPr>
        <w:t>[4] Roberts DR et al. Cross-validation strategies for data with temporal, spatial, hierarchical, or phylogenetic structure. Ecography, 2017, 40:913-929. DOI: 10.1111/ecog.02881.</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ind w:left="317" w:hanging="317"/>
        <w:jc w:val="left"/>
      </w:pPr>
      <w:r>
        <w:rPr>
          <w:sz w:val="20"/>
        </w:rPr>
        <w:t>[9] Sikora M, Wrobel L. Application of rule induction algorithms for analysis of data collected by seismic hazard monitoring systems in coal mines. Archives of Mining Sciences, 2010, 55(1):91-114. Author-linked full text: https://www.researchgate.net/publication/281395657</w:t>
      </w:r>
    </w:p>
    <w:p>
      <w:pPr>
        <w:ind w:left="317" w:hanging="317"/>
        <w:jc w:val="left"/>
      </w:pPr>
      <w:r>
        <w:rPr>
          <w:sz w:val="20"/>
        </w:rPr>
        <w:t>[10] Lipton ZC, Wang YX, Smola AJ. Detecting and Correcting for Label Shift with Black Box Predictors. Proceedings of ICML, PMLR 80, 2018:3122-3130. https://proceedings.mlr.press/v80/lipton18a.html</w:t>
      </w:r>
    </w:p>
    <w:p>
      <w:pPr>
        <w:ind w:left="317" w:hanging="317"/>
        <w:jc w:val="left"/>
      </w:pPr>
      <w:r>
        <w:rPr>
          <w:sz w:val="20"/>
        </w:rPr>
        <w:t>[11] Elkan C. The Foundations of Cost-Sensitive Learning. Proceedings of IJCAI, 2001:973-978. Author manuscript: https://cseweb.ucsd.edu/~elkan/rescale.pdf</w:t>
      </w:r>
    </w:p>
    <w:p>
      <w:pPr>
        <w:ind w:left="317" w:hanging="317"/>
        <w:jc w:val="left"/>
      </w:pPr>
      <w:r>
        <w:rPr>
          <w:sz w:val="20"/>
        </w:rPr>
        <w:t>[12] Kassis T, Agarwal V, He Y, Patel D, Brueckner AM. Scientific Agent Skills: A Library of Procedural Knowledge for Research Agents. arXiv, 2026. DOI: 10.48550/arXiv.2609.00065. https://arxiv.org/abs/2609.00065</w:t>
      </w:r>
    </w:p>
    <w:p>
      <w:pPr>
        <w:ind w:left="317" w:hanging="317"/>
        <w:jc w:val="left"/>
      </w:pPr>
      <w:r>
        <w:rPr>
          <w:sz w:val="20"/>
        </w:rPr>
        <w:t>[13] Janusz A, Grzegorowski M, Michalak M, Wrobel L, Sikora M, Slezak D. Predicting seismic events in coal mines based on underground sensor measurements. Engineering Applications of Artificial Intelligence, 2017, 64:83-94. DOI: 10.1016/j.engappai.2017.06.002.</w:t>
      </w:r>
    </w:p>
    <w:p>
      <w:pPr>
        <w:ind w:left="317" w:hanging="317"/>
        <w:jc w:val="left"/>
      </w:pPr>
      <w:r>
        <w:rPr>
          <w:sz w:val="20"/>
        </w:rPr>
        <w:t>[14] Anikiev D, Birnie C, Waheed Ub, Alkhalifah T, Gu C, Verschuur DJ, Eisner L. Machine learning in microseismic monitoring. Earth-Science Reviews, 2023, 239:104371. DOI: 10.1016/j.earscirev.2023.104371.</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67"/>
        <w:gridCol w:w="1567"/>
        <w:gridCol w:w="4843"/>
        <w:gridCol w:w="1282"/>
      </w:tblGrid>
      <w:tr>
        <w:trPr>
          <w:cantSplit/>
          <w:tblHeader/>
        </w:trPr>
        <w:tc>
          <w:tcPr>
            <w:tcW w:type="dxa" w:w="156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w:t>
            </w:r>
          </w:p>
        </w:tc>
        <w:tc>
          <w:tcPr>
            <w:tcW w:type="dxa" w:w="156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Group</w:t>
            </w:r>
          </w:p>
        </w:tc>
        <w:tc>
          <w:tcPr>
            <w:tcW w:type="dxa" w:w="484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Definition</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Encoding</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w:t>
            </w:r>
          </w:p>
        </w:tc>
        <w:tc>
          <w:tcPr>
            <w:tcW w:type="dxa" w:w="15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Hazard ratings</w:t>
            </w:r>
          </w:p>
        </w:tc>
        <w:tc>
          <w:tcPr>
            <w:tcW w:type="dxa" w:w="4843"/>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Seismic-method shift hazard rating</w:t>
            </w:r>
          </w:p>
        </w:tc>
        <w:tc>
          <w:tcPr>
            <w:tcW w:type="dxa" w:w="128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Ordinal a-d</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seismoacoustic</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Seismoacoustic shift hazard rating</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Ordinal a-d</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ghazard</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GMax geophone hazard rating</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Ordinal a-d</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energy at GMax</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gpuls</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pulse count at GMax</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gdenergy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Energy deviation from previous eight-shift mean</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gdpuls</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Pulse-count deviation from previous eight-shift mean</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Operation</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Coal-getting W or preparation N</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Binary</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total bump energy</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maxenergy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maximum bump energy</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nbumps2</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[10^2, 10^3)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nbumps3</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[10^3, 10^4)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nbumps4</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[10^4, 10^5)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nbumps5</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[10^5, 10^6)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nbumps6</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[10^6, 10^7)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Constant</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nbumps7</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[10^7, 10^8)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Constant</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nbumps89</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[10^8, 10^10)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Constant</w:t>
            </w:r>
          </w:p>
        </w:tc>
      </w:tr>
    </w:tbl>
    <w:p>
      <w:pPr>
        <w:spacing w:after="20"/>
      </w:pPr>
    </w:p>
    <w:p>
      <w:r>
        <w:t>The total count nbumps is excluded from the retained 17-column design, which includes the energy-band counts.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42"/>
        <w:gridCol w:w="3044"/>
        <w:gridCol w:w="1268"/>
        <w:gridCol w:w="1268"/>
        <w:gridCol w:w="1268"/>
        <w:gridCol w:w="1268"/>
      </w:tblGrid>
      <w:tr>
        <w:trPr>
          <w:cantSplit/>
          <w:tblHeader/>
        </w:trPr>
        <w:tc>
          <w:tcPr>
            <w:tcW w:type="dxa" w:w="114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304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 set</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1</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2</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3</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All features</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0.1360</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0.0204</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0.0873</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0.1142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0.0379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0.0355</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hazard ratings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0.1298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0.0164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0.0911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0.1589</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0.1731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0.0547</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0.1103</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geophone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0.1177</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0.0418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0.1224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0.0649</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0.0979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0.1415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seismic activity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0.2310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0.0298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0.0666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0.0456</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 type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0.0658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0.1340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0.1204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All features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0.1136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0.0632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0.0781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0.1171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0.0476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0.0306</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hazard ratings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0.1111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0.0171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0.0698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0.2131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0.0461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geophone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0.0542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0.1032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0.1145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0.0514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seismic activity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0.2119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0.0618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0.0471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 type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0.0658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0.1136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0.0264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All features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0.0284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0.0618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0.1171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0.0465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0.0306</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hazard ratings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0.0215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0.0777</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0.0701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0.1794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0.0349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0.0660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0.0791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geophone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0.1182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0.0351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0.0876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0.0594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0.1153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0.1096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0.0599</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seismic activity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0.2399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0.0408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0.0667</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 type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0.0658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0.0284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34"/>
        <w:gridCol w:w="1634"/>
        <w:gridCol w:w="1634"/>
        <w:gridCol w:w="2179"/>
        <w:gridCol w:w="2179"/>
      </w:tblGrid>
      <w:tr>
        <w:trPr>
          <w:cantSplit/>
          <w:tblHeader/>
        </w:trPr>
        <w:tc>
          <w:tcPr>
            <w:tcW w:type="dxa" w:w="163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pair</w:t>
            </w:r>
          </w:p>
        </w:tc>
        <w:tc>
          <w:tcPr>
            <w:tcW w:type="dxa" w:w="163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Spearman 17</w:t>
            </w:r>
          </w:p>
        </w:tc>
        <w:tc>
          <w:tcPr>
            <w:tcW w:type="dxa" w:w="163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Spearman 14</w:t>
            </w:r>
          </w:p>
        </w:tc>
        <w:tc>
          <w:tcPr>
            <w:tcW w:type="dxa" w:w="217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Top-5 Jaccard 17</w:t>
            </w:r>
          </w:p>
        </w:tc>
        <w:tc>
          <w:tcPr>
            <w:tcW w:type="dxa" w:w="217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Top-5 Jaccard 14</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1-2</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0.8354</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0.8023</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1-3</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0.8178</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0.7932</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1-4</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0.7122</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0.6570</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2-3</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0.9412</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0.9342</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2-4</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0.8306</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0.7879</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3-4</w:t>
            </w:r>
          </w:p>
        </w:tc>
        <w:tc>
          <w:tcPr>
            <w:tcW w:type="dxa" w:w="1634"/>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0.8047</w:t>
            </w:r>
          </w:p>
        </w:tc>
        <w:tc>
          <w:tcPr>
            <w:tcW w:type="dxa" w:w="1634"/>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0.7277</w:t>
            </w:r>
          </w:p>
        </w:tc>
        <w:tc>
          <w:tcPr>
            <w:tcW w:type="dxa" w:w="2179"/>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0.4286</w:t>
            </w:r>
          </w:p>
        </w:tc>
        <w:tc>
          <w:tcPr>
            <w:tcW w:type="dxa" w:w="2179"/>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0.4286</w:t>
            </w:r>
          </w:p>
        </w:tc>
      </w:tr>
    </w:tbl>
    <w:p>
      <w:pPr>
        <w:spacing w:after="20"/>
      </w:pPr>
    </w:p>
    <w:sectPr>
      <w:footerReference w:type="default" r:id="rId14"/>
      <w:pgSz w:w="11909" w:h="16834"/>
      <w:pgMar w:top="1181" w:right="1325" w:bottom="1181"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left"/>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