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vector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Seismic warning rules can change their loss, coverage and workload on later records. We examine this transfer using complementary forecast and decision analyses on 2,063 common UCI Seismic Bumps test records with 88 hazardous-shift labels. Matching test records substantially narrows random-versus-record-order average-precision differences, showing cohort sensitivity without isolating leakage or drift. We then select budget-only, cost-only and capacity-constrained cost rules on historical reference data and evaluate their frozen transfer. For fixed XGBoost models at an assumed missed-hazard cost ten times the false-alert cost, capacity-constrained cost rules show pooled loss differences of 0.00 to 0.82 units per 100 records against no alarms; intervals for the nonzero differences include zero. At a 20% historical budget, these rules produce 34 alerts and 2 detections, compared with 557 alerts and 25 detections for budget-only rules, among 88 hazardous shifts. Historical capacity feasibility does not ensure later feasibility, and refitting can change decisions at an unchanged cutoff. A separately specified exploratory comparison at matched grade allocations and test-batch slots does not establish a consistent detection increment from adding monitoring variables beyond grades and shift type. The findings support joint evaluation of loss, coverage and workload on overlapping records; recorded order remains a temporal proxy.</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Historical loss minimization or capacity feasibility does not determine what the same rule will demand or detect on later records. This study asks: how do historically selected seismic warning rules perform on subsequent records in loss, hazardous-shift coverage and alarm workload, and what forecast-evaluation evidence supports interpreting those outcomes?</w:t>
      </w:r>
    </w:p>
    <w:p>
      <w:r>
        <w:t>Two questions organize the analysis. First, how does evaluation on common test records change the apparent forecast-protocol gap? Second, how do loss, coverage and workload change when historical warning rules transfer under assumed costs and capacity? Calibration, TreeSHAP and refitted ablations provide supporting evidence about probabilities and model use of information. The earlier within-grade ranking pilot remains separate. A subsequent matched-information analysis supports the second question by fixing test-batch slots and grade allocations; its core result is included here, with full evidence in the exploratory supplement. The two stages retain their own fitting and threshold protocols; one is not a prospective validation of the other.</w:t>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The study contributes three connected elements. First, common-cohort forecast assessment quantifies how the apparent AP protocol gap changes with the evaluated records: the gaps shrink by 89.7% for LR, 86.9% for CART, 89.4% for XGBoost, without identifying a causal share of leakage or drift. Second, the decision analysis jointly measures transferred loss, detections, workload and capacity excess, explains historical no-alarm choices and compares fixed with refitted models. A matched-allocation supplement then asks whether monitoring information adds coverage beyond grades and shift type. Third, the implementation connects source row mappings, saved predictions, historical threshold candidates and row-level decisions to verification through separate calculation paths. This is an application and empirical evaluation of established learning, explanation, threshold-choice and resampling methods.</w:t>
      </w:r>
    </w:p>
    <w:p>
      <w:pPr>
        <w:keepNext/>
        <w:jc w:val="center"/>
      </w:pPr>
      <w:r>
        <w:drawing>
          <wp:inline xmlns:a="http://schemas.openxmlformats.org/drawingml/2006/main" xmlns:pic="http://schemas.openxmlformats.org/drawingml/2006/picture">
            <wp:extent cx="5852160" cy="2529726"/>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extLst>
                        <a:ext uri="{96DAC541-7B7A-43D3-8B79-37D633B846F1}">
                          <asvg:svgBlip xmlns:asvg="http://schemas.microsoft.com/office/drawing/2016/SVG/main" r:embed="rId10"/>
                        </a:ext>
                      </a:extLst>
                    </a:blip>
                    <a:stretch>
                      <a:fillRect/>
                    </a:stretch>
                  </pic:blipFill>
                  <pic:spPr>
                    <a:xfrm>
                      <a:off x="0" y="0"/>
                      <a:ext cx="5852160" cy="2529726"/>
                    </a:xfrm>
                    <a:prstGeom prst="rect"/>
                  </pic:spPr>
                </pic:pic>
              </a:graphicData>
            </a:graphic>
          </wp:inline>
        </w:drawing>
      </w:r>
    </w:p>
    <w:p>
      <w:pPr>
        <w:pStyle w:val="Caption"/>
        <w:keepLines/>
      </w:pPr>
      <w:r>
        <w:t>Figure 1. Conceptual organization of the study. Shared records support complementary forecast and decision analyses. The branches do not imply that corrected Stage 1 probabilities are inputs to Stage 2 rules.</w:t>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Phases are record blocks,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Phase</w:t>
            </w:r>
          </w:p>
        </w:tc>
        <w:tc>
          <w:tcPr>
            <w:tcW w:type="dxa" w:w="1601"/>
            <w:vAlign w:val="center"/>
            <w:shd w:fill="EDEFF1"/>
          </w:tcPr>
          <w:p>
            <w:pPr>
              <w:keepNext/>
              <w:spacing w:line="245" w:lineRule="auto" w:before="60" w:after="60"/>
              <w:jc w:val="center"/>
            </w:pPr>
            <w:r>
              <w:rPr>
                <w:b/>
                <w:sz w:val="20"/>
              </w:rPr>
              <w:t>Test n</w:t>
            </w:r>
          </w:p>
        </w:tc>
        <w:tc>
          <w:tcPr>
            <w:tcW w:type="dxa" w:w="1601"/>
            <w:vAlign w:val="center"/>
            <w:shd w:fill="EDEFF1"/>
          </w:tcPr>
          <w:p>
            <w:pPr>
              <w:keepNext/>
              <w:spacing w:line="245" w:lineRule="auto" w:before="60" w:after="60"/>
              <w:jc w:val="center"/>
            </w:pPr>
            <w:r>
              <w:rPr>
                <w:b/>
                <w:sz w:val="20"/>
              </w:rPr>
              <w:t>Test +</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Stage 2 ref n</w:t>
            </w:r>
          </w:p>
        </w:tc>
        <w:tc>
          <w:tcPr>
            <w:tcW w:type="dxa" w:w="1601"/>
            <w:vAlign w:val="center"/>
            <w:shd w:fill="EDEFF1"/>
          </w:tcPr>
          <w:p>
            <w:pPr>
              <w:keepNext/>
              <w:spacing w:line="245" w:lineRule="auto" w:before="60" w:after="60"/>
              <w:jc w:val="center"/>
            </w:pPr>
            <w:r>
              <w:rPr>
                <w:b/>
                <w:sz w:val="20"/>
              </w:rPr>
              <w:t>Stage 2 ref +</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spacing w:line="245" w:lineRule="auto" w:before="60" w:after="60"/>
              <w:jc w:val="left"/>
            </w:pPr>
            <w:r>
              <w:rPr>
                <w:b w:val="0"/>
                <w:sz w:val="20"/>
              </w:rPr>
              <w:t>2</w:t>
            </w:r>
          </w:p>
        </w:tc>
        <w:tc>
          <w:tcPr>
            <w:tcW w:type="dxa" w:w="1601"/>
            <w:vAlign w:val="center"/>
          </w:tcPr>
          <w:p>
            <w:pPr>
              <w:keepNext/>
              <w:spacing w:line="245" w:lineRule="auto" w:before="60" w:after="60"/>
              <w:jc w:val="right"/>
            </w:pPr>
            <w:r>
              <w:rPr>
                <w:b w:val="0"/>
                <w:sz w:val="20"/>
              </w:rPr>
              <w:t>515</w:t>
            </w:r>
          </w:p>
        </w:tc>
        <w:tc>
          <w:tcPr>
            <w:tcW w:type="dxa" w:w="1601"/>
            <w:vAlign w:val="center"/>
          </w:tcPr>
          <w:p>
            <w:pPr>
              <w:keepNext/>
              <w:spacing w:line="245" w:lineRule="auto" w:before="60" w:after="60"/>
              <w:jc w:val="right"/>
            </w:pPr>
            <w:r>
              <w:rPr>
                <w:b w:val="0"/>
                <w:sz w:val="20"/>
              </w:rPr>
              <w:t>10</w:t>
            </w:r>
          </w:p>
        </w:tc>
        <w:tc>
          <w:tcPr>
            <w:tcW w:type="dxa" w:w="1601"/>
            <w:vAlign w:val="center"/>
          </w:tcPr>
          <w:p>
            <w:pPr>
              <w:keepNext/>
              <w:spacing w:line="245" w:lineRule="auto" w:before="60" w:after="60"/>
              <w:jc w:val="right"/>
            </w:pPr>
            <w:r>
              <w:rPr>
                <w:b w:val="0"/>
                <w:sz w:val="20"/>
              </w:rPr>
              <w:t>1.94%</w:t>
            </w:r>
          </w:p>
        </w:tc>
        <w:tc>
          <w:tcPr>
            <w:tcW w:type="dxa" w:w="1601"/>
            <w:vAlign w:val="center"/>
          </w:tcPr>
          <w:p>
            <w:pPr>
              <w:keepNext/>
              <w:spacing w:line="245" w:lineRule="auto" w:before="60" w:after="60"/>
              <w:jc w:val="right"/>
            </w:pPr>
            <w:r>
              <w:rPr>
                <w:b w:val="0"/>
                <w:sz w:val="20"/>
              </w:rPr>
              <w:t>207</w:t>
            </w:r>
          </w:p>
        </w:tc>
        <w:tc>
          <w:tcPr>
            <w:tcW w:type="dxa" w:w="1601"/>
            <w:vAlign w:val="center"/>
          </w:tcPr>
          <w:p>
            <w:pPr>
              <w:keepNext/>
              <w:spacing w:line="245" w:lineRule="auto" w:before="60" w:after="60"/>
              <w:jc w:val="right"/>
            </w:pPr>
            <w:r>
              <w:rPr>
                <w:b w:val="0"/>
                <w:sz w:val="20"/>
              </w:rPr>
              <w:t>1</w:t>
            </w:r>
          </w:p>
        </w:tc>
      </w:tr>
      <w:tr>
        <w:trPr>
          <w:cantSplit/>
        </w:trPr>
        <w:tc>
          <w:tcPr>
            <w:tcW w:type="dxa" w:w="1601"/>
            <w:vAlign w:val="center"/>
          </w:tcPr>
          <w:p>
            <w:pPr>
              <w:keepNext/>
              <w:spacing w:line="245" w:lineRule="auto" w:before="60" w:after="60"/>
              <w:jc w:val="left"/>
            </w:pPr>
            <w:r>
              <w:rPr>
                <w:b w:val="0"/>
                <w:sz w:val="20"/>
              </w:rPr>
              <w:t>3</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24</w:t>
            </w:r>
          </w:p>
        </w:tc>
        <w:tc>
          <w:tcPr>
            <w:tcW w:type="dxa" w:w="1601"/>
            <w:vAlign w:val="center"/>
          </w:tcPr>
          <w:p>
            <w:pPr>
              <w:keepNext/>
              <w:spacing w:line="245" w:lineRule="auto" w:before="60" w:after="60"/>
              <w:jc w:val="right"/>
            </w:pPr>
            <w:r>
              <w:rPr>
                <w:b w:val="0"/>
                <w:sz w:val="20"/>
              </w:rPr>
              <w:t>4.65%</w:t>
            </w:r>
          </w:p>
        </w:tc>
        <w:tc>
          <w:tcPr>
            <w:tcW w:type="dxa" w:w="1601"/>
            <w:vAlign w:val="center"/>
          </w:tcPr>
          <w:p>
            <w:pPr>
              <w:keepNext/>
              <w:spacing w:line="245" w:lineRule="auto" w:before="60" w:after="60"/>
              <w:jc w:val="right"/>
            </w:pPr>
            <w:r>
              <w:rPr>
                <w:b w:val="0"/>
                <w:sz w:val="20"/>
              </w:rPr>
              <w:t>310</w:t>
            </w:r>
          </w:p>
        </w:tc>
        <w:tc>
          <w:tcPr>
            <w:tcW w:type="dxa" w:w="1601"/>
            <w:vAlign w:val="center"/>
          </w:tcPr>
          <w:p>
            <w:pPr>
              <w:keepNext/>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was already inspected and is supplementary, overlapping evidence; it is neither an additional independent cohort nor an untouched confirmation set. Sample counts are not added across stages or protocols.</w:t>
      </w:r>
    </w:p>
    <w:p>
      <w:pPr>
        <w:pStyle w:val="Heading1"/>
      </w:pPr>
      <w:r>
        <w:t>3 Two complementary evaluation protocols</w:t>
      </w:r>
    </w:p>
    <w:p>
      <w:r>
        <w:t>LR uses balanced class weights and an L2 penalty of 1. Bagged CART uses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spacing w:line="245" w:lineRule="auto" w:before="60" w:after="60"/>
              <w:jc w:val="left"/>
            </w:pPr>
            <w:r>
              <w:rPr>
                <w:b w:val="0"/>
                <w:sz w:val="20"/>
              </w:rPr>
              <w:t>Model fitting</w:t>
            </w:r>
          </w:p>
        </w:tc>
        <w:tc>
          <w:tcPr>
            <w:tcW w:type="dxa" w:w="3202"/>
            <w:vAlign w:val="center"/>
          </w:tcPr>
          <w:p>
            <w:pPr>
              <w:keepNext/>
              <w:spacing w:line="245" w:lineRule="auto" w:before="60" w:after="60"/>
              <w:jc w:val="left"/>
            </w:pPr>
            <w:r>
              <w:rPr>
                <w:b w:val="0"/>
                <w:sz w:val="20"/>
              </w:rPr>
              <w:t>Outer models refit on supplied training rows</w:t>
            </w:r>
          </w:p>
        </w:tc>
        <w:tc>
          <w:tcPr>
            <w:tcW w:type="dxa" w:w="3202"/>
            <w:vAlign w:val="center"/>
          </w:tcPr>
          <w:p>
            <w:pPr>
              <w:keepNext/>
              <w:spacing w:line="245" w:lineRule="auto" w:before="60" w:after="60"/>
              <w:jc w:val="left"/>
            </w:pPr>
            <w:r>
              <w:rPr>
                <w:b w:val="0"/>
                <w:sz w:val="20"/>
              </w:rPr>
              <w:t>Primary fixed model fits first 80% of outer history</w:t>
            </w:r>
          </w:p>
        </w:tc>
      </w:tr>
      <w:tr>
        <w:trPr>
          <w:cantSplit/>
        </w:trPr>
        <w:tc>
          <w:tcPr>
            <w:tcW w:type="dxa" w:w="3202"/>
            <w:vAlign w:val="center"/>
          </w:tcPr>
          <w:p>
            <w:pPr>
              <w:keepNext/>
              <w:spacing w:line="245" w:lineRule="auto" w:before="60" w:after="60"/>
              <w:jc w:val="left"/>
            </w:pPr>
            <w:r>
              <w:rPr>
                <w:b w:val="0"/>
                <w:sz w:val="20"/>
              </w:rPr>
              <w:t>Policy reference</w:t>
            </w:r>
          </w:p>
        </w:tc>
        <w:tc>
          <w:tcPr>
            <w:tcW w:type="dxa" w:w="3202"/>
            <w:vAlign w:val="center"/>
          </w:tcPr>
          <w:p>
            <w:pPr>
              <w:keepNext/>
              <w:spacing w:line="245" w:lineRule="auto" w:before="60" w:after="60"/>
              <w:jc w:val="left"/>
            </w:pPr>
            <w:r>
              <w:rPr>
                <w:b w:val="0"/>
                <w:sz w:val="20"/>
              </w:rPr>
              <w:t>Last 20% of history; separate earlier reference model</w:t>
            </w:r>
          </w:p>
        </w:tc>
        <w:tc>
          <w:tcPr>
            <w:tcW w:type="dxa" w:w="3202"/>
            <w:vAlign w:val="center"/>
          </w:tcPr>
          <w:p>
            <w:pPr>
              <w:keepNext/>
              <w:spacing w:line="245" w:lineRule="auto" w:before="60" w:after="60"/>
              <w:jc w:val="left"/>
            </w:pPr>
            <w:r>
              <w:rPr>
                <w:b w:val="0"/>
                <w:sz w:val="20"/>
              </w:rPr>
              <w:t>Last 20% of history; scores from primary fixed model</w:t>
            </w:r>
          </w:p>
        </w:tc>
      </w:tr>
      <w:tr>
        <w:trPr>
          <w:cantSplit/>
        </w:trPr>
        <w:tc>
          <w:tcPr>
            <w:tcW w:type="dxa" w:w="3202"/>
            <w:vAlign w:val="center"/>
          </w:tcPr>
          <w:p>
            <w:pPr>
              <w:keepNext/>
              <w:spacing w:line="245" w:lineRule="auto" w:before="60" w:after="60"/>
              <w:jc w:val="left"/>
            </w:pPr>
            <w:r>
              <w:rPr>
                <w:b w:val="0"/>
                <w:sz w:val="20"/>
              </w:rPr>
              <w:t>XGBoost choice</w:t>
            </w:r>
          </w:p>
        </w:tc>
        <w:tc>
          <w:tcPr>
            <w:tcW w:type="dxa" w:w="3202"/>
            <w:vAlign w:val="center"/>
          </w:tcPr>
          <w:p>
            <w:pPr>
              <w:keepNext/>
              <w:spacing w:line="245" w:lineRule="auto" w:before="60" w:after="60"/>
              <w:jc w:val="left"/>
            </w:pPr>
            <w:r>
              <w:rPr>
                <w:b w:val="0"/>
                <w:sz w:val="20"/>
              </w:rPr>
              <w:t>Separate training-local searches for outer/reference models</w:t>
            </w:r>
          </w:p>
        </w:tc>
        <w:tc>
          <w:tcPr>
            <w:tcW w:type="dxa" w:w="3202"/>
            <w:vAlign w:val="center"/>
          </w:tcPr>
          <w:p>
            <w:pPr>
              <w:keepNext/>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spacing w:line="245" w:lineRule="auto" w:before="60" w:after="60"/>
              <w:jc w:val="left"/>
            </w:pPr>
            <w:r>
              <w:rPr>
                <w:b w:val="0"/>
                <w:sz w:val="20"/>
              </w:rPr>
              <w:t>Budget cutoff</w:t>
            </w:r>
          </w:p>
        </w:tc>
        <w:tc>
          <w:tcPr>
            <w:tcW w:type="dxa" w:w="3202"/>
            <w:vAlign w:val="center"/>
          </w:tcPr>
          <w:p>
            <w:pPr>
              <w:keepNext/>
              <w:spacing w:line="245" w:lineRule="auto" w:before="60" w:after="60"/>
              <w:jc w:val="left"/>
            </w:pPr>
            <w:r>
              <w:rPr>
                <w:b w:val="0"/>
                <w:sz w:val="20"/>
              </w:rPr>
              <w:t>Exclude boundary score and all ties</w:t>
            </w:r>
          </w:p>
        </w:tc>
        <w:tc>
          <w:tcPr>
            <w:tcW w:type="dxa" w:w="3202"/>
            <w:vAlign w:val="center"/>
          </w:tcPr>
          <w:p>
            <w:pPr>
              <w:keepNext/>
              <w:spacing w:line="245" w:lineRule="auto" w:before="60" w:after="60"/>
              <w:jc w:val="left"/>
            </w:pPr>
            <w:r>
              <w:rPr>
                <w:b w:val="0"/>
                <w:sz w:val="20"/>
              </w:rPr>
              <w:t>Canonical whole-score groups; alerts score &gt;= cutoff</w:t>
            </w:r>
          </w:p>
        </w:tc>
      </w:tr>
      <w:tr>
        <w:trPr>
          <w:cantSplit/>
        </w:trPr>
        <w:tc>
          <w:tcPr>
            <w:tcW w:type="dxa" w:w="3202"/>
            <w:vAlign w:val="center"/>
          </w:tcPr>
          <w:p>
            <w:pPr>
              <w:keepNext/>
              <w:spacing w:line="245" w:lineRule="auto" w:before="60" w:after="60"/>
              <w:jc w:val="left"/>
            </w:pPr>
            <w:r>
              <w:rPr>
                <w:b w:val="0"/>
                <w:sz w:val="20"/>
              </w:rPr>
              <w:t>Primary transfer</w:t>
            </w:r>
          </w:p>
        </w:tc>
        <w:tc>
          <w:tcPr>
            <w:tcW w:type="dxa" w:w="3202"/>
            <w:vAlign w:val="center"/>
          </w:tcPr>
          <w:p>
            <w:pPr>
              <w:keepNext/>
              <w:spacing w:line="245" w:lineRule="auto" w:before="60" w:after="60"/>
              <w:jc w:val="left"/>
            </w:pPr>
            <w:r>
              <w:rPr>
                <w:b w:val="0"/>
                <w:sz w:val="20"/>
              </w:rPr>
              <w:t>Reference cutoff applied after outer refitting</w:t>
            </w:r>
          </w:p>
        </w:tc>
        <w:tc>
          <w:tcPr>
            <w:tcW w:type="dxa" w:w="3202"/>
            <w:vAlign w:val="center"/>
          </w:tcPr>
          <w:p>
            <w:pPr>
              <w:keepNext/>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pPr>
        <w:pStyle w:val="Heading1"/>
      </w:pPr>
      <w:r>
        <w:t>3.1 Probability, explanation and decision definitions</w:t>
      </w:r>
    </w:p>
    <w:p>
      <w:r>
        <w:t>AP is the sum of precision values weighted by recall increments, with tied scores evaluated as a group: AP = sum_k P_k (R_k - R_(k-1)). The horizontal PR reference is the evaluation cohort prevalence pi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w:t>
      </w:r>
    </w:p>
    <w:p>
      <w:pPr>
        <w:keepNext/>
      </w:pPr>
      <w:r>
        <w:t>Expected calibration error is the bin-count-weighted absolute difference between mean event probability and observed hazardous fraction [12,13]. The present binary event-probability definition uses up to ten quantile bins, collapses duplicate edges and keeps tied probabilities together. Guo and colleagues instead summarize predicted-class confidence and accuracy using equally spaced bins. Binning is an assessment step, not a calibration model fitted on test labels. Brier score (BS) is the binary event-probability mean squared error [14]; the named historical training-prior or retrospective test-prevalence predictor supplies its reference; skill is undefined when the reference error is zero.</w:t>
      </w:r>
    </w:p>
    <w:p>
      <w:pPr>
        <w:keepLines/>
        <w:jc w:val="center"/>
      </w:pPr>
      <m:oMath>
        <m:r>
          <m:rPr>
            <m:nor m:val="1"/>
          </m:rPr>
          <w:rPr>
            <w:rFonts w:ascii="Cambria Math" w:hAnsi="Cambria Math"/>
          </w:rPr>
          <m:t xml:space="preserve">Brier skill</m:t>
        </m:r>
        <m:r>
          <m:rPr>
            <m:nor m:val="1"/>
          </m:rPr>
          <w:rPr>
            <w:rFonts w:ascii="Cambria Math" w:hAnsi="Cambria Math"/>
          </w:rPr>
          <m:t>=</m:t>
        </m:r>
        <m:r>
          <m:rPr>
            <m:nor m:val="1"/>
          </m:rPr>
          <w:rPr>
            <w:rFonts w:ascii="Cambria Math" w:hAnsi="Cambria Math"/>
          </w:rPr>
          <m:t>1</m:t>
        </m:r>
        <m:r>
          <m:rPr>
            <m:nor m:val="1"/>
          </m:rPr>
          <w:rPr>
            <w:rFonts w:ascii="Cambria Math" w:hAnsi="Cambria Math"/>
          </w:rPr>
          <m:t>−</m:t>
        </m:r>
        <m:f>
          <m:num>
            <m:sSub>
              <m:e>
                <m:r>
                  <m:rPr>
                    <m:nor m:val="1"/>
                  </m:rPr>
                  <w:rPr>
                    <w:rFonts w:ascii="Cambria Math" w:hAnsi="Cambria Math"/>
                  </w:rPr>
                  <m:t>BS</m:t>
                </m:r>
              </m:e>
              <m:sub>
                <m:r>
                  <m:rPr>
                    <m:nor m:val="1"/>
                  </m:rPr>
                  <w:rPr>
                    <w:rFonts w:ascii="Cambria Math" w:hAnsi="Cambria Math"/>
                  </w:rPr>
                  <m:t>model</m:t>
                </m:r>
              </m:sub>
            </m:sSub>
          </m:num>
          <m:den>
            <m:sSub>
              <m:e>
                <m:r>
                  <m:rPr>
                    <m:nor m:val="1"/>
                  </m:rPr>
                  <w:rPr>
                    <w:rFonts w:ascii="Cambria Math" w:hAnsi="Cambria Math"/>
                  </w:rPr>
                  <m:t>BS</m:t>
                </m:r>
              </m:e>
              <m:sub>
                <m:r>
                  <m:rPr>
                    <m:nor m:val="1"/>
                  </m:rPr>
                  <w:rPr>
                    <w:rFonts w:ascii="Cambria Math" w:hAnsi="Cambria Math"/>
                  </w:rPr>
                  <m:t>reference</m:t>
                </m:r>
              </m:sub>
            </m:sSub>
          </m:den>
        </m:f>
      </m:oMath>
    </w:p>
    <w:p>
      <w:r>
        <w:t>Prior-only distribution change is a specific modeling assumption [15].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[16,17]. Refitted group ablations ask a different question: how predictions change after a model is trained without the group. They are not causal feature effects.</w:t>
      </w:r>
    </w:p>
    <w:p>
      <w:r>
        <w:t>Cost-sensitive decisions use the hypothetical loss L = r FN + FP, with false-alert cost 1 [18].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pPr>
        <w:keepNext/>
      </w:pPr>
      <w:r>
        <w:t>An alert represents one candidate shift for inspection. TP is a hazardous shift flagged, FP a non-hazardous shift flagged and FN a hazardous shift missed. In the following equations, r is the assumed missed-hazard cost relative to false-alert cost 1, N is the evaluated record count, B is the historical capacity fraction and Ntest is the current test-block size. Loss and its difference from no alarms are:</w:t>
      </w:r>
    </w:p>
    <w:p>
      <w:pPr>
        <w:keepNext/>
        <w:keepLines/>
        <w:jc w:val="center"/>
      </w:pPr>
      <m:oMath>
        <m:sSub>
          <m:e>
            <m:r>
              <m:rPr>
                <m:nor m:val="1"/>
              </m:rPr>
              <w:rPr>
                <w:rFonts w:ascii="Cambria Math" w:hAnsi="Cambria Math"/>
              </w:rPr>
              <m:t>L</m:t>
            </m:r>
          </m:e>
          <m:sub>
            <m:r>
              <m:rPr>
                <m:nor m:val="1"/>
              </m:rPr>
              <w:rPr>
                <w:rFonts w:ascii="Cambria Math" w:hAnsi="Cambria Math"/>
              </w:rPr>
              <m:t>100</m:t>
            </m:r>
          </m:sub>
        </m:sSub>
        <m:r>
          <m:rPr>
            <m:nor m:val="1"/>
          </m:rPr>
          <w:rPr>
            <w:rFonts w:ascii="Cambria Math" w:hAnsi="Cambria Math"/>
          </w:rPr>
          <m:t>=</m:t>
        </m:r>
        <m:f>
          <m:num>
            <m:r>
              <m:rPr>
                <m:nor m:val="1"/>
              </m:rPr>
              <w:rPr>
                <w:rFonts w:ascii="Cambria Math" w:hAnsi="Cambria Math"/>
              </w:rPr>
              <m:t>100</m:t>
            </m:r>
            <m:d>
              <m:dPr>
                <m:begChr m:val="("/>
                <m:endChr m:val=")"/>
              </m:dPr>
              <m:e>
                <m:r>
                  <m:rPr>
                    <m:nor m:val="1"/>
                  </m:rPr>
                  <w:rPr>
                    <w:rFonts w:ascii="Cambria Math" w:hAnsi="Cambria Math"/>
                  </w:rPr>
                  <m:t>r</m:t>
                </m:r>
                <m:r>
                  <m:rPr>
                    <m:nor m:val="1"/>
                  </m:rPr>
                  <w:rPr>
                    <w:rFonts w:ascii="Cambria Math" w:hAnsi="Cambria Math"/>
                  </w:rPr>
                  <m:t>FN</m:t>
                </m:r>
                <m:r>
                  <m:rPr>
                    <m:nor m:val="1"/>
                  </m:rPr>
                  <w:rPr>
                    <w:rFonts w:ascii="Cambria Math" w:hAnsi="Cambria Math"/>
                  </w:rPr>
                  <m:t>+</m:t>
                </m:r>
                <m:r>
                  <m:rPr>
                    <m:nor m:val="1"/>
                  </m:rPr>
                  <w:rPr>
                    <w:rFonts w:ascii="Cambria Math" w:hAnsi="Cambria Math"/>
                  </w:rPr>
                  <m:t>FP</m:t>
                </m:r>
              </m:e>
            </m:d>
          </m:num>
          <m:den>
            <m:r>
              <m:rPr>
                <m:nor m:val="1"/>
              </m:rPr>
              <w:rPr>
                <w:rFonts w:ascii="Cambria Math" w:hAnsi="Cambria Math"/>
              </w:rPr>
              <m:t>N</m:t>
            </m:r>
          </m:den>
        </m:f>
      </m:oMath>
    </w:p>
    <w:p>
      <w:pPr>
        <w:keepLines/>
        <w:jc w:val="center"/>
      </w:pPr>
      <m:oMath>
        <m:r>
          <m:rPr>
            <m:nor m:val="1"/>
          </m:rPr>
          <w:rPr>
            <w:rFonts w:ascii="Cambria Math" w:hAnsi="Cambria Math"/>
          </w:rPr>
          <m:t>Δ</m:t>
        </m:r>
        <m:sSub>
          <m:e>
            <m:r>
              <m:rPr>
                <m:nor m:val="1"/>
              </m:rPr>
              <w:rPr>
                <w:rFonts w:ascii="Cambria Math" w:hAnsi="Cambria Math"/>
              </w:rPr>
              <m:t>L</m:t>
            </m:r>
          </m:e>
          <m:sub>
            <m:r>
              <m:rPr>
                <m:nor m:val="1"/>
              </m:rPr>
              <w:rPr>
                <w:rFonts w:ascii="Cambria Math" w:hAnsi="Cambria Math"/>
              </w:rPr>
              <m:t>none,100</m:t>
            </m:r>
          </m:sub>
        </m:sSub>
        <m:r>
          <m:rPr>
            <m:nor m:val="1"/>
          </m:rPr>
          <w:rPr>
            <w:rFonts w:ascii="Cambria Math" w:hAnsi="Cambria Math"/>
          </w:rPr>
          <m:t>=</m:t>
        </m:r>
        <m:f>
          <m:num>
            <m:r>
              <m:rPr>
                <m:nor m:val="1"/>
              </m:rPr>
              <w:rPr>
                <w:rFonts w:ascii="Cambria Math" w:hAnsi="Cambria Math"/>
              </w:rPr>
              <m:t>100</m:t>
            </m:r>
            <m:d>
              <m:dPr>
                <m:begChr m:val="("/>
                <m:endChr m:val=")"/>
              </m:dPr>
              <m:e>
                <m:r>
                  <m:rPr>
                    <m:nor m:val="1"/>
                  </m:rPr>
                  <w:rPr>
                    <w:rFonts w:ascii="Cambria Math" w:hAnsi="Cambria Math"/>
                  </w:rPr>
                  <m:t>FP</m:t>
                </m:r>
                <m:r>
                  <m:rPr>
                    <m:nor m:val="1"/>
                  </m:rPr>
                  <w:rPr>
                    <w:rFonts w:ascii="Cambria Math" w:hAnsi="Cambria Math"/>
                  </w:rPr>
                  <m:t>−</m:t>
                </m:r>
                <m:r>
                  <m:rPr>
                    <m:nor m:val="1"/>
                  </m:rPr>
                  <w:rPr>
                    <w:rFonts w:ascii="Cambria Math" w:hAnsi="Cambria Math"/>
                  </w:rPr>
                  <m:t>r</m:t>
                </m:r>
                <m:r>
                  <m:rPr>
                    <m:nor m:val="1"/>
                  </m:rPr>
                  <w:rPr>
                    <w:rFonts w:ascii="Cambria Math" w:hAnsi="Cambria Math"/>
                  </w:rPr>
                  <m:t>TP</m:t>
                </m:r>
              </m:e>
            </m:d>
          </m:num>
          <m:den>
            <m:r>
              <m:rPr>
                <m:nor m:val="1"/>
              </m:rPr>
              <w:rPr>
                <w:rFonts w:ascii="Cambria Math" w:hAnsi="Cambria Math"/>
              </w:rPr>
              <m:t>N</m:t>
            </m:r>
          </m:den>
        </m:f>
      </m:oMath>
    </w:p>
    <w:p>
      <w:pPr>
        <w:keepNext/>
      </w:pPr>
      <w:r>
        <w:t>Negative loss differences mean lower hypothetical loss. Capacity excess is calculated separately within each test block:</w:t>
      </w:r>
    </w:p>
    <w:p>
      <w:pPr>
        <w:keepLines/>
        <w:jc w:val="center"/>
      </w:pPr>
      <m:oMath>
        <m:r>
          <m:rPr>
            <m:nor m:val="1"/>
          </m:rPr>
          <w:rPr>
            <w:rFonts w:ascii="Cambria Math" w:hAnsi="Cambria Math"/>
          </w:rPr>
          <m:t>Excess</m:t>
        </m:r>
        <m:r>
          <m:rPr>
            <m:nor m:val="1"/>
          </m:rPr>
          <w:rPr>
            <w:rFonts w:ascii="Cambria Math" w:hAnsi="Cambria Math"/>
          </w:rPr>
          <m:t>=</m:t>
        </m:r>
        <m:r>
          <m:rPr>
            <m:nor m:val="1"/>
          </m:rPr>
          <w:rPr>
            <w:rFonts w:ascii="Cambria Math" w:hAnsi="Cambria Math"/>
          </w:rPr>
          <m:t>max</m:t>
        </m:r>
        <m:d>
          <m:dPr>
            <m:begChr m:val="{"/>
            <m:endChr m:val="}"/>
          </m:dPr>
          <m:e>
            <m:r>
              <m:rPr>
                <m:nor m:val="1"/>
              </m:rPr>
              <w:rPr>
                <w:rFonts w:ascii="Cambria Math" w:hAnsi="Cambria Math"/>
              </w:rPr>
              <m:t>0</m:t>
            </m:r>
            <m:r>
              <m:rPr>
                <m:nor m:val="1"/>
              </m:rPr>
              <w:rPr>
                <w:rFonts w:ascii="Cambria Math" w:hAnsi="Cambria Math"/>
              </w:rPr>
              <m:t>,</m:t>
            </m:r>
            <m:r>
              <m:rPr>
                <m:nor m:val="1"/>
              </m:rPr>
              <w:rPr>
                <w:rFonts w:ascii="Cambria Math" w:hAnsi="Cambria Math"/>
              </w:rPr>
              <m:t>Alerts</m:t>
            </m:r>
            <m:r>
              <m:rPr>
                <m:nor m:val="1"/>
              </m:rPr>
              <w:rPr>
                <w:rFonts w:ascii="Cambria Math" w:hAnsi="Cambria Math"/>
              </w:rPr>
              <m:t>−</m:t>
            </m:r>
            <m:d>
              <m:dPr>
                <m:begChr m:val="⌊"/>
                <m:endChr m:val="⌋"/>
              </m:dPr>
              <m:e>
                <m:r>
                  <m:rPr>
                    <m:nor m:val="1"/>
                  </m:rPr>
                  <w:rPr>
                    <w:rFonts w:ascii="Cambria Math" w:hAnsi="Cambria Math"/>
                  </w:rPr>
                  <m:t>B</m:t>
                </m:r>
                <m:sSub>
                  <m:e>
                    <m:r>
                      <m:rPr>
                        <m:nor m:val="1"/>
                      </m:rPr>
                      <w:rPr>
                        <w:rFonts w:ascii="Cambria Math" w:hAnsi="Cambria Math"/>
                      </w:rPr>
                      <m:t>N</m:t>
                    </m:r>
                  </m:e>
                  <m:sub>
                    <m:r>
                      <m:rPr>
                        <m:nor m:val="1"/>
                      </m:rPr>
                      <w:rPr>
                        <w:rFonts w:ascii="Cambria Math" w:hAnsi="Cambria Math"/>
                      </w:rPr>
                      <m:t>test</m:t>
                    </m:r>
                  </m:sub>
                </m:sSub>
              </m:e>
            </m:d>
          </m:e>
        </m:d>
      </m:oMath>
    </w:p>
    <w:p>
      <w:r>
        <w:t>All alerts remain in evaluation, including excess demand. No dispatch, truncation, queueing, separate true-positive inspection cost or accident-severity cost is modeled. Pooled excess sums phase excesses, without cancellation by spare slots elsewhere.</w:t>
      </w:r>
    </w:p>
    <w:p>
      <w:r>
        <w:t>Paired moving-block intervals use 2,000 replicates and block length 32, separately within test phases, without wrapping across endpoints or phase boundaries [19,20]. Both compared methods use the same sampled rows; pooled sampling preserves phase sizes. Intervals condition on saved predictions, fitted rules and the current cohort, and exclude full fitting/tuning/selection uncertainty. The original contrasts cover C-A, C-B, secondary B-A and refitted-fixed. The separately specified supplement adds policy-minus-no-alarm and ML-minus-direct-grade contrasts; its rules, seeds and results are recorded separately. Intervals are unadjusted exploratory comparisons.</w:t>
      </w:r>
    </w:p>
    <w:p>
      <w:r>
        <w:t>The direct-rule supplement thresholds seismic, seismoacoustic and ghazard separately on the original historical reference rows [1]. UCI explicitly defines seismic severity from a to d; all three ARFF domains use these codes. The common a&lt;b&lt;c&lt;d ordering is the study's ordinal interpretation for the two other assessments, not a verified deployed policy. The mirror contains seismic codes a, b; the two other fields contain a, b and c, with no observed d. Each field uses the same A/B/C objectives, whole-grade ties and canonical thresholds as ML. Duplicate reference alert sets are collapsed: none uses +infinity, all uses -infinity, and partial sets use their minimum included observed grade. No best grade field is selected from test results. Saved ML scores, cutoffs and alerts are reused exactly; no model is retrained.</w:t>
      </w:r>
    </w:p>
    <w:p>
      <w:pPr>
        <w:pStyle w:val="Heading1"/>
      </w:pPr>
      <w:r>
        <w:t>4 Forecast evidence on comparable test records</w:t>
      </w:r>
    </w:p>
    <w:p>
      <w:pPr>
        <w:pStyle w:val="Caption"/>
        <w:keepNext/>
      </w:pPr>
      <w:r>
        <w:t>Table 3a.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0.0972</w:t>
            </w:r>
          </w:p>
        </w:tc>
        <w:tc>
          <w:tcPr>
            <w:tcW w:type="dxa" w:w="1601"/>
            <w:vAlign w:val="center"/>
          </w:tcPr>
          <w:p>
            <w:pPr>
              <w:keepNext/>
              <w:spacing w:line="245" w:lineRule="auto" w:before="60" w:after="60"/>
              <w:jc w:val="right"/>
            </w:pPr>
            <w:r>
              <w:rPr>
                <w:b w:val="0"/>
                <w:sz w:val="20"/>
              </w:rPr>
              <w:t>0.0784</w:t>
            </w:r>
          </w:p>
        </w:tc>
        <w:tc>
          <w:tcPr>
            <w:tcW w:type="dxa" w:w="1601"/>
            <w:vAlign w:val="center"/>
          </w:tcPr>
          <w:p>
            <w:pPr>
              <w:keepNext/>
              <w:spacing w:line="245" w:lineRule="auto" w:before="60" w:after="60"/>
              <w:jc w:val="right"/>
            </w:pPr>
            <w:r>
              <w:rPr>
                <w:b w:val="0"/>
                <w:sz w:val="20"/>
              </w:rPr>
              <w:t>0.0357</w:t>
            </w:r>
          </w:p>
        </w:tc>
        <w:tc>
          <w:tcPr>
            <w:tcW w:type="dxa" w:w="1601"/>
            <w:vAlign w:val="center"/>
          </w:tcPr>
          <w:p>
            <w:pPr>
              <w:keepNext/>
              <w:spacing w:line="245" w:lineRule="auto" w:before="60" w:after="60"/>
              <w:jc w:val="right"/>
            </w:pPr>
            <w:r>
              <w:rPr>
                <w:b w:val="0"/>
                <w:sz w:val="20"/>
              </w:rPr>
              <w:t>0.0188</w:t>
            </w:r>
          </w:p>
        </w:tc>
        <w:tc>
          <w:tcPr>
            <w:tcW w:type="dxa" w:w="1601"/>
            <w:vAlign w:val="center"/>
          </w:tcPr>
          <w:p>
            <w:pPr>
              <w:keepNext/>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pPr>
        <w:pStyle w:val="Caption"/>
        <w:keepNext/>
      </w:pPr>
      <w:r>
        <w:t>Table 3b. Attenuation of the AP protocol gap after matching test records.</w:t>
      </w:r>
    </w:p>
    <w:tbl>
      <w:tblPr>
        <w:tblStyle w:val="TableGrid"/>
        <w:tblW w:type="auto" w:w="0"/>
        <w:jc w:val="center"/>
        <w:tblLook w:firstColumn="1" w:firstRow="1" w:lastColumn="0" w:lastRow="0" w:noHBand="0" w:noVBand="1" w:val="04A0"/>
      </w:tblPr>
      <w:tblGrid>
        <w:gridCol w:w="2401"/>
        <w:gridCol w:w="2401"/>
        <w:gridCol w:w="2401"/>
        <w:gridCol w:w="2401"/>
      </w:tblGrid>
      <w:tr>
        <w:trPr>
          <w:cantSplit/>
          <w:tblHeader/>
        </w:trPr>
        <w:tc>
          <w:tcPr>
            <w:tcW w:type="dxa" w:w="2401"/>
            <w:vAlign w:val="center"/>
            <w:shd w:fill="EDEFF1"/>
          </w:tcPr>
          <w:p>
            <w:pPr>
              <w:keepNext/>
              <w:spacing w:line="245" w:lineRule="auto" w:before="60" w:after="60"/>
              <w:jc w:val="center"/>
            </w:pPr>
            <w:r>
              <w:rPr>
                <w:b/>
                <w:sz w:val="20"/>
              </w:rPr>
              <w:t>Model</w:t>
            </w:r>
          </w:p>
        </w:tc>
        <w:tc>
          <w:tcPr>
            <w:tcW w:type="dxa" w:w="2401"/>
            <w:vAlign w:val="center"/>
            <w:shd w:fill="EDEFF1"/>
          </w:tcPr>
          <w:p>
            <w:pPr>
              <w:keepNext/>
              <w:spacing w:line="245" w:lineRule="auto" w:before="60" w:after="60"/>
              <w:jc w:val="center"/>
            </w:pPr>
            <w:r>
              <w:rPr>
                <w:b/>
                <w:sz w:val="20"/>
              </w:rPr>
              <w:t>Different-cohort gap</w:t>
            </w:r>
          </w:p>
        </w:tc>
        <w:tc>
          <w:tcPr>
            <w:tcW w:type="dxa" w:w="2401"/>
            <w:vAlign w:val="center"/>
            <w:shd w:fill="EDEFF1"/>
          </w:tcPr>
          <w:p>
            <w:pPr>
              <w:keepNext/>
              <w:spacing w:line="245" w:lineRule="auto" w:before="60" w:after="60"/>
              <w:jc w:val="center"/>
            </w:pPr>
            <w:r>
              <w:rPr>
                <w:b/>
                <w:sz w:val="20"/>
              </w:rPr>
              <w:t>Common-cohort gap</w:t>
            </w:r>
          </w:p>
        </w:tc>
        <w:tc>
          <w:tcPr>
            <w:tcW w:type="dxa" w:w="2401"/>
            <w:vAlign w:val="center"/>
            <w:shd w:fill="EDEFF1"/>
          </w:tcPr>
          <w:p>
            <w:pPr>
              <w:keepNext/>
              <w:spacing w:line="245" w:lineRule="auto" w:before="60" w:after="60"/>
              <w:jc w:val="center"/>
            </w:pPr>
            <w:r>
              <w:rPr>
                <w:b/>
                <w:sz w:val="20"/>
              </w:rPr>
              <w:t>Attenuation</w:t>
            </w:r>
          </w:p>
        </w:tc>
      </w:tr>
      <w:tr>
        <w:trPr>
          <w:cantSplit/>
        </w:trPr>
        <w:tc>
          <w:tcPr>
            <w:tcW w:type="dxa" w:w="2401"/>
            <w:vAlign w:val="center"/>
          </w:tcPr>
          <w:p>
            <w:pPr>
              <w:keepNext/>
              <w:spacing w:line="245" w:lineRule="auto" w:before="60" w:after="60"/>
              <w:jc w:val="left"/>
            </w:pPr>
            <w:r>
              <w:rPr>
                <w:b w:val="0"/>
                <w:sz w:val="20"/>
              </w:rPr>
              <w:t>LR</w:t>
            </w:r>
          </w:p>
        </w:tc>
        <w:tc>
          <w:tcPr>
            <w:tcW w:type="dxa" w:w="2401"/>
            <w:vAlign w:val="center"/>
          </w:tcPr>
          <w:p>
            <w:pPr>
              <w:keepNext/>
              <w:spacing w:line="245" w:lineRule="auto" w:before="60" w:after="60"/>
              <w:jc w:val="right"/>
            </w:pPr>
            <w:r>
              <w:rPr>
                <w:b w:val="0"/>
                <w:sz w:val="20"/>
              </w:rPr>
              <w:t>0.11141</w:t>
            </w:r>
          </w:p>
        </w:tc>
        <w:tc>
          <w:tcPr>
            <w:tcW w:type="dxa" w:w="2401"/>
            <w:vAlign w:val="center"/>
          </w:tcPr>
          <w:p>
            <w:pPr>
              <w:keepNext/>
              <w:spacing w:line="245" w:lineRule="auto" w:before="60" w:after="60"/>
              <w:jc w:val="right"/>
            </w:pPr>
            <w:r>
              <w:rPr>
                <w:b w:val="0"/>
                <w:sz w:val="20"/>
              </w:rPr>
              <w:t>0.01145</w:t>
            </w:r>
          </w:p>
        </w:tc>
        <w:tc>
          <w:tcPr>
            <w:tcW w:type="dxa" w:w="2401"/>
            <w:vAlign w:val="center"/>
          </w:tcPr>
          <w:p>
            <w:pPr>
              <w:keepNext/>
              <w:spacing w:line="245" w:lineRule="auto" w:before="60" w:after="60"/>
              <w:jc w:val="right"/>
            </w:pPr>
            <w:r>
              <w:rPr>
                <w:b w:val="0"/>
                <w:sz w:val="20"/>
              </w:rPr>
              <w:t>89.7%</w:t>
            </w:r>
          </w:p>
        </w:tc>
      </w:tr>
      <w:tr>
        <w:trPr>
          <w:cantSplit/>
        </w:trPr>
        <w:tc>
          <w:tcPr>
            <w:tcW w:type="dxa" w:w="2401"/>
            <w:vAlign w:val="center"/>
          </w:tcPr>
          <w:p>
            <w:pPr>
              <w:keepNext/>
              <w:spacing w:line="245" w:lineRule="auto" w:before="60" w:after="60"/>
              <w:jc w:val="left"/>
            </w:pPr>
            <w:r>
              <w:rPr>
                <w:b w:val="0"/>
                <w:sz w:val="20"/>
              </w:rPr>
              <w:t>CART</w:t>
            </w:r>
          </w:p>
        </w:tc>
        <w:tc>
          <w:tcPr>
            <w:tcW w:type="dxa" w:w="2401"/>
            <w:vAlign w:val="center"/>
          </w:tcPr>
          <w:p>
            <w:pPr>
              <w:keepNext/>
              <w:spacing w:line="245" w:lineRule="auto" w:before="60" w:after="60"/>
              <w:jc w:val="right"/>
            </w:pPr>
            <w:r>
              <w:rPr>
                <w:b w:val="0"/>
                <w:sz w:val="20"/>
              </w:rPr>
              <w:t>0.14330</w:t>
            </w:r>
          </w:p>
        </w:tc>
        <w:tc>
          <w:tcPr>
            <w:tcW w:type="dxa" w:w="2401"/>
            <w:vAlign w:val="center"/>
          </w:tcPr>
          <w:p>
            <w:pPr>
              <w:keepNext/>
              <w:spacing w:line="245" w:lineRule="auto" w:before="60" w:after="60"/>
              <w:jc w:val="right"/>
            </w:pPr>
            <w:r>
              <w:rPr>
                <w:b w:val="0"/>
                <w:sz w:val="20"/>
              </w:rPr>
              <w:t>0.01876</w:t>
            </w:r>
          </w:p>
        </w:tc>
        <w:tc>
          <w:tcPr>
            <w:tcW w:type="dxa" w:w="2401"/>
            <w:vAlign w:val="center"/>
          </w:tcPr>
          <w:p>
            <w:pPr>
              <w:keepNext/>
              <w:spacing w:line="245" w:lineRule="auto" w:before="60" w:after="60"/>
              <w:jc w:val="right"/>
            </w:pPr>
            <w:r>
              <w:rPr>
                <w:b w:val="0"/>
                <w:sz w:val="20"/>
              </w:rPr>
              <w:t>86.9%</w:t>
            </w:r>
          </w:p>
        </w:tc>
      </w:tr>
      <w:tr>
        <w:trPr>
          <w:cantSplit/>
        </w:trPr>
        <w:tc>
          <w:tcPr>
            <w:tcW w:type="dxa" w:w="2401"/>
            <w:vAlign w:val="center"/>
          </w:tcPr>
          <w:p>
            <w:pPr>
              <w:keepNext w:val="0"/>
              <w:spacing w:line="245" w:lineRule="auto" w:before="60" w:after="60"/>
              <w:jc w:val="left"/>
            </w:pPr>
            <w:r>
              <w:rPr>
                <w:b w:val="0"/>
                <w:sz w:val="20"/>
              </w:rPr>
              <w:t>XGBoost</w:t>
            </w:r>
          </w:p>
        </w:tc>
        <w:tc>
          <w:tcPr>
            <w:tcW w:type="dxa" w:w="2401"/>
            <w:vAlign w:val="center"/>
          </w:tcPr>
          <w:p>
            <w:pPr>
              <w:keepNext w:val="0"/>
              <w:spacing w:line="245" w:lineRule="auto" w:before="60" w:after="60"/>
              <w:jc w:val="right"/>
            </w:pPr>
            <w:r>
              <w:rPr>
                <w:b w:val="0"/>
                <w:sz w:val="20"/>
              </w:rPr>
              <w:t>0.12525</w:t>
            </w:r>
          </w:p>
        </w:tc>
        <w:tc>
          <w:tcPr>
            <w:tcW w:type="dxa" w:w="2401"/>
            <w:vAlign w:val="center"/>
          </w:tcPr>
          <w:p>
            <w:pPr>
              <w:keepNext w:val="0"/>
              <w:spacing w:line="245" w:lineRule="auto" w:before="60" w:after="60"/>
              <w:jc w:val="right"/>
            </w:pPr>
            <w:r>
              <w:rPr>
                <w:b w:val="0"/>
                <w:sz w:val="20"/>
              </w:rPr>
              <w:t>0.01328</w:t>
            </w:r>
          </w:p>
        </w:tc>
        <w:tc>
          <w:tcPr>
            <w:tcW w:type="dxa" w:w="2401"/>
            <w:vAlign w:val="center"/>
          </w:tcPr>
          <w:p>
            <w:pPr>
              <w:keepNext w:val="0"/>
              <w:spacing w:line="245" w:lineRule="auto" w:before="60" w:after="60"/>
              <w:jc w:val="right"/>
            </w:pPr>
            <w:r>
              <w:rPr>
                <w:b w:val="0"/>
                <w:sz w:val="20"/>
              </w:rPr>
              <w:t>89.4%</w:t>
            </w:r>
          </w:p>
        </w:tc>
      </w:tr>
    </w:tbl>
    <w:p>
      <w:pPr>
        <w:spacing w:after="20"/>
      </w:pPr>
    </w:p>
    <w:p>
      <w:r>
        <w:t>The different-cohort gap compares random validation on 2,578 records with record-order validation on 2,063; the common-cohort gap evaluates both on the same 2,063 records. Attenuation = 1 - common-cohort gap / different-cohort gap, calculated before rounding. The record-order predictions and fitted random models are unchanged. Attenuation is descriptive cohort sensitivity, not a causal decomposition or a confidence interval.</w:t>
      </w:r>
    </w:p>
    <w:p>
      <w:r>
        <w:t>The interval in Table 3a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89.4% for XGBoost.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Table 3b makes the original and matched gaps directly comparable; the Stage 1 technical report retains the full protocol detail.</w:t>
      </w:r>
    </w:p>
    <w:p>
      <w:r>
        <w:t>Stage-specific XGBoost results further separate ranking from cohort composition: phase 1: AP 0.1341 at prevalence 0.0698; phase 2: AP 0.0284 at prevalence 0.0194; phase 3: AP 0.0731 at prevalence 0.0465; phase 4: AP 0.0618 at prevalence 0.0349. These are Stage 1 outer-model predictions, not Stage 2 fixed-model scores. The supplementary holdout overlaps these records and is not used to choose a model, subset or budget.</w:t>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0.0433</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0.0472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2346542"/>
            <wp:docPr id="2" name="Picture 2"/>
            <wp:cNvGraphicFramePr>
              <a:graphicFrameLocks noChangeAspect="1"/>
            </wp:cNvGraphicFramePr>
            <a:graphic>
              <a:graphicData uri="http://schemas.openxmlformats.org/drawingml/2006/picture">
                <pic:pic>
                  <pic:nvPicPr>
                    <pic:cNvPr id="0" name="calibration_detail.png"/>
                    <pic:cNvPicPr/>
                  </pic:nvPicPr>
                  <pic:blipFill>
                    <a:blip r:embed="rId11"/>
                    <a:stretch>
                      <a:fillRect/>
                    </a:stretch>
                  </pic:blipFill>
                  <pic:spPr>
                    <a:xfrm>
                      <a:off x="0" y="0"/>
                      <a:ext cx="5669280" cy="2346542"/>
                    </a:xfrm>
                    <a:prstGeom prst="rect"/>
                  </pic:spPr>
                </pic:pic>
              </a:graphicData>
            </a:graphic>
          </wp:inline>
        </w:drawing>
      </w:r>
    </w:p>
    <w:p>
      <w:pPr>
        <w:pStyle w:val="Caption"/>
        <w:keepLines/>
      </w:pPr>
      <w:r>
        <w:t>Figure 2. LR calibration before and after training-prior correction on the common test cohort. Quantile bins retain ties; point size reflects bin count. The fitted panel spans 0-100%; the corrected panel zooms to 0-30% on both axes. Bin counts and n are displayed.</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spacing w:line="245" w:lineRule="auto" w:before="60" w:after="60"/>
              <w:jc w:val="left"/>
            </w:pPr>
            <w:r>
              <w:rPr>
                <w:b w:val="0"/>
                <w:sz w:val="20"/>
              </w:rPr>
              <w:t>CART</w:t>
            </w:r>
          </w:p>
        </w:tc>
        <w:tc>
          <w:tcPr>
            <w:tcW w:type="dxa" w:w="1921"/>
            <w:vAlign w:val="center"/>
          </w:tcPr>
          <w:p>
            <w:pPr>
              <w:keepNext/>
              <w:spacing w:line="245" w:lineRule="auto" w:before="60" w:after="60"/>
              <w:jc w:val="right"/>
            </w:pPr>
            <w:r>
              <w:rPr>
                <w:b w:val="0"/>
                <w:sz w:val="20"/>
              </w:rPr>
              <w:t>0.0784</w:t>
            </w:r>
          </w:p>
        </w:tc>
        <w:tc>
          <w:tcPr>
            <w:tcW w:type="dxa" w:w="1921"/>
            <w:vAlign w:val="center"/>
          </w:tcPr>
          <w:p>
            <w:pPr>
              <w:keepNext/>
              <w:spacing w:line="245" w:lineRule="auto" w:before="60" w:after="60"/>
              <w:jc w:val="right"/>
            </w:pPr>
            <w:r>
              <w:rPr>
                <w:b w:val="0"/>
                <w:sz w:val="20"/>
              </w:rPr>
              <w:t>0.0738</w:t>
            </w:r>
          </w:p>
        </w:tc>
        <w:tc>
          <w:tcPr>
            <w:tcW w:type="dxa" w:w="1921"/>
            <w:vAlign w:val="center"/>
          </w:tcPr>
          <w:p>
            <w:pPr>
              <w:keepNext/>
              <w:spacing w:line="245" w:lineRule="auto" w:before="60" w:after="60"/>
              <w:jc w:val="right"/>
            </w:pPr>
            <w:r>
              <w:rPr>
                <w:b w:val="0"/>
                <w:sz w:val="20"/>
              </w:rPr>
              <w:t>0.0046</w:t>
            </w:r>
          </w:p>
        </w:tc>
        <w:tc>
          <w:tcPr>
            <w:tcW w:type="dxa" w:w="1921"/>
            <w:vAlign w:val="center"/>
          </w:tcPr>
          <w:p>
            <w:pPr>
              <w:keepNext/>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816891"/>
            <wp:docPr id="3" name="Picture 3"/>
            <wp:cNvGraphicFramePr>
              <a:graphicFrameLocks noChangeAspect="1"/>
            </wp:cNvGraphicFramePr>
            <a:graphic>
              <a:graphicData uri="http://schemas.openxmlformats.org/drawingml/2006/picture">
                <pic:pic>
                  <pic:nvPicPr>
                    <pic:cNvPr id="0" name="shap_readable.png"/>
                    <pic:cNvPicPr/>
                  </pic:nvPicPr>
                  <pic:blipFill>
                    <a:blip r:embed="rId12"/>
                    <a:stretch>
                      <a:fillRect/>
                    </a:stretch>
                  </pic:blipFill>
                  <pic:spPr>
                    <a:xfrm>
                      <a:off x="0" y="0"/>
                      <a:ext cx="5852160" cy="2816891"/>
                    </a:xfrm>
                    <a:prstGeom prst="rect"/>
                  </pic:spPr>
                </pic:pic>
              </a:graphicData>
            </a:graphic>
          </wp:inline>
        </w:drawing>
      </w:r>
    </w:p>
    <w:p>
      <w:pPr>
        <w:pStyle w:val="Caption"/>
        <w:keepLines/>
      </w:pPr>
      <w:r>
        <w:t>Figure 3. Full-feature XGBoost attribution and phase-specific shares. Contributions describe the fitted models on raw log-odds; the eight displayed features are selected by global mean absolute contribution. Each heatmap cell is its share of the sum over all 17 features in the block.</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45.52</w:t>
            </w:r>
          </w:p>
        </w:tc>
        <w:tc>
          <w:tcPr>
            <w:tcW w:type="dxa" w:w="1067"/>
            <w:vAlign w:val="center"/>
          </w:tcPr>
          <w:p>
            <w:pPr>
              <w:keepNext/>
              <w:spacing w:line="245" w:lineRule="auto" w:before="60" w:after="60"/>
              <w:jc w:val="right"/>
            </w:pPr>
            <w:r>
              <w:rPr>
                <w:b w:val="0"/>
                <w:sz w:val="18"/>
              </w:rPr>
              <w:t>2.86</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39</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45.90</w:t>
            </w:r>
          </w:p>
        </w:tc>
        <w:tc>
          <w:tcPr>
            <w:tcW w:type="dxa" w:w="1067"/>
            <w:vAlign w:val="center"/>
          </w:tcPr>
          <w:p>
            <w:pPr>
              <w:keepNext/>
              <w:spacing w:line="245" w:lineRule="auto" w:before="60" w:after="60"/>
              <w:jc w:val="right"/>
            </w:pPr>
            <w:r>
              <w:rPr>
                <w:b w:val="0"/>
                <w:sz w:val="18"/>
              </w:rPr>
              <w:t>3.25</w:t>
            </w:r>
          </w:p>
        </w:tc>
        <w:tc>
          <w:tcPr>
            <w:tcW w:type="dxa" w:w="1067"/>
            <w:vAlign w:val="center"/>
          </w:tcPr>
          <w:p>
            <w:pPr>
              <w:keepNext/>
              <w:spacing w:line="245" w:lineRule="auto" w:before="60" w:after="60"/>
              <w:jc w:val="right"/>
            </w:pPr>
            <w:r>
              <w:rPr>
                <w:b w:val="0"/>
                <w:sz w:val="18"/>
              </w:rPr>
              <w:t>9</w:t>
            </w:r>
          </w:p>
        </w:tc>
        <w:tc>
          <w:tcPr>
            <w:tcW w:type="dxa" w:w="1067"/>
            <w:vAlign w:val="center"/>
          </w:tcPr>
          <w:p>
            <w:pPr>
              <w:keepNext/>
              <w:spacing w:line="245" w:lineRule="auto" w:before="60" w:after="60"/>
              <w:jc w:val="right"/>
            </w:pPr>
            <w:r>
              <w:rPr>
                <w:b w:val="0"/>
                <w:sz w:val="18"/>
              </w:rPr>
              <w:t>79</w:t>
            </w:r>
          </w:p>
        </w:tc>
        <w:tc>
          <w:tcPr>
            <w:tcW w:type="dxa" w:w="1067"/>
            <w:vAlign w:val="center"/>
          </w:tcPr>
          <w:p>
            <w:pPr>
              <w:keepNext/>
              <w:spacing w:line="245" w:lineRule="auto" w:before="60" w:after="60"/>
              <w:jc w:val="right"/>
            </w:pPr>
            <w:r>
              <w:rPr>
                <w:b w:val="0"/>
                <w:sz w:val="18"/>
              </w:rPr>
              <w:t>157</w:t>
            </w:r>
          </w:p>
        </w:tc>
        <w:tc>
          <w:tcPr>
            <w:tcW w:type="dxa" w:w="1067"/>
            <w:vAlign w:val="center"/>
          </w:tcPr>
          <w:p>
            <w:pPr>
              <w:keepNext/>
              <w:spacing w:line="245" w:lineRule="auto" w:before="60" w:after="60"/>
              <w:jc w:val="right"/>
            </w:pPr>
            <w:r>
              <w:rPr>
                <w:b w:val="0"/>
                <w:sz w:val="18"/>
              </w:rPr>
              <w:t>166</w:t>
            </w:r>
          </w:p>
        </w:tc>
        <w:tc>
          <w:tcPr>
            <w:tcW w:type="dxa" w:w="1067"/>
            <w:vAlign w:val="center"/>
          </w:tcPr>
          <w:p>
            <w:pPr>
              <w:keepNext/>
              <w:spacing w:line="245" w:lineRule="auto" w:before="60" w:after="60"/>
              <w:jc w:val="right"/>
            </w:pPr>
            <w:r>
              <w:rPr>
                <w:b w:val="0"/>
                <w:sz w:val="18"/>
              </w:rPr>
              <w:t>81</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47.21</w:t>
            </w:r>
          </w:p>
        </w:tc>
        <w:tc>
          <w:tcPr>
            <w:tcW w:type="dxa" w:w="1067"/>
            <w:vAlign w:val="center"/>
          </w:tcPr>
          <w:p>
            <w:pPr>
              <w:keepNext/>
              <w:spacing w:line="245" w:lineRule="auto" w:before="60" w:after="60"/>
              <w:jc w:val="right"/>
            </w:pPr>
            <w:r>
              <w:rPr>
                <w:b w:val="0"/>
                <w:sz w:val="18"/>
              </w:rPr>
              <w:t>4.56</w:t>
            </w:r>
          </w:p>
        </w:tc>
        <w:tc>
          <w:tcPr>
            <w:tcW w:type="dxa" w:w="1067"/>
            <w:vAlign w:val="center"/>
          </w:tcPr>
          <w:p>
            <w:pPr>
              <w:keepNext/>
              <w:spacing w:line="245" w:lineRule="auto" w:before="60" w:after="60"/>
              <w:jc w:val="right"/>
            </w:pPr>
            <w:r>
              <w:rPr>
                <w:b w:val="0"/>
                <w:sz w:val="18"/>
              </w:rPr>
              <w:t>14</w:t>
            </w:r>
          </w:p>
        </w:tc>
        <w:tc>
          <w:tcPr>
            <w:tcW w:type="dxa" w:w="1067"/>
            <w:vAlign w:val="center"/>
          </w:tcPr>
          <w:p>
            <w:pPr>
              <w:keepNext/>
              <w:spacing w:line="245" w:lineRule="auto" w:before="60" w:after="60"/>
              <w:jc w:val="right"/>
            </w:pPr>
            <w:r>
              <w:rPr>
                <w:b w:val="0"/>
                <w:sz w:val="18"/>
              </w:rPr>
              <w:t>74</w:t>
            </w:r>
          </w:p>
        </w:tc>
        <w:tc>
          <w:tcPr>
            <w:tcW w:type="dxa" w:w="1067"/>
            <w:vAlign w:val="center"/>
          </w:tcPr>
          <w:p>
            <w:pPr>
              <w:keepNext/>
              <w:spacing w:line="245" w:lineRule="auto" w:before="60" w:after="60"/>
              <w:jc w:val="right"/>
            </w:pPr>
            <w:r>
              <w:rPr>
                <w:b w:val="0"/>
                <w:sz w:val="18"/>
              </w:rPr>
              <w:t>234</w:t>
            </w:r>
          </w:p>
        </w:tc>
        <w:tc>
          <w:tcPr>
            <w:tcW w:type="dxa" w:w="1067"/>
            <w:vAlign w:val="center"/>
          </w:tcPr>
          <w:p>
            <w:pPr>
              <w:keepNext/>
              <w:spacing w:line="245" w:lineRule="auto" w:before="60" w:after="60"/>
              <w:jc w:val="right"/>
            </w:pPr>
            <w:r>
              <w:rPr>
                <w:b w:val="0"/>
                <w:sz w:val="18"/>
              </w:rPr>
              <w:t>248</w:t>
            </w:r>
          </w:p>
        </w:tc>
        <w:tc>
          <w:tcPr>
            <w:tcW w:type="dxa" w:w="1067"/>
            <w:vAlign w:val="center"/>
          </w:tcPr>
          <w:p>
            <w:pPr>
              <w:keepNext/>
              <w:spacing w:line="245" w:lineRule="auto" w:before="60" w:after="60"/>
              <w:jc w:val="right"/>
            </w:pPr>
            <w:r>
              <w:rPr>
                <w:b w:val="0"/>
                <w:sz w:val="18"/>
              </w:rPr>
              <w:t>84</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20%</w:t>
            </w:r>
          </w:p>
        </w:tc>
        <w:tc>
          <w:tcPr>
            <w:tcW w:type="dxa" w:w="1067"/>
            <w:vAlign w:val="center"/>
          </w:tcPr>
          <w:p>
            <w:pPr>
              <w:keepNext/>
              <w:spacing w:line="245" w:lineRule="auto" w:before="60" w:after="60"/>
              <w:jc w:val="right"/>
            </w:pPr>
            <w:r>
              <w:rPr>
                <w:b w:val="0"/>
                <w:sz w:val="18"/>
              </w:rPr>
              <w:t>56.33</w:t>
            </w:r>
          </w:p>
        </w:tc>
        <w:tc>
          <w:tcPr>
            <w:tcW w:type="dxa" w:w="1067"/>
            <w:vAlign w:val="center"/>
          </w:tcPr>
          <w:p>
            <w:pPr>
              <w:keepNext/>
              <w:spacing w:line="245" w:lineRule="auto" w:before="60" w:after="60"/>
              <w:jc w:val="right"/>
            </w:pPr>
            <w:r>
              <w:rPr>
                <w:b w:val="0"/>
                <w:sz w:val="18"/>
              </w:rPr>
              <w:t>13.67</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63</w:t>
            </w:r>
          </w:p>
        </w:tc>
        <w:tc>
          <w:tcPr>
            <w:tcW w:type="dxa" w:w="1067"/>
            <w:vAlign w:val="center"/>
          </w:tcPr>
          <w:p>
            <w:pPr>
              <w:keepNext/>
              <w:spacing w:line="245" w:lineRule="auto" w:before="60" w:after="60"/>
              <w:jc w:val="right"/>
            </w:pPr>
            <w:r>
              <w:rPr>
                <w:b w:val="0"/>
                <w:sz w:val="18"/>
              </w:rPr>
              <w:t>532</w:t>
            </w:r>
          </w:p>
        </w:tc>
        <w:tc>
          <w:tcPr>
            <w:tcW w:type="dxa" w:w="1067"/>
            <w:vAlign w:val="center"/>
          </w:tcPr>
          <w:p>
            <w:pPr>
              <w:keepNext/>
              <w:spacing w:line="245" w:lineRule="auto" w:before="60" w:after="60"/>
              <w:jc w:val="right"/>
            </w:pPr>
            <w:r>
              <w:rPr>
                <w:b w:val="0"/>
                <w:sz w:val="18"/>
              </w:rPr>
              <w:t>557</w:t>
            </w:r>
          </w:p>
        </w:tc>
        <w:tc>
          <w:tcPr>
            <w:tcW w:type="dxa" w:w="1067"/>
            <w:vAlign w:val="center"/>
          </w:tcPr>
          <w:p>
            <w:pPr>
              <w:keepNext/>
              <w:spacing w:line="245" w:lineRule="auto" w:before="60" w:after="60"/>
              <w:jc w:val="right"/>
            </w:pPr>
            <w:r>
              <w:rPr>
                <w:b w:val="0"/>
                <w:sz w:val="18"/>
              </w:rPr>
              <w:t>227</w:t>
            </w:r>
          </w:p>
        </w:tc>
      </w:tr>
      <w:tr>
        <w:trPr>
          <w:cantSplit/>
        </w:trPr>
        <w:tc>
          <w:tcPr>
            <w:tcW w:type="dxa" w:w="1067"/>
            <w:vAlign w:val="center"/>
          </w:tcPr>
          <w:p>
            <w:pPr>
              <w:keepNext/>
              <w:spacing w:line="245" w:lineRule="auto" w:before="60" w:after="60"/>
              <w:jc w:val="left"/>
            </w:pPr>
            <w:r>
              <w:rPr>
                <w:b w:val="0"/>
                <w:sz w:val="18"/>
              </w:rPr>
              <w:t>B</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44.06</w:t>
            </w:r>
          </w:p>
        </w:tc>
        <w:tc>
          <w:tcPr>
            <w:tcW w:type="dxa" w:w="1067"/>
            <w:vAlign w:val="center"/>
          </w:tcPr>
          <w:p>
            <w:pPr>
              <w:keepNext/>
              <w:spacing w:line="245" w:lineRule="auto" w:before="60" w:after="60"/>
              <w:jc w:val="right"/>
            </w:pPr>
            <w:r>
              <w:rPr>
                <w:b w:val="0"/>
                <w:sz w:val="18"/>
              </w:rPr>
              <w:t>1.41</w:t>
            </w:r>
          </w:p>
        </w:tc>
        <w:tc>
          <w:tcPr>
            <w:tcW w:type="dxa" w:w="1067"/>
            <w:vAlign w:val="center"/>
          </w:tcPr>
          <w:p>
            <w:pPr>
              <w:keepNext/>
              <w:spacing w:line="245" w:lineRule="auto" w:before="60" w:after="60"/>
              <w:jc w:val="right"/>
            </w:pPr>
            <w:r>
              <w:rPr>
                <w:b w:val="0"/>
                <w:sz w:val="18"/>
              </w:rPr>
              <w:t>35</w:t>
            </w:r>
          </w:p>
        </w:tc>
        <w:tc>
          <w:tcPr>
            <w:tcW w:type="dxa" w:w="1067"/>
            <w:vAlign w:val="center"/>
          </w:tcPr>
          <w:p>
            <w:pPr>
              <w:keepNext/>
              <w:spacing w:line="245" w:lineRule="auto" w:before="60" w:after="60"/>
              <w:jc w:val="right"/>
            </w:pPr>
            <w:r>
              <w:rPr>
                <w:b w:val="0"/>
                <w:sz w:val="18"/>
              </w:rPr>
              <w:t>53</w:t>
            </w:r>
          </w:p>
        </w:tc>
        <w:tc>
          <w:tcPr>
            <w:tcW w:type="dxa" w:w="1067"/>
            <w:vAlign w:val="center"/>
          </w:tcPr>
          <w:p>
            <w:pPr>
              <w:keepNext/>
              <w:spacing w:line="245" w:lineRule="auto" w:before="60" w:after="60"/>
              <w:jc w:val="right"/>
            </w:pPr>
            <w:r>
              <w:rPr>
                <w:b w:val="0"/>
                <w:sz w:val="18"/>
              </w:rPr>
              <w:t>379</w:t>
            </w:r>
          </w:p>
        </w:tc>
        <w:tc>
          <w:tcPr>
            <w:tcW w:type="dxa" w:w="1067"/>
            <w:vAlign w:val="center"/>
          </w:tcPr>
          <w:p>
            <w:pPr>
              <w:keepNext/>
              <w:spacing w:line="245" w:lineRule="auto" w:before="60" w:after="60"/>
              <w:jc w:val="right"/>
            </w:pPr>
            <w:r>
              <w:rPr>
                <w:b w:val="0"/>
                <w:sz w:val="18"/>
              </w:rPr>
              <w:t>414</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43.33</w:t>
            </w:r>
          </w:p>
        </w:tc>
        <w:tc>
          <w:tcPr>
            <w:tcW w:type="dxa" w:w="1067"/>
            <w:vAlign w:val="center"/>
          </w:tcPr>
          <w:p>
            <w:pPr>
              <w:keepNext/>
              <w:spacing w:line="245" w:lineRule="auto" w:before="60" w:after="60"/>
              <w:jc w:val="right"/>
            </w:pPr>
            <w:r>
              <w:rPr>
                <w:b w:val="0"/>
                <w:sz w:val="18"/>
              </w:rPr>
              <w:t>0.68</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24</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43.48</w:t>
            </w:r>
          </w:p>
        </w:tc>
        <w:tc>
          <w:tcPr>
            <w:tcW w:type="dxa" w:w="1067"/>
            <w:vAlign w:val="center"/>
          </w:tcPr>
          <w:p>
            <w:pPr>
              <w:keepNext/>
              <w:spacing w:line="245" w:lineRule="auto" w:before="60" w:after="60"/>
              <w:jc w:val="right"/>
            </w:pPr>
            <w:r>
              <w:rPr>
                <w:b w:val="0"/>
                <w:sz w:val="18"/>
              </w:rPr>
              <w:t>0.82</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27</w:t>
            </w:r>
          </w:p>
        </w:tc>
        <w:tc>
          <w:tcPr>
            <w:tcW w:type="dxa" w:w="1067"/>
            <w:vAlign w:val="center"/>
          </w:tcPr>
          <w:p>
            <w:pPr>
              <w:keepNext/>
              <w:spacing w:line="245" w:lineRule="auto" w:before="60" w:after="60"/>
              <w:jc w:val="right"/>
            </w:pPr>
            <w:r>
              <w:rPr>
                <w:b w:val="0"/>
                <w:sz w:val="18"/>
              </w:rPr>
              <w:t>28</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 new frozen-policy intervals below assess this particular contrast. Lower C loss than A is compatible with a higher loss than no alarms: reducing false alerts can lower assumed cost while also reducing detections.</w:t>
      </w:r>
    </w:p>
    <w:p>
      <w:r>
        <w:t>At r=10 the phase-specific C-minus-no-alarm loss ranges are phase 1: 0.00 to 2.13; phase 2: 0.00; phase 3: 0.00; phase 4: 0.00 to 1.16 units per 100 records. These ranges retain all four budgets; pooled findings are not attributed uniformly to every phase.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t>At r=10 and budget 20%, phase 1 C-A is 1.36 per 100 records, with paired 95% interval [-0.97, 5.43]. The interval contains zero.</w:t>
      </w:r>
    </w:p>
    <w:p>
      <w:r>
        <w:t>At r=10 and budget 20%, phase 2 C-A is -36.50 per 100 records, with paired 95% interval [-49.13, -27.18]. The interval is entirely below zero.</w:t>
      </w:r>
    </w:p>
    <w:p>
      <w:pPr>
        <w:pStyle w:val="Heading1"/>
      </w:pPr>
      <w:r>
        <w:t>5.1 Frozen policies compared with no alarms</w:t>
      </w:r>
    </w:p>
    <w:p>
      <w:pPr>
        <w:keepNext/>
        <w:jc w:val="center"/>
      </w:pPr>
      <w:r>
        <w:drawing>
          <wp:inline xmlns:a="http://schemas.openxmlformats.org/drawingml/2006/main" xmlns:pic="http://schemas.openxmlformats.org/drawingml/2006/picture">
            <wp:extent cx="5852160" cy="5395964"/>
            <wp:docPr id="4" name="Picture 4"/>
            <wp:cNvGraphicFramePr>
              <a:graphicFrameLocks noChangeAspect="1"/>
            </wp:cNvGraphicFramePr>
            <a:graphic>
              <a:graphicData uri="http://schemas.openxmlformats.org/drawingml/2006/picture">
                <pic:pic>
                  <pic:nvPicPr>
                    <pic:cNvPr id="0" name="decision_tradeoffs.png"/>
                    <pic:cNvPicPr/>
                  </pic:nvPicPr>
                  <pic:blipFill>
                    <a:blip r:embed="rId13"/>
                    <a:stretch>
                      <a:fillRect/>
                    </a:stretch>
                  </pic:blipFill>
                  <pic:spPr>
                    <a:xfrm>
                      <a:off x="0" y="0"/>
                      <a:ext cx="5852160" cy="5395964"/>
                    </a:xfrm>
                    <a:prstGeom prst="rect"/>
                  </pic:spPr>
                </pic:pic>
              </a:graphicData>
            </a:graphic>
          </wp:inline>
        </w:drawing>
      </w:r>
    </w:p>
    <w:p>
      <w:pPr>
        <w:pStyle w:val="Caption"/>
        <w:keepLines/>
      </w:pPr>
      <w:r>
        <w:t>Figure 4. Fixed-XGBoost C at r=10 across four historical budgets. Left: loss versus no alarms per 100 records (negative favors C), with conditional 95% block intervals. Right: alerts (gray) and hazardous shifts flagged, TP (green); P denotes all hazardous shifts. Shaded pooling is supplementary. Zero intervals reflect identical decisions. Intervals exclude fitting and selection uncertainty.</w:t>
      </w:r>
    </w:p>
    <w:p>
      <w:pPr>
        <w:pStyle w:val="Caption"/>
        <w:keepNext/>
      </w:pPr>
      <w:r>
        <w:t>Table 7. Frozen XGBoost C minus no alarms at r=10, per 100 records. Brackets are paired 95% intervals; negative favors C.</w:t>
      </w:r>
    </w:p>
    <w:tbl>
      <w:tblPr>
        <w:tblStyle w:val="TableGrid"/>
        <w:tblW w:type="auto" w:w="0"/>
        <w:jc w:val="center"/>
        <w:tblLayout w:type="fixed"/>
        <w:tblLook w:firstColumn="1" w:firstRow="1" w:lastColumn="0" w:lastRow="0" w:noHBand="0" w:noVBand="1" w:val="04A0"/>
      </w:tblPr>
      <w:tblGrid>
        <w:gridCol w:w="864"/>
        <w:gridCol w:w="1872"/>
        <w:gridCol w:w="3312"/>
        <w:gridCol w:w="864"/>
        <w:gridCol w:w="864"/>
        <w:gridCol w:w="1296"/>
      </w:tblGrid>
      <w:tr>
        <w:trPr>
          <w:cantSplit/>
          <w:tblHeader/>
        </w:trPr>
        <w:tc>
          <w:tcPr>
            <w:tcW w:type="dxa" w:w="864"/>
            <w:vAlign w:val="center"/>
            <w:shd w:fill="EDEFF1"/>
          </w:tcPr>
          <w:p>
            <w:pPr>
              <w:keepNext/>
              <w:spacing w:line="245" w:lineRule="auto" w:before="60" w:after="60"/>
              <w:jc w:val="center"/>
            </w:pPr>
            <w:r>
              <w:rPr>
                <w:b/>
                <w:sz w:val="20"/>
              </w:rPr>
              <w:t>Phase</w:t>
            </w:r>
          </w:p>
        </w:tc>
        <w:tc>
          <w:tcPr>
            <w:tcW w:type="dxa" w:w="1872"/>
            <w:vAlign w:val="center"/>
            <w:shd w:fill="EDEFF1"/>
          </w:tcPr>
          <w:p>
            <w:pPr>
              <w:keepNext/>
              <w:spacing w:line="245" w:lineRule="auto" w:before="60" w:after="60"/>
              <w:jc w:val="center"/>
            </w:pPr>
            <w:r>
              <w:rPr>
                <w:b/>
                <w:sz w:val="20"/>
              </w:rPr>
              <w:t>Budget</w:t>
            </w:r>
          </w:p>
        </w:tc>
        <w:tc>
          <w:tcPr>
            <w:tcW w:type="dxa" w:w="3312"/>
            <w:vAlign w:val="center"/>
            <w:shd w:fill="EDEFF1"/>
          </w:tcPr>
          <w:p>
            <w:pPr>
              <w:keepNext/>
              <w:spacing w:line="245" w:lineRule="auto" w:before="60" w:after="60"/>
              <w:jc w:val="center"/>
            </w:pPr>
            <w:r>
              <w:rPr>
                <w:b/>
                <w:sz w:val="20"/>
              </w:rPr>
              <w:t>Delta [95% interval]</w:t>
            </w:r>
          </w:p>
        </w:tc>
        <w:tc>
          <w:tcPr>
            <w:tcW w:type="dxa" w:w="864"/>
            <w:vAlign w:val="center"/>
            <w:shd w:fill="EDEFF1"/>
          </w:tcPr>
          <w:p>
            <w:pPr>
              <w:keepNext/>
              <w:spacing w:line="245" w:lineRule="auto" w:before="60" w:after="60"/>
              <w:jc w:val="center"/>
            </w:pPr>
            <w:r>
              <w:rPr>
                <w:b/>
                <w:sz w:val="20"/>
              </w:rPr>
              <w:t>TP</w:t>
            </w:r>
          </w:p>
        </w:tc>
        <w:tc>
          <w:tcPr>
            <w:tcW w:type="dxa" w:w="864"/>
            <w:vAlign w:val="center"/>
            <w:shd w:fill="EDEFF1"/>
          </w:tcPr>
          <w:p>
            <w:pPr>
              <w:keepNext/>
              <w:spacing w:line="245" w:lineRule="auto" w:before="60" w:after="60"/>
              <w:jc w:val="center"/>
            </w:pPr>
            <w:r>
              <w:rPr>
                <w:b/>
                <w:sz w:val="20"/>
              </w:rPr>
              <w:t>FN</w:t>
            </w:r>
          </w:p>
        </w:tc>
        <w:tc>
          <w:tcPr>
            <w:tcW w:type="dxa" w:w="1296"/>
            <w:vAlign w:val="center"/>
            <w:shd w:fill="EDEFF1"/>
          </w:tcPr>
          <w:p>
            <w:pPr>
              <w:keepNext/>
              <w:spacing w:line="245" w:lineRule="auto" w:before="60" w:after="60"/>
              <w:jc w:val="center"/>
            </w:pPr>
            <w:r>
              <w:rPr>
                <w:b/>
                <w:sz w:val="20"/>
              </w:rPr>
              <w:t>Alerts</w:t>
            </w:r>
          </w:p>
        </w:tc>
      </w:tr>
      <w:tr>
        <w:trPr>
          <w:cantSplit/>
        </w:trPr>
        <w:tc>
          <w:tcPr>
            <w:tcW w:type="dxa" w:w="864"/>
            <w:vAlign w:val="center"/>
          </w:tcPr>
          <w:p>
            <w:pPr>
              <w:keepNext/>
              <w:spacing w:line="245" w:lineRule="auto" w:before="60" w:after="60"/>
              <w:jc w:val="left"/>
            </w:pPr>
            <w:r>
              <w:rPr>
                <w:b w:val="0"/>
                <w:sz w:val="20"/>
              </w:rPr>
              <w:t>1</w:t>
            </w:r>
          </w:p>
        </w:tc>
        <w:tc>
          <w:tcPr>
            <w:tcW w:type="dxa" w:w="1872"/>
            <w:vAlign w:val="center"/>
          </w:tcPr>
          <w:p>
            <w:pPr>
              <w:keepNext/>
              <w:spacing w:line="245" w:lineRule="auto" w:before="60" w:after="60"/>
              <w:jc w:val="right"/>
            </w:pPr>
            <w:r>
              <w:rPr>
                <w:b w:val="0"/>
                <w:sz w:val="20"/>
              </w:rPr>
              <w:t>1%</w:t>
            </w:r>
          </w:p>
        </w:tc>
        <w:tc>
          <w:tcPr>
            <w:tcW w:type="dxa" w:w="3312"/>
            <w:vAlign w:val="center"/>
          </w:tcPr>
          <w:p>
            <w:pPr>
              <w:keepNext/>
              <w:spacing w:line="245" w:lineRule="auto" w:before="60" w:after="60"/>
              <w:jc w:val="right"/>
            </w:pPr>
            <w:r>
              <w:rPr>
                <w:b w:val="0"/>
                <w:sz w:val="20"/>
              </w:rPr>
              <w:t>0.00 [0.00, 0.00]</w:t>
            </w:r>
          </w:p>
        </w:tc>
        <w:tc>
          <w:tcPr>
            <w:tcW w:type="dxa" w:w="864"/>
            <w:vAlign w:val="center"/>
          </w:tcPr>
          <w:p>
            <w:pPr>
              <w:keepNext/>
              <w:spacing w:line="245" w:lineRule="auto" w:before="60" w:after="60"/>
              <w:jc w:val="right"/>
            </w:pPr>
            <w:r>
              <w:rPr>
                <w:b w:val="0"/>
                <w:sz w:val="20"/>
              </w:rPr>
              <w:t>0</w:t>
            </w:r>
          </w:p>
        </w:tc>
        <w:tc>
          <w:tcPr>
            <w:tcW w:type="dxa" w:w="864"/>
            <w:vAlign w:val="center"/>
          </w:tcPr>
          <w:p>
            <w:pPr>
              <w:keepNext/>
              <w:spacing w:line="245" w:lineRule="auto" w:before="60" w:after="60"/>
              <w:jc w:val="right"/>
            </w:pPr>
            <w:r>
              <w:rPr>
                <w:b w:val="0"/>
                <w:sz w:val="20"/>
              </w:rPr>
              <w:t>36</w:t>
            </w:r>
          </w:p>
        </w:tc>
        <w:tc>
          <w:tcPr>
            <w:tcW w:type="dxa" w:w="1296"/>
            <w:vAlign w:val="center"/>
          </w:tcPr>
          <w:p>
            <w:pPr>
              <w:keepNext/>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1.55 [0.39, 3.10]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8</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2.13 [0.78, 4.07]</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11</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1.16 [-3.88, 4.84]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35</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2</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10</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3</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24</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5%, 10%, 20%</w:t>
            </w:r>
          </w:p>
        </w:tc>
        <w:tc>
          <w:tcPr>
            <w:tcW w:type="dxa" w:w="3312"/>
            <w:vAlign w:val="center"/>
          </w:tcPr>
          <w:p>
            <w:pPr>
              <w:keepNext w:val="0"/>
              <w:spacing w:line="245" w:lineRule="auto" w:before="60" w:after="60"/>
              <w:jc w:val="right"/>
            </w:pPr>
            <w:r>
              <w:rPr>
                <w:b w:val="0"/>
                <w:sz w:val="20"/>
              </w:rPr>
              <w:t>1.16 [-3.10, 4.46]</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17</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88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0.68 [-0.34, 1.65]</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25</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0.82 [-0.19, 1.84]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28</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0.58 [-1.02, 1.89]</w:t>
            </w:r>
          </w:p>
        </w:tc>
        <w:tc>
          <w:tcPr>
            <w:tcW w:type="dxa" w:w="864"/>
            <w:vAlign w:val="center"/>
          </w:tcPr>
          <w:p>
            <w:pPr>
              <w:keepNext w:val="0"/>
              <w:spacing w:line="245" w:lineRule="auto" w:before="60" w:after="60"/>
              <w:jc w:val="right"/>
            </w:pPr>
            <w:r>
              <w:rPr>
                <w:b w:val="0"/>
                <w:sz w:val="20"/>
              </w:rPr>
              <w:t>2</w:t>
            </w:r>
          </w:p>
        </w:tc>
        <w:tc>
          <w:tcPr>
            <w:tcW w:type="dxa" w:w="864"/>
            <w:vAlign w:val="center"/>
          </w:tcPr>
          <w:p>
            <w:pPr>
              <w:keepNext w:val="0"/>
              <w:spacing w:line="245" w:lineRule="auto" w:before="60" w:after="60"/>
              <w:jc w:val="right"/>
            </w:pPr>
            <w:r>
              <w:rPr>
                <w:b w:val="0"/>
                <w:sz w:val="20"/>
              </w:rPr>
              <w:t>86</w:t>
            </w:r>
          </w:p>
        </w:tc>
        <w:tc>
          <w:tcPr>
            <w:tcW w:type="dxa" w:w="1296"/>
            <w:vAlign w:val="center"/>
          </w:tcPr>
          <w:p>
            <w:pPr>
              <w:keepNext w:val="0"/>
              <w:spacing w:line="245" w:lineRule="auto" w:before="60" w:after="60"/>
              <w:jc w:val="right"/>
            </w:pPr>
            <w:r>
              <w:rPr>
                <w:b w:val="0"/>
                <w:sz w:val="20"/>
              </w:rPr>
              <w:t>34</w:t>
            </w:r>
          </w:p>
        </w:tc>
      </w:tr>
    </w:tbl>
    <w:p>
      <w:pPr>
        <w:spacing w:after="20"/>
      </w:pPr>
    </w:p>
    <w:p>
      <w:r>
        <w:t>Comma-separated budgets share exactly the same aligned row-level decisions within that phase, not merely rounded loss or interval endpoints. The complete appendix retains each setting separately. Phase 1 C at 5% and 10% gives positive loss intervals and no detections; the nonzero pooled intervals cross zero. Phase and pooled evidence therefore support different loss-direction assessments. Where C produces no alerts, every row-level difference is zero and the interval is [0,0] by construction. This establishes identical observed decisions, not reliable transfer. No alarms detect no hazardous shifts and remain a loss comparator rather than an operating recommendation.</w:t>
      </w:r>
    </w:p>
    <w:p>
      <w:pPr>
        <w:pStyle w:val="Heading1"/>
      </w:pPr>
      <w:r>
        <w:t>5.2 Direct hazard-grade comparators</w:t>
      </w:r>
    </w:p>
    <w:p>
      <w:pPr>
        <w:pStyle w:val="Caption"/>
        <w:keepNext/>
      </w:pPr>
      <w:r>
        <w:t>Table 8. C rules at r=10 on the same pooled records. Reference selection is separate for each method; future workloads need not match.</w:t>
      </w:r>
    </w:p>
    <w:tbl>
      <w:tblPr>
        <w:tblStyle w:val="TableGrid"/>
        <w:tblW w:type="auto" w:w="0"/>
        <w:jc w:val="center"/>
        <w:tblLayout w:type="fixed"/>
        <w:tblLook w:firstColumn="1" w:firstRow="1" w:lastColumn="0" w:lastRow="0" w:noHBand="0" w:noVBand="1" w:val="04A0"/>
      </w:tblPr>
      <w:tblGrid>
        <w:gridCol w:w="1440"/>
        <w:gridCol w:w="1440"/>
        <w:gridCol w:w="2448"/>
        <w:gridCol w:w="576"/>
        <w:gridCol w:w="576"/>
        <w:gridCol w:w="576"/>
        <w:gridCol w:w="792"/>
        <w:gridCol w:w="1512"/>
      </w:tblGrid>
      <w:tr>
        <w:trPr>
          <w:cantSplit/>
          <w:tblHeader/>
        </w:trPr>
        <w:tc>
          <w:tcPr>
            <w:tcW w:type="dxa" w:w="1440"/>
            <w:vAlign w:val="center"/>
            <w:shd w:fill="EDEFF1"/>
          </w:tcPr>
          <w:p>
            <w:pPr>
              <w:keepNext/>
              <w:spacing w:line="245" w:lineRule="auto" w:before="60" w:after="60"/>
              <w:jc w:val="center"/>
            </w:pPr>
            <w:r>
              <w:rPr>
                <w:b/>
                <w:sz w:val="18"/>
              </w:rPr>
              <w:t>Budget</w:t>
            </w:r>
          </w:p>
        </w:tc>
        <w:tc>
          <w:tcPr>
            <w:tcW w:type="dxa" w:w="1440"/>
            <w:vAlign w:val="center"/>
            <w:shd w:fill="EDEFF1"/>
          </w:tcPr>
          <w:p>
            <w:pPr>
              <w:keepNext/>
              <w:spacing w:line="245" w:lineRule="auto" w:before="60" w:after="60"/>
              <w:jc w:val="center"/>
            </w:pPr>
            <w:r>
              <w:rPr>
                <w:b/>
                <w:sz w:val="18"/>
              </w:rPr>
              <w:t>Method</w:t>
            </w:r>
          </w:p>
        </w:tc>
        <w:tc>
          <w:tcPr>
            <w:tcW w:type="dxa" w:w="2448"/>
            <w:vAlign w:val="center"/>
            <w:shd w:fill="EDEFF1"/>
          </w:tcPr>
          <w:p>
            <w:pPr>
              <w:keepNext/>
              <w:spacing w:line="245" w:lineRule="auto" w:before="60" w:after="60"/>
              <w:jc w:val="center"/>
            </w:pPr>
            <w:r>
              <w:rPr>
                <w:b/>
                <w:sz w:val="18"/>
              </w:rPr>
              <w:t>Delta vs none [95%]</w:t>
            </w:r>
          </w:p>
        </w:tc>
        <w:tc>
          <w:tcPr>
            <w:tcW w:type="dxa" w:w="576"/>
            <w:vAlign w:val="center"/>
            <w:shd w:fill="EDEFF1"/>
          </w:tcPr>
          <w:p>
            <w:pPr>
              <w:keepNext/>
              <w:spacing w:line="245" w:lineRule="auto" w:before="60" w:after="60"/>
              <w:jc w:val="center"/>
            </w:pPr>
            <w:r>
              <w:rPr>
                <w:b/>
                <w:sz w:val="18"/>
              </w:rPr>
              <w:t>TP</w:t>
            </w:r>
          </w:p>
        </w:tc>
        <w:tc>
          <w:tcPr>
            <w:tcW w:type="dxa" w:w="576"/>
            <w:vAlign w:val="center"/>
            <w:shd w:fill="EDEFF1"/>
          </w:tcPr>
          <w:p>
            <w:pPr>
              <w:keepNext/>
              <w:spacing w:line="245" w:lineRule="auto" w:before="60" w:after="60"/>
              <w:jc w:val="center"/>
            </w:pPr>
            <w:r>
              <w:rPr>
                <w:b/>
                <w:sz w:val="18"/>
              </w:rPr>
              <w:t>FN</w:t>
            </w:r>
          </w:p>
        </w:tc>
        <w:tc>
          <w:tcPr>
            <w:tcW w:type="dxa" w:w="576"/>
            <w:vAlign w:val="center"/>
            <w:shd w:fill="EDEFF1"/>
          </w:tcPr>
          <w:p>
            <w:pPr>
              <w:keepNext/>
              <w:spacing w:line="245" w:lineRule="auto" w:before="60" w:after="60"/>
              <w:jc w:val="center"/>
            </w:pPr>
            <w:r>
              <w:rPr>
                <w:b/>
                <w:sz w:val="18"/>
              </w:rPr>
              <w:t>FP</w:t>
            </w:r>
          </w:p>
        </w:tc>
        <w:tc>
          <w:tcPr>
            <w:tcW w:type="dxa" w:w="792"/>
            <w:vAlign w:val="center"/>
            <w:shd w:fill="EDEFF1"/>
          </w:tcPr>
          <w:p>
            <w:pPr>
              <w:keepNext/>
              <w:spacing w:line="245" w:lineRule="auto" w:before="60" w:after="60"/>
              <w:jc w:val="center"/>
            </w:pPr>
            <w:r>
              <w:rPr>
                <w:b/>
                <w:sz w:val="18"/>
              </w:rPr>
              <w:t>Alerts</w:t>
            </w:r>
          </w:p>
        </w:tc>
        <w:tc>
          <w:tcPr>
            <w:tcW w:type="dxa" w:w="1512"/>
            <w:vAlign w:val="center"/>
            <w:shd w:fill="EDEFF1"/>
          </w:tcPr>
          <w:p>
            <w:pPr>
              <w:keepNext/>
              <w:spacing w:line="245" w:lineRule="auto" w:before="60" w:after="60"/>
              <w:jc w:val="center"/>
            </w:pPr>
            <w:r>
              <w:rPr>
                <w:b/>
                <w:sz w:val="18"/>
              </w:rPr>
              <w:t>Excess</w:t>
            </w:r>
          </w:p>
        </w:tc>
      </w:tr>
      <w:tr>
        <w:trPr>
          <w:cantSplit/>
        </w:trPr>
        <w:tc>
          <w:tcPr>
            <w:tcW w:type="dxa" w:w="1440"/>
            <w:vAlign w:val="center"/>
          </w:tcPr>
          <w:p>
            <w:pPr>
              <w:keepNext/>
              <w:spacing w:line="245" w:lineRule="auto" w:before="60" w:after="60"/>
              <w:jc w:val="left"/>
            </w:pPr>
            <w:r>
              <w:rPr>
                <w:b w:val="0"/>
                <w:sz w:val="18"/>
              </w:rPr>
              <w:t>1%</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5%</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0.68 [-0.34, 1.65]</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24</w:t>
            </w:r>
          </w:p>
        </w:tc>
        <w:tc>
          <w:tcPr>
            <w:tcW w:type="dxa" w:w="792"/>
            <w:vAlign w:val="center"/>
          </w:tcPr>
          <w:p>
            <w:pPr>
              <w:keepNext/>
              <w:spacing w:line="245" w:lineRule="auto" w:before="60" w:after="60"/>
              <w:jc w:val="right"/>
            </w:pPr>
            <w:r>
              <w:rPr>
                <w:b w:val="0"/>
                <w:sz w:val="18"/>
              </w:rPr>
              <w:t>25</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0.82 [-0.19, 1.84]</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27</w:t>
            </w:r>
          </w:p>
        </w:tc>
        <w:tc>
          <w:tcPr>
            <w:tcW w:type="dxa" w:w="792"/>
            <w:vAlign w:val="center"/>
          </w:tcPr>
          <w:p>
            <w:pPr>
              <w:keepNext/>
              <w:spacing w:line="245" w:lineRule="auto" w:before="60" w:after="60"/>
              <w:jc w:val="right"/>
            </w:pPr>
            <w:r>
              <w:rPr>
                <w:b w:val="0"/>
                <w:sz w:val="18"/>
              </w:rPr>
              <w:t>28</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20%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0.58 [-1.02, 1.89]</w:t>
            </w:r>
          </w:p>
        </w:tc>
        <w:tc>
          <w:tcPr>
            <w:tcW w:type="dxa" w:w="576"/>
            <w:vAlign w:val="center"/>
          </w:tcPr>
          <w:p>
            <w:pPr>
              <w:keepNext/>
              <w:spacing w:line="245" w:lineRule="auto" w:before="60" w:after="60"/>
              <w:jc w:val="right"/>
            </w:pPr>
            <w:r>
              <w:rPr>
                <w:b w:val="0"/>
                <w:sz w:val="18"/>
              </w:rPr>
              <w:t>2</w:t>
            </w:r>
          </w:p>
        </w:tc>
        <w:tc>
          <w:tcPr>
            <w:tcW w:type="dxa" w:w="576"/>
            <w:vAlign w:val="center"/>
          </w:tcPr>
          <w:p>
            <w:pPr>
              <w:keepNext/>
              <w:spacing w:line="245" w:lineRule="auto" w:before="60" w:after="60"/>
              <w:jc w:val="right"/>
            </w:pPr>
            <w:r>
              <w:rPr>
                <w:b w:val="0"/>
                <w:sz w:val="18"/>
              </w:rPr>
              <w:t>86</w:t>
            </w:r>
          </w:p>
        </w:tc>
        <w:tc>
          <w:tcPr>
            <w:tcW w:type="dxa" w:w="576"/>
            <w:vAlign w:val="center"/>
          </w:tcPr>
          <w:p>
            <w:pPr>
              <w:keepNext/>
              <w:spacing w:line="245" w:lineRule="auto" w:before="60" w:after="60"/>
              <w:jc w:val="right"/>
            </w:pPr>
            <w:r>
              <w:rPr>
                <w:b w:val="0"/>
                <w:sz w:val="18"/>
              </w:rPr>
              <w:t>32</w:t>
            </w:r>
          </w:p>
        </w:tc>
        <w:tc>
          <w:tcPr>
            <w:tcW w:type="dxa" w:w="792"/>
            <w:vAlign w:val="center"/>
          </w:tcPr>
          <w:p>
            <w:pPr>
              <w:keepNext/>
              <w:spacing w:line="245" w:lineRule="auto" w:before="60" w:after="60"/>
              <w:jc w:val="right"/>
            </w:pPr>
            <w:r>
              <w:rPr>
                <w:b w:val="0"/>
                <w:sz w:val="18"/>
              </w:rPr>
              <w:t>34</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seismoacoustic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val="0"/>
              <w:spacing w:line="245" w:lineRule="auto" w:before="60" w:after="60"/>
              <w:jc w:val="left"/>
            </w:pPr>
            <w:r>
              <w:rPr>
                <w:b w:val="0"/>
                <w:sz w:val="18"/>
              </w:rPr>
              <w:t>1%, 5%, 10%, 20%</w:t>
            </w:r>
          </w:p>
        </w:tc>
        <w:tc>
          <w:tcPr>
            <w:tcW w:type="dxa" w:w="1440"/>
            <w:vAlign w:val="center"/>
          </w:tcPr>
          <w:p>
            <w:pPr>
              <w:keepNext w:val="0"/>
              <w:spacing w:line="245" w:lineRule="auto" w:before="60" w:after="60"/>
              <w:jc w:val="right"/>
            </w:pPr>
            <w:r>
              <w:rPr>
                <w:b w:val="0"/>
                <w:sz w:val="18"/>
              </w:rPr>
              <w:t>ghazard</w:t>
            </w:r>
          </w:p>
        </w:tc>
        <w:tc>
          <w:tcPr>
            <w:tcW w:type="dxa" w:w="2448"/>
            <w:vAlign w:val="center"/>
          </w:tcPr>
          <w:p>
            <w:pPr>
              <w:keepNext w:val="0"/>
              <w:spacing w:line="245" w:lineRule="auto" w:before="60" w:after="60"/>
              <w:jc w:val="right"/>
            </w:pPr>
            <w:r>
              <w:rPr>
                <w:b w:val="0"/>
                <w:sz w:val="18"/>
              </w:rPr>
              <w:t>-0.87 [-3.97, 1.36]</w:t>
            </w:r>
          </w:p>
        </w:tc>
        <w:tc>
          <w:tcPr>
            <w:tcW w:type="dxa" w:w="576"/>
            <w:vAlign w:val="center"/>
          </w:tcPr>
          <w:p>
            <w:pPr>
              <w:keepNext w:val="0"/>
              <w:spacing w:line="245" w:lineRule="auto" w:before="60" w:after="60"/>
              <w:jc w:val="right"/>
            </w:pPr>
            <w:r>
              <w:rPr>
                <w:b w:val="0"/>
                <w:sz w:val="18"/>
              </w:rPr>
              <w:t>4</w:t>
            </w:r>
          </w:p>
        </w:tc>
        <w:tc>
          <w:tcPr>
            <w:tcW w:type="dxa" w:w="576"/>
            <w:vAlign w:val="center"/>
          </w:tcPr>
          <w:p>
            <w:pPr>
              <w:keepNext w:val="0"/>
              <w:spacing w:line="245" w:lineRule="auto" w:before="60" w:after="60"/>
              <w:jc w:val="right"/>
            </w:pPr>
            <w:r>
              <w:rPr>
                <w:b w:val="0"/>
                <w:sz w:val="18"/>
              </w:rPr>
              <w:t>84</w:t>
            </w:r>
          </w:p>
        </w:tc>
        <w:tc>
          <w:tcPr>
            <w:tcW w:type="dxa" w:w="576"/>
            <w:vAlign w:val="center"/>
          </w:tcPr>
          <w:p>
            <w:pPr>
              <w:keepNext w:val="0"/>
              <w:spacing w:line="245" w:lineRule="auto" w:before="60" w:after="60"/>
              <w:jc w:val="right"/>
            </w:pPr>
            <w:r>
              <w:rPr>
                <w:b w:val="0"/>
                <w:sz w:val="18"/>
              </w:rPr>
              <w:t>22</w:t>
            </w:r>
          </w:p>
        </w:tc>
        <w:tc>
          <w:tcPr>
            <w:tcW w:type="dxa" w:w="792"/>
            <w:vAlign w:val="center"/>
          </w:tcPr>
          <w:p>
            <w:pPr>
              <w:keepNext w:val="0"/>
              <w:spacing w:line="245" w:lineRule="auto" w:before="60" w:after="60"/>
              <w:jc w:val="right"/>
            </w:pPr>
            <w:r>
              <w:rPr>
                <w:b w:val="0"/>
                <w:sz w:val="18"/>
              </w:rPr>
              <w:t>26</w:t>
            </w:r>
          </w:p>
        </w:tc>
        <w:tc>
          <w:tcPr>
            <w:tcW w:type="dxa" w:w="1512"/>
            <w:vAlign w:val="center"/>
          </w:tcPr>
          <w:p>
            <w:pPr>
              <w:keepNext w:val="0"/>
              <w:spacing w:line="245" w:lineRule="auto" w:before="60" w:after="60"/>
              <w:jc w:val="right"/>
            </w:pPr>
            <w:r>
              <w:rPr>
                <w:b w:val="0"/>
                <w:sz w:val="18"/>
              </w:rPr>
              <w:t>21, 1, 0, 0</w:t>
            </w:r>
          </w:p>
        </w:tc>
      </w:tr>
    </w:tbl>
    <w:p>
      <w:pPr>
        <w:spacing w:after="20"/>
      </w:pPr>
    </w:p>
    <w:p>
      <w:r>
        <w:t>Budgets are grouped only when their full transferred decision vectors match. Comma-separated excess counts follow the listed budget order: identical alarms can exceed different numbers of capacity slots. The appendix retains the ungrouped phase and pooled settings.</w:t>
      </w:r>
    </w:p>
    <w:p>
      <w:r>
        <w:t>At r=10, seismic and seismoacoustic C select no alarms across the displayed budgets. The ghazard rules yield 26 alerts, 4 detections and 22 false alerts, with loss difference -0.87 [-3.97, 1.36] versus no alarms. Their repeated pooled counts reflect the same transferred decisions, not independent replications. The negative point difference does not establish loss improvement because its interval crosses zero. Coarse reference grade groups can underfill budgets; later frequencies can also exceed them.</w:t>
      </w:r>
    </w:p>
    <w:p>
      <w:pPr>
        <w:pStyle w:val="Caption"/>
        <w:keepNext/>
      </w:pPr>
      <w:r>
        <w:t>Table 9. Frozen XGBoost minus each historically selected grade C rule at r=10. Brackets are paired 95% intervals; negative favors ML.</w:t>
      </w:r>
    </w:p>
    <w:tbl>
      <w:tblPr>
        <w:tblStyle w:val="TableGrid"/>
        <w:tblW w:type="auto" w:w="0"/>
        <w:jc w:val="center"/>
        <w:tblLayout w:type="fixed"/>
        <w:tblLook w:firstColumn="1" w:firstRow="1" w:lastColumn="0" w:lastRow="0" w:noHBand="0" w:noVBand="1" w:val="04A0"/>
      </w:tblPr>
      <w:tblGrid>
        <w:gridCol w:w="1008"/>
        <w:gridCol w:w="1728"/>
        <w:gridCol w:w="2160"/>
        <w:gridCol w:w="2160"/>
        <w:gridCol w:w="2160"/>
      </w:tblGrid>
      <w:tr>
        <w:trPr>
          <w:cantSplit/>
          <w:tblHeader/>
        </w:trPr>
        <w:tc>
          <w:tcPr>
            <w:tcW w:type="dxa" w:w="1008"/>
            <w:vAlign w:val="center"/>
            <w:shd w:fill="EDEFF1"/>
          </w:tcPr>
          <w:p>
            <w:pPr>
              <w:keepNext/>
              <w:spacing w:line="245" w:lineRule="auto" w:before="60" w:after="60"/>
              <w:jc w:val="center"/>
            </w:pPr>
            <w:r>
              <w:rPr>
                <w:b/>
                <w:sz w:val="20"/>
              </w:rPr>
              <w:t>Phase</w:t>
            </w:r>
          </w:p>
        </w:tc>
        <w:tc>
          <w:tcPr>
            <w:tcW w:type="dxa" w:w="1728"/>
            <w:vAlign w:val="center"/>
            <w:shd w:fill="EDEFF1"/>
          </w:tcPr>
          <w:p>
            <w:pPr>
              <w:keepNext/>
              <w:spacing w:line="245" w:lineRule="auto" w:before="60" w:after="60"/>
              <w:jc w:val="center"/>
            </w:pPr>
            <w:r>
              <w:rPr>
                <w:b/>
                <w:sz w:val="20"/>
              </w:rPr>
              <w:t>Budget</w:t>
            </w:r>
          </w:p>
        </w:tc>
        <w:tc>
          <w:tcPr>
            <w:tcW w:type="dxa" w:w="2160"/>
            <w:vAlign w:val="center"/>
            <w:shd w:fill="EDEFF1"/>
          </w:tcPr>
          <w:p>
            <w:pPr>
              <w:keepNext/>
              <w:spacing w:line="245" w:lineRule="auto" w:before="60" w:after="60"/>
              <w:jc w:val="center"/>
            </w:pPr>
            <w:r>
              <w:rPr>
                <w:b/>
                <w:sz w:val="20"/>
              </w:rPr>
              <w:t>ML minus seismic</w:t>
            </w:r>
          </w:p>
        </w:tc>
        <w:tc>
          <w:tcPr>
            <w:tcW w:type="dxa" w:w="2160"/>
            <w:vAlign w:val="center"/>
            <w:shd w:fill="EDEFF1"/>
          </w:tcPr>
          <w:p>
            <w:pPr>
              <w:keepNext/>
              <w:spacing w:line="245" w:lineRule="auto" w:before="60" w:after="60"/>
              <w:jc w:val="center"/>
            </w:pPr>
            <w:r>
              <w:rPr>
                <w:b/>
                <w:sz w:val="20"/>
              </w:rPr>
              <w:t>ML minus seismoacoustic</w:t>
            </w:r>
          </w:p>
        </w:tc>
        <w:tc>
          <w:tcPr>
            <w:tcW w:type="dxa" w:w="2160"/>
            <w:vAlign w:val="center"/>
            <w:shd w:fill="EDEFF1"/>
          </w:tcPr>
          <w:p>
            <w:pPr>
              <w:keepNext/>
              <w:spacing w:line="245" w:lineRule="auto" w:before="60" w:after="60"/>
              <w:jc w:val="center"/>
            </w:pPr>
            <w:r>
              <w:rPr>
                <w:b/>
                <w:sz w:val="20"/>
              </w:rPr>
              <w:t>ML minus ghazard</w:t>
            </w:r>
          </w:p>
        </w:tc>
      </w:tr>
      <w:tr>
        <w:trPr>
          <w:cantSplit/>
        </w:trPr>
        <w:tc>
          <w:tcPr>
            <w:tcW w:type="dxa" w:w="1008"/>
            <w:vAlign w:val="center"/>
          </w:tcPr>
          <w:p>
            <w:pPr>
              <w:keepNext/>
              <w:spacing w:line="245" w:lineRule="auto" w:before="60" w:after="60"/>
              <w:jc w:val="left"/>
            </w:pPr>
            <w:r>
              <w:rPr>
                <w:b w:val="0"/>
                <w:sz w:val="20"/>
              </w:rPr>
              <w:t>1</w:t>
            </w:r>
          </w:p>
        </w:tc>
        <w:tc>
          <w:tcPr>
            <w:tcW w:type="dxa" w:w="1728"/>
            <w:vAlign w:val="center"/>
          </w:tcPr>
          <w:p>
            <w:pPr>
              <w:keepNext/>
              <w:spacing w:line="245" w:lineRule="auto" w:before="60" w:after="60"/>
              <w:jc w:val="right"/>
            </w:pPr>
            <w:r>
              <w:rPr>
                <w:b w:val="0"/>
                <w:sz w:val="20"/>
              </w:rPr>
              <w:t>1%</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3.49 [-5.43, 16.09]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5.04 [-4.07, 18.02]</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5.62 [-3.49, 18.99]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4.65 [-3.49, 15.90]</w:t>
            </w:r>
          </w:p>
        </w:tc>
      </w:tr>
      <w:tr>
        <w:trPr>
          <w:cantSplit/>
        </w:trPr>
        <w:tc>
          <w:tcPr>
            <w:tcW w:type="dxa" w:w="1008"/>
            <w:vAlign w:val="center"/>
          </w:tcPr>
          <w:p>
            <w:pPr>
              <w:keepNext w:val="0"/>
              <w:spacing w:line="245" w:lineRule="auto" w:before="60" w:after="60"/>
              <w:jc w:val="left"/>
            </w:pPr>
            <w:r>
              <w:rPr>
                <w:b w:val="0"/>
                <w:sz w:val="20"/>
              </w:rPr>
              <w:t>2</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3</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5%, 10%, 20%</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0.87 [-1.36, 3.97]</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1.55 [-0.92, 5.04]</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1.70 [-0.82, 5.19]</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1.45 [-0.83, 4.65]</w:t>
            </w:r>
          </w:p>
        </w:tc>
      </w:tr>
    </w:tbl>
    <w:p>
      <w:pPr>
        <w:spacing w:after="20"/>
      </w:pPr>
    </w:p>
    <w:p>
      <w:r>
        <w:t>All nondegenerate pooled C-minus-grade contrasts at the displayed cost include zero; identical decisions give exact zero contrasts. These C comparisons do not establish additional ML loss value over the direct grade rules. They also do not prove equivalence: the intervals retain both loss improvement and loss increase. The appendix retains A/B/C for every planned cost and budget, including per-phase and pooled detections, workload, excess and paired contrasts. The direct rules differ from the jointly fitted ratings-only models in Table 5.</w:t>
      </w:r>
    </w:p>
    <w:p>
      <w:r>
        <w:t>The selection mechanism changes the comparison. For cost-only B at r=10, pooled ML-minus-grade loss is -4.41 [-7.03, -0.97] for each grade field, with all three intervals below zero. In contrast, B-minus-no-alarm is 1.41 [-9.26, 11.05]. The three grade B rules make exactly the same row-level decisions: every phase-1 record is flagged and no record is flagged in phases 2-4. Each gives 36 detections, 480 false alerts and 516 alerts; XGBoost gives 35, 379 and 414 respectively. The lower assumed loss therefore reflects 101 fewer false alerts at the cost of 1 fewer detection. These are three comparisons with the same final rule, not three distinct empirical confirmations. Lower loss than that rule does not establish lower loss than no alarms. These exploratory, unadjusted results are retained without selecting a new preferred workflow.</w:t>
      </w:r>
    </w:p>
    <w:p>
      <w:pPr>
        <w:pStyle w:val="Heading1"/>
      </w:pPr>
      <w:r>
        <w:t>5.3 Historical selection explains capacity and no-alarm outcomes</w:t>
      </w:r>
    </w:p>
    <w:p>
      <w:pPr>
        <w:pStyle w:val="Caption"/>
        <w:keepNext/>
      </w:pPr>
      <w:r>
        <w:t>Table 10.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Phase</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spacing w:line="245" w:lineRule="auto" w:before="60" w:after="60"/>
              <w:jc w:val="left"/>
            </w:pPr>
            <w:r>
              <w:rPr>
                <w:b w:val="0"/>
                <w:sz w:val="20"/>
              </w:rPr>
              <w:t>2</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16</w:t>
            </w:r>
          </w:p>
        </w:tc>
        <w:tc>
          <w:tcPr>
            <w:tcW w:type="dxa" w:w="1921"/>
            <w:vAlign w:val="center"/>
          </w:tcPr>
          <w:p>
            <w:pPr>
              <w:keepNext/>
              <w:spacing w:line="245" w:lineRule="auto" w:before="60" w:after="60"/>
              <w:jc w:val="right"/>
            </w:pPr>
            <w:r>
              <w:rPr>
                <w:b w:val="0"/>
                <w:sz w:val="20"/>
              </w:rPr>
              <w:t>0</w:t>
            </w:r>
          </w:p>
        </w:tc>
      </w:tr>
      <w:tr>
        <w:trPr>
          <w:cantSplit/>
        </w:trPr>
        <w:tc>
          <w:tcPr>
            <w:tcW w:type="dxa" w:w="1921"/>
            <w:vAlign w:val="center"/>
          </w:tcPr>
          <w:p>
            <w:pPr>
              <w:keepNext/>
              <w:spacing w:line="245" w:lineRule="auto" w:before="60" w:after="60"/>
              <w:jc w:val="left"/>
            </w:pPr>
            <w:r>
              <w:rPr>
                <w:b w:val="0"/>
                <w:sz w:val="20"/>
              </w:rPr>
              <w:t>3</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12</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phase-budget settings and C in 2/64 phase-budget-cost settings. The settings are dependent and use different denominators. In phase 2, A at a 20% budget produces 254 alerts, with 151 above its 103 later slots. The reference budget had been feasible. Different reference/test prevalences, including only one positive among 207 reference records in phase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pPr>
        <w:pStyle w:val="Heading1"/>
      </w:pPr>
      <w:r>
        <w:t>5.4 Model updating at a frozen numerical cutoff</w:t>
      </w:r>
    </w:p>
    <w:p>
      <w:pPr>
        <w:pStyle w:val="Caption"/>
        <w:keepNext/>
      </w:pPr>
      <w:r>
        <w:t>Table 11.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spacing w:line="245" w:lineRule="auto" w:before="60" w:after="60"/>
              <w:jc w:val="left"/>
            </w:pPr>
            <w:r>
              <w:rPr>
                <w:b w:val="0"/>
                <w:sz w:val="20"/>
              </w:rPr>
              <w:t>B</w:t>
            </w:r>
          </w:p>
        </w:tc>
        <w:tc>
          <w:tcPr>
            <w:tcW w:type="dxa" w:w="1601"/>
            <w:vAlign w:val="center"/>
          </w:tcPr>
          <w:p>
            <w:pPr>
              <w:keepNext/>
              <w:spacing w:line="245" w:lineRule="auto" w:before="60" w:after="60"/>
              <w:jc w:val="right"/>
            </w:pPr>
            <w:r>
              <w:rPr>
                <w:b w:val="0"/>
                <w:sz w:val="20"/>
              </w:rPr>
              <w:t>9</w:t>
            </w:r>
          </w:p>
        </w:tc>
        <w:tc>
          <w:tcPr>
            <w:tcW w:type="dxa" w:w="1601"/>
            <w:vAlign w:val="center"/>
          </w:tcPr>
          <w:p>
            <w:pPr>
              <w:keepNext/>
              <w:spacing w:line="245" w:lineRule="auto" w:before="60" w:after="60"/>
              <w:jc w:val="right"/>
            </w:pPr>
            <w:r>
              <w:rPr>
                <w:b w:val="0"/>
                <w:sz w:val="20"/>
              </w:rPr>
              <w:t>7</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-17.64 to 18.80</w:t>
            </w:r>
          </w:p>
        </w:tc>
        <w:tc>
          <w:tcPr>
            <w:tcW w:type="dxa" w:w="1601"/>
            <w:vAlign w:val="center"/>
          </w:tcPr>
          <w:p>
            <w:pPr>
              <w:keepNext/>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phase times budget for A, phase times cost for B, and phase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For a specific finite cutoff, phase 1 A at budget 20% and r=10 uses 0.385854 in both workflows. Alerts change from 21 fixed to 7 refitted; detections change from 2 to 0. Refitted-minus-fixed loss is 1.55 per 100 records, with paired 95% interval [-2.52, 7.17]. This interval concerns model updating, separately from the C-A policy intervals in Section 5.</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per-phase results and all costs remain in the Stage 2 technical report and saved files.</w:t>
      </w:r>
    </w:p>
    <w:p>
      <w:pPr>
        <w:pStyle w:val="Heading1"/>
      </w:pPr>
      <w:r>
        <w:t>5.5 Frozen-rule cost and prevalence descriptions</w:t>
      </w:r>
    </w:p>
    <w:p>
      <w:pPr>
        <w:pStyle w:val="Caption"/>
        <w:keepNext/>
      </w:pPr>
      <w:r>
        <w:t>Table 12.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spacing w:line="245" w:lineRule="auto" w:before="60" w:after="60"/>
              <w:jc w:val="left"/>
            </w:pPr>
            <w:r>
              <w:rPr>
                <w:b w:val="0"/>
                <w:sz w:val="20"/>
              </w:rPr>
              <w:t>5%</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24</w:t>
            </w:r>
          </w:p>
        </w:tc>
        <w:tc>
          <w:tcPr>
            <w:tcW w:type="dxa" w:w="1921"/>
            <w:vAlign w:val="center"/>
          </w:tcPr>
          <w:p>
            <w:pPr>
              <w:keepNext/>
              <w:spacing w:line="245" w:lineRule="auto" w:before="60" w:after="60"/>
              <w:jc w:val="right"/>
            </w:pPr>
            <w:r>
              <w:rPr>
                <w:b w:val="0"/>
                <w:sz w:val="20"/>
              </w:rPr>
              <w:t>25</w:t>
            </w:r>
          </w:p>
        </w:tc>
        <w:tc>
          <w:tcPr>
            <w:tcW w:type="dxa" w:w="1921"/>
            <w:vAlign w:val="center"/>
          </w:tcPr>
          <w:p>
            <w:pPr>
              <w:keepNext/>
              <w:spacing w:line="245" w:lineRule="auto" w:before="60" w:after="60"/>
              <w:jc w:val="right"/>
            </w:pPr>
            <w:r>
              <w:rPr>
                <w:b w:val="0"/>
                <w:sz w:val="20"/>
              </w:rPr>
              <w:t>24.00</w:t>
            </w:r>
          </w:p>
        </w:tc>
      </w:tr>
      <w:tr>
        <w:trPr>
          <w:cantSplit/>
        </w:trPr>
        <w:tc>
          <w:tcPr>
            <w:tcW w:type="dxa" w:w="1921"/>
            <w:vAlign w:val="center"/>
          </w:tcPr>
          <w:p>
            <w:pPr>
              <w:keepNext/>
              <w:spacing w:line="245" w:lineRule="auto" w:before="60" w:after="60"/>
              <w:jc w:val="left"/>
            </w:pPr>
            <w:r>
              <w:rPr>
                <w:b w:val="0"/>
                <w:sz w:val="20"/>
              </w:rPr>
              <w:t>10%</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27</w:t>
            </w:r>
          </w:p>
        </w:tc>
        <w:tc>
          <w:tcPr>
            <w:tcW w:type="dxa" w:w="1921"/>
            <w:vAlign w:val="center"/>
          </w:tcPr>
          <w:p>
            <w:pPr>
              <w:keepNext/>
              <w:spacing w:line="245" w:lineRule="auto" w:before="60" w:after="60"/>
              <w:jc w:val="right"/>
            </w:pPr>
            <w:r>
              <w:rPr>
                <w:b w:val="0"/>
                <w:sz w:val="20"/>
              </w:rPr>
              <w:t>28</w:t>
            </w:r>
          </w:p>
        </w:tc>
        <w:tc>
          <w:tcPr>
            <w:tcW w:type="dxa" w:w="1921"/>
            <w:vAlign w:val="center"/>
          </w:tcPr>
          <w:p>
            <w:pPr>
              <w:keepNext/>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r>
        <w:t>For a frozen alert set, Delta Lnone,100(reval) = 100(FP - reval TP)/N. When TP&gt;0, equality occurs at r*=FP/TP and the assumed loss favors the unchanged rule above that evaluation cost. TP=FP=0 is equivalent to no alarms for every cost; with TP=0 and FP&gt;0 there is no finite improvement. The dash identifies no-alarm equivalence. These are descriptive equality points on this cohort, not cost estimates or test-selected recommendations.</w:t>
      </w:r>
    </w:p>
    <w:p>
      <w:pPr>
        <w:pStyle w:val="Caption"/>
        <w:keepNext/>
      </w:pPr>
      <w:r>
        <w:t>Table 13.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spacing w:line="245" w:lineRule="auto" w:before="60" w:after="60"/>
              <w:jc w:val="left"/>
            </w:pPr>
            <w:r>
              <w:rPr>
                <w:b w:val="0"/>
                <w:sz w:val="18"/>
              </w:rPr>
              <w:t>5%</w:t>
            </w:r>
          </w:p>
        </w:tc>
        <w:tc>
          <w:tcPr>
            <w:tcW w:type="dxa" w:w="1372"/>
            <w:vAlign w:val="center"/>
          </w:tcPr>
          <w:p>
            <w:pPr>
              <w:keepNext/>
              <w:spacing w:line="245" w:lineRule="auto" w:before="60" w:after="60"/>
              <w:jc w:val="right"/>
            </w:pPr>
            <w:r>
              <w:rPr>
                <w:b w:val="0"/>
                <w:sz w:val="18"/>
              </w:rPr>
              <w:t>0.59</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4.69%</w:t>
            </w:r>
          </w:p>
        </w:tc>
        <w:tc>
          <w:tcPr>
            <w:tcW w:type="dxa" w:w="1372"/>
            <w:vAlign w:val="center"/>
          </w:tcPr>
          <w:p>
            <w:pPr>
              <w:keepNext/>
              <w:spacing w:line="245" w:lineRule="auto" w:before="60" w:after="60"/>
              <w:jc w:val="right"/>
            </w:pPr>
            <w:r>
              <w:rPr>
                <w:b w:val="0"/>
                <w:sz w:val="18"/>
              </w:rPr>
              <w:t>-0.04</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9.41%</w:t>
            </w:r>
          </w:p>
        </w:tc>
      </w:tr>
      <w:tr>
        <w:trPr>
          <w:cantSplit/>
        </w:trPr>
        <w:tc>
          <w:tcPr>
            <w:tcW w:type="dxa" w:w="1372"/>
            <w:vAlign w:val="center"/>
          </w:tcPr>
          <w:p>
            <w:pPr>
              <w:keepNext/>
              <w:spacing w:line="245" w:lineRule="auto" w:before="60" w:after="60"/>
              <w:jc w:val="left"/>
            </w:pPr>
            <w:r>
              <w:rPr>
                <w:b w:val="0"/>
                <w:sz w:val="18"/>
              </w:rPr>
              <w:t>10%</w:t>
            </w:r>
          </w:p>
        </w:tc>
        <w:tc>
          <w:tcPr>
            <w:tcW w:type="dxa" w:w="1372"/>
            <w:vAlign w:val="center"/>
          </w:tcPr>
          <w:p>
            <w:pPr>
              <w:keepNext/>
              <w:spacing w:line="245" w:lineRule="auto" w:before="60" w:after="60"/>
              <w:jc w:val="right"/>
            </w:pPr>
            <w:r>
              <w:rPr>
                <w:b w:val="0"/>
                <w:sz w:val="18"/>
              </w:rPr>
              <w:t>0.73</w:t>
            </w:r>
          </w:p>
        </w:tc>
        <w:tc>
          <w:tcPr>
            <w:tcW w:type="dxa" w:w="1372"/>
            <w:vAlign w:val="center"/>
          </w:tcPr>
          <w:p>
            <w:pPr>
              <w:keepNext/>
              <w:spacing w:line="245" w:lineRule="auto" w:before="60" w:after="60"/>
              <w:jc w:val="right"/>
            </w:pPr>
            <w:r>
              <w:rPr>
                <w:b w:val="0"/>
                <w:sz w:val="18"/>
              </w:rPr>
              <w:t>1.36%</w:t>
            </w:r>
          </w:p>
        </w:tc>
        <w:tc>
          <w:tcPr>
            <w:tcW w:type="dxa" w:w="1372"/>
            <w:vAlign w:val="center"/>
          </w:tcPr>
          <w:p>
            <w:pPr>
              <w:keepNext/>
              <w:spacing w:line="245" w:lineRule="auto" w:before="60" w:after="60"/>
              <w:jc w:val="right"/>
            </w:pPr>
            <w:r>
              <w:rPr>
                <w:b w:val="0"/>
                <w:sz w:val="18"/>
              </w:rPr>
              <w:t>4.19%</w:t>
            </w:r>
          </w:p>
        </w:tc>
        <w:tc>
          <w:tcPr>
            <w:tcW w:type="dxa" w:w="1372"/>
            <w:vAlign w:val="center"/>
          </w:tcPr>
          <w:p>
            <w:pPr>
              <w:keepNext/>
              <w:spacing w:line="245" w:lineRule="auto" w:before="60" w:after="60"/>
              <w:jc w:val="right"/>
            </w:pPr>
            <w:r>
              <w:rPr>
                <w:b w:val="0"/>
                <w:sz w:val="18"/>
              </w:rPr>
              <w:t>0.09</w:t>
            </w:r>
          </w:p>
        </w:tc>
        <w:tc>
          <w:tcPr>
            <w:tcW w:type="dxa" w:w="1372"/>
            <w:vAlign w:val="center"/>
          </w:tcPr>
          <w:p>
            <w:pPr>
              <w:keepNext/>
              <w:spacing w:line="245" w:lineRule="auto" w:before="60" w:after="60"/>
              <w:jc w:val="right"/>
            </w:pPr>
            <w:r>
              <w:rPr>
                <w:b w:val="0"/>
                <w:sz w:val="18"/>
              </w:rPr>
              <w:t>1.34%</w:t>
            </w:r>
          </w:p>
        </w:tc>
        <w:tc>
          <w:tcPr>
            <w:tcW w:type="dxa" w:w="1372"/>
            <w:vAlign w:val="center"/>
          </w:tcPr>
          <w:p>
            <w:pPr>
              <w:keepNext/>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r>
        <w:t>The full supplement retains prevalences 2%, 5%, 10% and 15%. The compact display pairs loss and workload at 5% and 10% without reselecting policies. Assuming unchanged within-class rates, L100(pi)=100[r pi FNR+(1-pi)FPR], alert fraction=pi TPR+(1-pi)FPR and precision=pi TPR/alert fraction. Precision is undefined at zero expected alerts (NA); observed zero-alert precision retains its existing zero convention. These scenarios neither diagnose actual shift nor estimate the probability of exceeding capacity.</w:t>
      </w:r>
    </w:p>
    <w:p>
      <w:pPr>
        <w:pStyle w:val="Heading1"/>
      </w:pPr>
      <w:r>
        <w:t>5.6 Monitoring information at matched grades and slots</w:t>
      </w:r>
    </w:p>
    <w:p>
      <w:r>
        <w:t>Historical threshold transfer changes both detection and workload. This supplement holds workload and grade allocation fixed to ask how much additional hazardous-shift coverage the monitoring variables supply. The four-input baseline contains seismic, seismoacoustic, ghazard and shift type; the extended design uses the retained 17 columns. Both use XGBoost, the same four historical fitting/test splits and the same inner AP search, tuned separately for each design. Neither policy-reference labels nor test labels enter fitting or tuning. The two designs therefore receive matched tuning opportunities, unlike the earlier ratings-only ablation that omits shift type.</w:t>
      </w:r>
    </w:p>
    <w:p>
      <w:r>
        <w:t>Within each test block, K=floor(B*Ntest) slots are allocated to higher seismic grades first and then to higher model scores within each grade. Both models receive identical total and grade-specific slots. A boundary tie is allocated uniformly: h slots among m tied records containing p hazardous labels contributes E(TP)=h*p/m; labels evaluate the allocation and do not determine it. Counts with decimals are expectations over tie allocation. Each of the 2,000 paired block-bootstrap draws reranks its sampled multiset and recomputes the slots and ties. Length 32 is primary; lengths 16 and 64 and the complete table remain in the supplement. These conditional intervals freeze model fits and tuning and do not cover their uncertainty.</w:t>
      </w:r>
    </w:p>
    <w:p>
      <w:r>
        <w:t>At 20% test-batch slots, the pooled baseline has E(TP)=30.71 and the extended design 32.00, each using 412 slots. The difference is 1.29 with conditional 95% interval [-5.48, 7.05]. All 16 block-specific primary intervals and all four pooled intervals include zero; the point differences vary across blocks. This workflow has not established a consistent monitoring-information increment, and it does not establish that monitoring information is generally uninformative.</w:t>
      </w:r>
    </w:p>
    <w:p>
      <w:pPr>
        <w:keepNext/>
        <w:jc w:val="center"/>
      </w:pPr>
      <w:r>
        <w:drawing>
          <wp:inline xmlns:a="http://schemas.openxmlformats.org/drawingml/2006/main" xmlns:pic="http://schemas.openxmlformats.org/drawingml/2006/picture">
            <wp:extent cx="5669280" cy="5865857"/>
            <wp:docPr id="5" name="Picture 5"/>
            <wp:cNvGraphicFramePr>
              <a:graphicFrameLocks noChangeAspect="1"/>
            </wp:cNvGraphicFramePr>
            <a:graphic>
              <a:graphicData uri="http://schemas.openxmlformats.org/drawingml/2006/picture">
                <pic:pic>
                  <pic:nvPicPr>
                    <pic:cNvPr id="0" name="monitoring_increment.png"/>
                    <pic:cNvPicPr/>
                  </pic:nvPicPr>
                  <pic:blipFill>
                    <a:blip r:embed="rId14"/>
                    <a:stretch>
                      <a:fillRect/>
                    </a:stretch>
                  </pic:blipFill>
                  <pic:spPr>
                    <a:xfrm>
                      <a:off x="0" y="0"/>
                      <a:ext cx="5669280" cy="5865857"/>
                    </a:xfrm>
                    <a:prstGeom prst="rect"/>
                  </pic:spPr>
                </pic:pic>
              </a:graphicData>
            </a:graphic>
          </wp:inline>
        </w:drawing>
      </w:r>
    </w:p>
    <w:p>
      <w:pPr>
        <w:pStyle w:val="Caption"/>
        <w:keepLines/>
      </w:pPr>
      <w:r>
        <w:t>Figure 5. Extended minus grade-plus-shift expected detections at identical seismic-grade allocations and test-batch slots. Positive differences favor added monitoring; bars are conditional 95% paired reranking intervals at block length 32. All four blocks and four slot fractions are shown; pooled results are supplementary. These fractions fix test-batch slots, whereas the earlier historical budgets constrain reference threshold selection and permit future workload to change.</w:t>
      </w:r>
    </w:p>
    <w:p>
      <w:r>
        <w:t>The two uses of 20% answer different questions. Historical C at r=10 produces 34 test alerts and 2 detections, whereas this batch study allocates 412 slots to each model. Its 32.00 expected detections cannot be compared with C as an improvement at equal workload. The batch task is retrospective ranking, not observed dispatch. Its protocol was specified after these test records had been examined; the records overlap the two stages and add no independent validation cohort.</w:t>
      </w:r>
    </w:p>
    <w:p>
      <w:hyperlink r:id="rId15">
        <w:r>
          <w:t>Exploratory supplement: matched design, all intervals and reproduction details</w:t>
        </w:r>
      </w:hyperlink>
    </w:p>
    <w:p>
      <w:hyperlink r:id="rId16">
        <w:r>
          <w:t>Supplementary decision combinations and threshold evidence</w:t>
        </w:r>
      </w:hyperlink>
    </w:p>
    <w:p>
      <w:pPr>
        <w:pStyle w:val="Heading1"/>
      </w:pPr>
      <w:r>
        <w:t>6 Integrated interpretation and next evidence</w:t>
      </w:r>
    </w:p>
    <w:p>
      <w:r>
        <w:t>Common-cohort comparisons establish protocol-gap sensitivity, probability correction concerns a named error reference, and feature attribution concerns fitted-model use. These supporting analyses distinguish the forecast evidence needed to interpret subsequent warning decisions.</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Phase-specific evidence must accompany the pooled comparison. In phase 1, C at 5% and 10% has no detections and loss-difference intervals entirely above zero. The nonzero pooled intervals cross zero. Pooling therefore does not describe every phase, and an unresolved pooled direction does not erase a resolved increase within the stated phase and conditional analysis.</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Additional direct-grade and no-alarm contrasts show that decision value depends on the comparator: cost-only XGBoost has lower loss than the identical grade-rule decisions at r=10, while its no-alarm interval spans zero. The matched-information analysis fixes workload and does not establish a consistent monitoring increment beyond grades and shift type. Full refit/reselection uncertainty requires a separate protocol; credible lag features require verified continuity. Independent-site and inspection outcomes are the next evidence needed.</w:t>
      </w:r>
    </w:p>
    <w:p>
      <w:pPr>
        <w:pStyle w:val="Heading1"/>
      </w:pPr>
      <w:r>
        <w:t>7 Conclusions</w:t>
      </w:r>
    </w:p>
    <w:p>
      <w:r>
        <w:t>Comparable-cohort evaluation reduces the original AP gaps by 89.7% for LR, 86.9% for CART, 89.4% for XGBoost; this quantifies cohort sensitivity, not leakage or drift attribution. At r=10 and a 20% historical budget, capacity-constrained cost rules produce 34 alerts and 2/88 detections, versus 557 alerts and 25/88 for budget-only rules. Phase 1 C at 5% and 10% has no detections and positive loss-difference intervals; the nonzero pooled C intervals span zero. Joint loss, detection and workload accounting shows why historical optimality and capacity feasibility do not establish later decision value.</w:t>
      </w:r>
    </w:p>
    <w:p>
      <w:r>
        <w:t>Fixing grade allocations and test-batch slots provides a different comparison: at 20%, monitoring inputs add 1.29 expected detections to a grade-plus-shift model, with conditional interval [-5.48, 7.05] and 412 slots per model. The block-specific evidence does not establish a consistent increment. Historical threshold transfer and equal-slot batch ranking should therefore remain distinct when interpreting decision value. Independent timestamped working-face data with inspection outcomes are needed to test transfer beyond this cohort.</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pPr>
        <w:pStyle w:val="Heading1"/>
        <w:pageBreakBefore/>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 108:17. DOI: 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Pakdaman Naeini M, Cooper G, Hauskrecht M. Obtaining Well Calibrated Probabilities Using Bayesian Binning. Proceedings of the AAAI Conference on Artificial Intelligence, 2015, 29(1). DOI: 10.1609/aaai.v29i1.9602.</w:t>
      </w:r>
    </w:p>
    <w:p>
      <w:pPr>
        <w:ind w:left="331" w:hanging="331"/>
        <w:jc w:val="left"/>
      </w:pPr>
      <w:r>
        <w:rPr>
          <w:sz w:val="20"/>
        </w:rPr>
        <w:t>[13] Guo C, Pleiss G, Sun Y, Weinberger KQ. On Calibration of Modern Neural Networks. Proceedings of ICML, PMLR 70, 2017:1321-1330. https://proceedings.mlr.press/v70/guo17a.html</w:t>
      </w:r>
    </w:p>
    <w:p>
      <w:pPr>
        <w:ind w:left="331" w:hanging="331"/>
        <w:jc w:val="left"/>
      </w:pPr>
      <w:r>
        <w:rPr>
          <w:sz w:val="20"/>
        </w:rPr>
        <w:t>[14] Brier GW. Verification of Forecasts Expressed in Terms of Probability. Monthly Weather Review, 1950, 78(1):1-3. DOI: 10.1175/1520-0493(1950)078&lt;0001:VOFEIT&gt;2.0.CO;2.</w:t>
      </w:r>
    </w:p>
    <w:p>
      <w:pPr>
        <w:ind w:left="331" w:hanging="331"/>
        <w:jc w:val="left"/>
      </w:pPr>
      <w:r>
        <w:rPr>
          <w:sz w:val="20"/>
        </w:rPr>
        <w:t>[15] Lipton ZC, Wang YX, Smola AJ. Detecting and Correcting for Label Shift with Black Box Predictors. Proceedings of ICML, PMLR 80, 2018:3122-3130. https://proceedings.mlr.press/v80/lipton18a.html</w:t>
      </w:r>
    </w:p>
    <w:p>
      <w:pPr>
        <w:ind w:left="331" w:hanging="331"/>
        <w:jc w:val="left"/>
      </w:pPr>
      <w:r>
        <w:rPr>
          <w:sz w:val="20"/>
        </w:rPr>
        <w:t>[16] Lundberg SM et al. From local explanations to global understanding with explainable AI for trees. Nature Machine Intelligence, 2020, 2:56-67. DOI: 10.1038/s42256-019-0138-9.</w:t>
      </w:r>
    </w:p>
    <w:p>
      <w:pPr>
        <w:ind w:left="331" w:hanging="331"/>
        <w:jc w:val="left"/>
      </w:pPr>
      <w:r>
        <w:rPr>
          <w:sz w:val="20"/>
        </w:rPr>
        <w:t>[17] XGBoost documentation. Booster.predict and exact feature contributions. https://xgboost.readthedocs.io/en/stable/python/python_api.html</w:t>
      </w:r>
    </w:p>
    <w:p>
      <w:pPr>
        <w:ind w:left="331" w:hanging="331"/>
        <w:jc w:val="left"/>
      </w:pPr>
      <w:r>
        <w:rPr>
          <w:sz w:val="20"/>
        </w:rPr>
        <w:t>[18] Elkan C. The Foundations of Cost-Sensitive Learning. Proceedings of IJCAI, 2001:973-978. Author manuscript: https://cseweb.ucsd.edu/~elkan/rescale.pdf</w:t>
      </w:r>
    </w:p>
    <w:p>
      <w:pPr>
        <w:ind w:left="331" w:hanging="331"/>
        <w:jc w:val="left"/>
      </w:pPr>
      <w:r>
        <w:rPr>
          <w:sz w:val="20"/>
        </w:rPr>
        <w:t>[19] Shalizi CR. Simulation for Inference I: The Bootstrap. Carnegie Mellon University course notes, 2018. https://stat.cmu.edu/~cshalizi/dst/18/lectures/18/lecture-18.html</w:t>
      </w:r>
    </w:p>
    <w:p>
      <w:pPr>
        <w:ind w:left="331" w:hanging="331"/>
        <w:jc w:val="left"/>
      </w:pPr>
      <w:r>
        <w:rPr>
          <w:sz w:val="20"/>
        </w:rPr>
        <w:t>[20] Künsch HR. The Jackknife and the Bootstrap for General Stationary Observations. The Annals of Statistics, 1989, 17(3):1217–1241. DOI: 10.1214/aos/1176347265.</w:t>
      </w:r>
    </w:p>
    <w:sectPr>
      <w:footerReference w:type="default" r:id="rId17"/>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vector1.sv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junjie-yang11/seismic-bump-forecasting/blob/main/reports/information/monitoring_information_increment.pdf" TargetMode="External"/><Relationship Id="rId16" Type="http://schemas.openxmlformats.org/officeDocument/2006/relationships/hyperlink" Target="https://github.com/junjie-yang11/seismic-bump-forecasting/blob/main/reports/overall/comparator_appendix.md"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