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Frozen Warning Decision Comparisons Complete Supplement</w:t>
      </w:r>
    </w:p>
    <w:p>
      <w:pPr>
        <w:jc w:val="center"/>
      </w:pPr>
      <w:r>
        <w:t>Junjie Yang</w:t>
      </w:r>
    </w:p>
    <w:p>
      <w:r>
        <w:t>This supplement retains every specified frozen-policy comparison: 720 policy-minus-no-alarm settings and 540 XGBoost-minus-grade settings. Record blocks 1-4 precede supplementary pooled sums. Stage 1 and Stage 2 denote research stages; blocks denote evaluated record groups.</w:t>
      </w:r>
    </w:p>
    <w:p>
      <w:r>
        <w:t>Negative loss differences favor the left policy. Costs are assumed relative values, not measured money or accident avoidance. All intervals are unadjusted conditional 95% paired moving-block intervals from 2,000 draws of length 32 within blocks; they exclude model fitting, tuning and rule selection. Identical decisions can yield exact zero intervals. No policy is reselected from these tables.</w:t>
      </w:r>
    </w:p>
    <w:p>
      <w:hyperlink r:id="rId9">
        <w:r>
          <w:t>Integrated manuscript in this edition</w:t>
        </w:r>
      </w:hyperlink>
    </w:p>
    <w:p>
      <w:hyperlink r:id="rId10">
        <w:r>
          <w:t>Comparator protocol and fixed selection rules</w:t>
        </w:r>
      </w:hyperlink>
    </w:p>
    <w:p>
      <w:hyperlink r:id="rId11">
        <w:r>
          <w:t>Complete machine-readable evidence and verification</w:t>
        </w:r>
      </w:hyperlink>
    </w:p>
    <w:p>
      <w:pPr>
        <w:pStyle w:val="Heading1"/>
      </w:pPr>
      <w:r>
        <w:t>Policies minus no alarms</w:t>
      </w:r>
    </w:p>
    <w:p>
      <w:pPr>
        <w:pStyle w:val="Caption"/>
        <w:keepNext/>
      </w:pPr>
      <w:r>
        <w:t>Table S1. Policy minus no alarms; assumed missed-hazard cost r=5,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2160"/>
        <w:gridCol w:w="4464"/>
        <w:gridCol w:w="864"/>
        <w:gridCol w:w="864"/>
        <w:gridCol w:w="864"/>
        <w:gridCol w:w="1152"/>
        <w:gridCol w:w="1152"/>
      </w:tblGrid>
      <w:tr>
        <w:trPr>
          <w:cantSplit/>
          <w:tblHeader/>
        </w:trPr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Block</w:t>
            </w:r>
          </w:p>
        </w:tc>
        <w:tc>
          <w:tcPr>
            <w:tcW w:type="dxa" w:w="158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44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Delta loss / 100 [95% CI]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Alerts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Excess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1.94 [0.58, 3.88]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1.74 [-0.58, 4.26]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3.29 [-2.91, 8.91]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[-0.78, 4.85]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58.14 [31.40, 81.40]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0.39 [-6.20, 5.62]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-0.78 [-12.40, 7.56]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20.93 [9.69, 34.88]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7.18 [3.50, 9.51]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13.01 [7.18, 17.28]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18.45 [10.29, 25.24]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42.33 [33.20, 53.79]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10.10 [-1.36, 21.17]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10.10 [-1.36, 21.17]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18.25 [5.83, 30.49]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18.25 [5.83, 30.49]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18.25 [5.83, 30.49]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[0.19, 3.68]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3.68 [-1.36, 6.98]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5.62 [0.39, 8.91]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21.32 [14.34, 27.33]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12.79 [4.65, 20.93]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[0.39, 2.33]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3.10 [-0.78, 6.98]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5.62 [1.36, 10.86]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13.57 [6.01, 20.93]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[0.00,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[0.00,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[0.00,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[0.00,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8.72 [1.74, 19.77]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2.86 [1.75, 3.69]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[2.96, 6.93]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7.95 [4.94, 10.13]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19.73 [16.19, 23.56]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1.36 [-0.24, 2.96]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0.92 [0.34, 1.65]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0.92 [0.34, 1.65]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1.07 [0.15, 1.99]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1.45 [-0.73, 4.22]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1.45 [-0.73, 4.22]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3.97 [0.29, 7.85]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8.00 [3.49, 12.22]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14.54 [7.56, 20.36]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0.10 [-1.55, 1.41]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0.10 [-1.55, 1.41]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0.10 [-1.55, 1.41]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0.10 [-1.55, 1.41]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4.56 [1.50, 7.71]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4.56 [1.50, 7.71]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4.56 [1.50, 7.71]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-0.19 [-3.20, 1.94]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5.24 [2.28, 8.77]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Table S2. Policy minus no alarms; assumed missed-hazard cost r=10,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2160"/>
        <w:gridCol w:w="4464"/>
        <w:gridCol w:w="864"/>
        <w:gridCol w:w="864"/>
        <w:gridCol w:w="864"/>
        <w:gridCol w:w="1152"/>
        <w:gridCol w:w="1152"/>
      </w:tblGrid>
      <w:tr>
        <w:trPr>
          <w:cantSplit/>
          <w:tblHeader/>
        </w:trPr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Block</w:t>
            </w:r>
          </w:p>
        </w:tc>
        <w:tc>
          <w:tcPr>
            <w:tcW w:type="dxa" w:w="158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44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Delta loss / 100 [95% CI]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Alerts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Excess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1.94 [0.58, 3.88]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-0.19 [-5.23, 3.69]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4.46 [-39.73, 41.48]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[-3.88, 4.84]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23.26 [-25.78, 65.89]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-3.49 [-16.09,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23.26 [-25.78, 65.89]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23.26 [-25.78, 65.89]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7.18 [3.50, 9.51]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13.01 [7.18, 17.28]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15.53 [4.47, 23.69]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36.50 [27.18, 49.13]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8.16 [-5.64, 20.00]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8.16 [-5.64, 20.00]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12.43 [1.94, 23.89]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12.43 [1.94, 23.89]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12.43 [1.94, 23.89]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[0.19, 3.68]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-2.13 [-10.66, 3.49]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-1.16 [-10.86, 5.04]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11.63 [0.00, 21.90]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9.88 [3.49, 16.67]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[0.39, 2.33]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0.19 [-7.76, 6.40]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1.74 [-6.40, 9.30]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6.78 [-5.62, 16.67]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[-3.10,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[-3.10,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[-3.10,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[-3.10,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6.78 [0.78, 16.47]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2.86 [1.75, 3.69]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3.25 [-0.29, 5.38]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4.56 [-0.00, 7.51]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13.67 [8.77, 18.61]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1.41 [-9.26, 11.05]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414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0.68 [-0.34, 1.65]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0.82 [-0.19, 1.84]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0.58 [-1.02, 1.89]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0.48 [-3.05, 3.88]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0.48 [-3.05, 3.88]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2.52 [-2.38, 7.13]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5.33 [-0.20, 9.70]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5.82 [-6.98, 16.48]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-0.87 [-3.97,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-0.87 [-3.97,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-0.87 [-3.97,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-0.87 [-3.97,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3.10 [0.48, 6.06]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3.10 [0.48, 6.06]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3.10 [0.48, 6.06]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5.82 [-6.98, 16.48]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5.82 [-6.98, 16.48]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Table S3. Policy minus no alarms; assumed missed-hazard cost r=20,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2160"/>
        <w:gridCol w:w="4464"/>
        <w:gridCol w:w="864"/>
        <w:gridCol w:w="864"/>
        <w:gridCol w:w="864"/>
        <w:gridCol w:w="1152"/>
        <w:gridCol w:w="1152"/>
      </w:tblGrid>
      <w:tr>
        <w:trPr>
          <w:cantSplit/>
          <w:tblHeader/>
        </w:trPr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Block</w:t>
            </w:r>
          </w:p>
        </w:tc>
        <w:tc>
          <w:tcPr>
            <w:tcW w:type="dxa" w:w="158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44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Delta loss / 100 [95% CI]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Alerts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Excess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1.94 [0.58, 3.88]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-4.07 [-15.12, 3.68]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-61.43 [-149.25, 11.64]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-0.78 [-10.08, 4.84]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-46.51 [-140.12, 34.88]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-11.24 [-35.47,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-46.51 [-140.12, 34.88]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-46.51 [-140.12, 34.88]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7.18 [3.50, 9.51]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13.01 [7.18, 17.28]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9.71 [-9.32, 22.52]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24.85 [9.13, 43.50]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4.27 [-16.89, 19.03]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4.27 [-16.89, 19.03]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0.78 [-13.99, 14.76]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0.78 [-13.99, 14.76]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0.78 [-13.99, 14.76]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[0.19, 3.68]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-13.76 [-30.43, -2.13]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-14.73 [-34.30, -1.35]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-7.75 [-29.46, 12.21]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4.07 [-2.91, 11.05]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3.10 [-24.23, 26.94]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[0.39, 2.33]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-5.62 [-22.67, 5.81]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-6.01 [-22.68, 7.37]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-6.78 [-30.43, 11.63]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13.18 [-15.50, 34.31]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308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-0.78 [-9.69,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-6.01 [-22.68, 7.37]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-6.01 [-22.68, 7.37]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2.91 [-6.98, 13.38]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26.74 [-9.88, 55.23]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26.74 [-9.88, 55.23]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2.52 [-16.09, 19.96]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2.86 [1.75, 3.69]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-1.11 [-7.46, 3.06]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-2.23 [-10.95, 3.30]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[-7.51, 10.23]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-12.07 [-35.68, 7.27]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0.19 [-1.79, 1.65]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-0.97 [-5.14, 2.18]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-1.70 [-6.69, 1.84]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-1.45 [-7.90, 3.44]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-1.45 [-7.90, 3.44]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-0.39 [-8.48, 5.96]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[-8.58, 6.59]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-4.94 [-31.41, 16.43]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978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-2.81 [-8.82,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-2.81 [-8.82,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-2.81 [-8.82,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-2.81 [-8.82,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0.19 [-3.35, 3.78]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0.19 [-3.35, 3.78]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0.19 [-3.35, 3.78]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-4.17 [-31.90, 18.33]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-11.00 [-35.63, 9.50]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633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Table S4. Policy minus no alarms; assumed missed-hazard cost r=50,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584"/>
        <w:gridCol w:w="2160"/>
        <w:gridCol w:w="4464"/>
        <w:gridCol w:w="864"/>
        <w:gridCol w:w="864"/>
        <w:gridCol w:w="864"/>
        <w:gridCol w:w="1152"/>
        <w:gridCol w:w="1152"/>
      </w:tblGrid>
      <w:tr>
        <w:trPr>
          <w:cantSplit/>
          <w:tblHeader/>
        </w:trPr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Block</w:t>
            </w:r>
          </w:p>
        </w:tc>
        <w:tc>
          <w:tcPr>
            <w:tcW w:type="dxa" w:w="158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44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Delta loss / 100 [95% CI]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864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Alerts</w:t>
            </w:r>
          </w:p>
        </w:tc>
        <w:tc>
          <w:tcPr>
            <w:tcW w:type="dxa" w:w="1152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18"/>
              </w:rPr>
              <w:t>Excess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1.94 [0.58, 3.88]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-15.70 [-44.19, 3.68]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-259.11 [-485.28, -75.51]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[0.39, 3.10]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2.13 [0.78, 4.07]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-6.59 [-27.52, 4.84]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-255.81 [-483.14, -58.14]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-34.50 [-93.60, 5.43]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-255.81 [-483.14, -58.14]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-255.81 [-483.14, -58.14]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7.18 [3.50, 9.51]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13.01 [7.18, 17.28]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-7.77 [-53.40, 21.75]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-10.10 [-53.79, 34.56]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-7.38 [-52.43, 18.06]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-7.38 [-52.43, 18.06]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-34.17 [-77.09, 3.89]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-34.17 [-77.09, 3.89]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-34.17 [-77.09, 3.89]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1.55 [0.19, 3.68]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-48.64 [-88.57, -19.19]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-55.43 [-104.07, -19.18]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-65.89 [-120.17, -13.16]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-90.31 [-158.34, -28.87]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-13.37 [-35.08, 6.40]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-137.21 [-236.05, -38.37]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-13.37 [-35.08, 6.40]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-66.67 [-137.40, -6.00]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-137.21 [-236.05, -38.37]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1.16 [0.39, 2.33]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-23.06 [-69.19, 5.81]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-29.26 [-74.81, 2.52]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-47.48 [-108.14, -1.74]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-72.09 [-151.17, -15.48]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444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-6.59 [-27.33, 4.46]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-29.26 [-74.81, 2.52]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-31.40 [-87.41, 9.50]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5.43 [0.00, 15.70]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-8.72 [-43.80, 12.40]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-77.91 [-166.86, -8.72]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-8.72 [-43.80, 12.40]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-77.91 [-166.86, -8.72]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-77.91 [-166.86, -8.72]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498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516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2.86 [1.75, 3.69]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-14.20 [-29.33, -3.49]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-22.59 [-43.92, -8.82]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-34.80 [-58.17, -12.99]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532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557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-105.43 [-169.03, -53.50]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1025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1089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-1.26 [-6.16, 1.65]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-6.79 [-17.70, 0.82]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-9.50 [-24.24, 0.73]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-7.27 [-22.59, 3.25]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-7.27 [-22.59, 3.25]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-9.11 [-27.15, 4.17]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-16.00 [-36.31, -0.14]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-117.79 [-187.01, -60.93]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-8.63 [-23.36,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-8.63 [-23.36,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-8.63 [-23.36, 1.36]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ghazard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-14.15 [-32.62, -0.29]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167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-8.53 [-18.42, 0.97]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-8.53 [-18.42, 0.97]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-8.53 [-18.42, 0.97]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-100.15 [-167.09, -45.95]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1234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A_b01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A_b05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A_b10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A_b20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B_r50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-117.79 [-187.01, -60.93]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1470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1548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C_b01_r50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C_b05_r50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C_b10_r50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18"/>
              </w:rPr>
              <w:t>Pooled</w:t>
            </w:r>
          </w:p>
        </w:tc>
        <w:tc>
          <w:tcPr>
            <w:tcW w:type="dxa" w:w="158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seismoacoustic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C_b20_r50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0.00 [0.00, 0.00]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864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Heading1"/>
      </w:pPr>
      <w:r>
        <w:t>Fixed XGBoost minus each grade rule</w:t>
      </w:r>
    </w:p>
    <w:p>
      <w:pPr>
        <w:pStyle w:val="Caption"/>
        <w:keepNext/>
      </w:pPr>
      <w:r>
        <w:t>Table S5. XGBoost minus direct grade; assumed missed-hazard cost r=5,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880"/>
        <w:gridCol w:w="6768"/>
      </w:tblGrid>
      <w:tr>
        <w:trPr>
          <w:cantSplit/>
          <w:tblHeader/>
        </w:trPr>
        <w:tc>
          <w:tcPr>
            <w:tcW w:type="dxa" w:w="144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Block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Grade field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type="dxa" w:w="6768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ML minus grade loss / 100 [95% CI]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[-4.26, 7.95]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[-4.07, 8.72]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[-3.69, 8.91]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1.36 [-3.49, 6.98]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-54.84 [-76.55, -28.87]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-0.39 [-5.62, 6.20]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[-4.26, 7.95]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[-4.26, 7.95]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[-3.68, 8.14]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[-0.58, 4.26]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4.07 [-3.88, 14.34]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[-0.78, 4.85]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[-0.58, 4.26]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-17.64 [-31.78, -5.43]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[-0.78, 4.85]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8.35 [-4.27, 20.78]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32.23 [19.22, 49.51]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-5.24 [-15.53, 3.11]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0.19 [-9.13, 8.16]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24.08 [17.67, 33.98]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18.45 [10.29, 25.24]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42.33 [33.20, 53.79]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3.68 [-1.36, 6.98]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[0.39, 8.91]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8.53 [-2.52, 19.19]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3.68 [-1.36, 6.98]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[0.39, 8.91]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21.32 [14.34, 27.33]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3.68 [-1.36, 6.98]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[0.39, 8.91]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21.32 [14.34, 27.33]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-4.26 [-14.15, 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-2.33 [-13.96, 5.23]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0.19 [-10.27, 7.75]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4.84 [-9.11, 14.35]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3.10 [-0.78, 6.98]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[1.36, 10.86]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13.57 [6.01, 20.93]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3.10 [-0.78, 6.98]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[1.36, 10.86]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13.57 [6.01, 20.93]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[0.00,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1.41 [-1.60, 3.54]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3.97 [-0.15, 6.50]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3.97 [-0.78, 7.95]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11.73 [6.40, 17.55]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-13.18 [-18.66, -6.69]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-0.10 [-1.41, 1.55]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0.82 [-0.63, 2.81]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0.82 [-0.63, 2.81]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0.97 [-0.48, 2.86]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0.87 [-2.18, 3.25]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3.39 [0.44, 5.77]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15.17 [12.21, 18.61]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[-0.63, 4.31]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0.92 [0.34,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0.92 [0.34,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1.07 [0.15, 1.99]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5.43 [2.96, 6.93]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7.95 [4.94, 10.13]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19.73 [16.19, 23.56]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-3.88 [-7.51, -0.77]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0.92 [0.34,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0.92 [0.34,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1.07 [0.15, 1.99]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Table S6. XGBoost minus direct grade; assumed missed-hazard cost r=10,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880"/>
        <w:gridCol w:w="6768"/>
      </w:tblGrid>
      <w:tr>
        <w:trPr>
          <w:cantSplit/>
          <w:tblHeader/>
        </w:trPr>
        <w:tc>
          <w:tcPr>
            <w:tcW w:type="dxa" w:w="144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Block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Grade field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type="dxa" w:w="6768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ML minus grade loss / 100 [95% CI]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5.04 [-4.07, 18.02]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5.43 [-3.88, 18.60]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[-3.49, 18.99]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3.29 [-3.29, 11.83]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-18.80 [-29.84, -6.01]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3.49 [-5.43, 16.09]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5.04 [-4.07, 18.02]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5.62 [-3.49, 18.99]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4.65 [-3.49, 15.90]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-0.19 [-5.23,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-18.80 [-29.84, -6.01]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[-3.88, 4.84]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-0.19 [-5.23,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-18.80 [-29.84, -6.01]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[-3.88, 4.84]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7.38 [-7.58, 24.27]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28.35 [14.56, 48.75]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0.58 [-10.49, 8.74]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3.11 [-7.58, 10.49]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24.08 [16.69, 34.76]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15.53 [4.47, 23.69]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36.50 [27.18, 49.13]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-2.13 [-10.66, 3.49]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-1.16 [-10.86, 5.04]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[-11.83, 14.34]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-2.13 [-10.66, 3.49]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-1.16 [-10.86, 5.04]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11.63 [0.00, 21.90]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-2.13 [-10.66, 3.49]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-1.16 [-10.86, 5.04]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11.63 [0.00, 21.90]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-4.26 [-14.15, 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-5.23 [-19.57, 4.65]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-3.68 [-16.87, 6.01]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[-15.90, 11.82]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0.19 [-7.76, 6.40]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[-6.40, 9.30]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6.78 [-5.62, 16.67]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0.19 [-7.76, 6.40]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1.74 [-6.40, 9.30]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6.78 [-5.62, 16.67]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[-3.10,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2.38 [-1.26, 5.67]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2.76 [-2.76, 6.83]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2.04 [-4.32, 7.61]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8.34 [2.13, 15.32]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-4.41 [-7.03, -0.97]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0.87 [-1.36, 3.97]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[-0.92, 5.04]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1.70 [-0.82, 5.19]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1.45 [-0.83, 4.65]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0.15 [-4.12, 3.01]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1.45 [-2.76, 4.27]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10.57 [6.20, 15.22]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-4.41 [-7.03, -0.97]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0.68 [-0.34,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0.82 [-0.19, 1.84]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0.58 [-1.02, 1.89]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3.25 [-0.29, 5.38]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4.56 [-0.00, 7.51]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13.67 [8.77, 18.61]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-4.41 [-7.03, -0.97]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0.68 [-0.34,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0.82 [-0.19, 1.84]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0.58 [-1.02, 1.89]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Table S7. XGBoost minus direct grade; assumed missed-hazard cost r=20,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880"/>
        <w:gridCol w:w="6768"/>
      </w:tblGrid>
      <w:tr>
        <w:trPr>
          <w:cantSplit/>
          <w:tblHeader/>
        </w:trPr>
        <w:tc>
          <w:tcPr>
            <w:tcW w:type="dxa" w:w="144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Block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Grade field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type="dxa" w:w="6768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ML minus grade loss / 100 [95% CI]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12.79 [-4.07, 37.40]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13.18 [-3.49, 37.98]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13.37 [-3.49, 38.37]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7.17 [-3.29, 22.49]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-14.92 [-27.71, 1.55]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11.24 [-5.43, 35.47]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12.79 [-4.07, 37.40]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13.37 [-3.49, 38.37]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10.47 [-3.49, 31.40]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-4.07 [-15.12,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-14.92 [-27.71, 1.55]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-0.78 [-10.08, 4.84]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-4.07 [-15.12,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-14.92 [-27.71, 1.55]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-0.78 [-10.08, 4.84]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5.44 [-18.07, 32.24]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20.58 [0.97, 49.32]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12.23 [-3.88, 27.38]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8.93 [-7.97, 19.03]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24.08 [12.23, 37.67]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9.71 [-9.32, 22.52]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24.85 [9.13, 43.50]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-13.76 [-30.43, -2.13]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-14.73 [-34.30, -1.35]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-11.82 [-33.53, 8.91]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-13.76 [-30.43, -2.13]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-14.73 [-34.30, -1.35]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-7.75 [-29.46, 12.21]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-3.10 [-26.94, 24.23]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-13.76 [-30.43, -2.13]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-14.73 [-34.30, -1.35]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-7.75 [-29.46, 12.21]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-4.26 [-14.15, 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-11.05 [-32.75,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-11.43 [-32.56,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-9.69 [-33.53,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-13.57 [-32.76, 12.80]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-0.78 [-9.69,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-5.62 [-22.67, 5.81]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-6.78 [-30.43, 11.63]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-13.57 [-32.76, 12.80]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-0.78 [-9.69,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-5.62 [-22.67, 5.81]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-6.78 [-30.43, 11.63]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10.66 [-15.51, 31.98]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-0.78 [-9.69,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-6.01 [-22.68,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4.31 [-0.92, 10.52]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0.34 [-8.58, 8.05]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-1.84 [-12.80, 7.71]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[-8.24, 11.98]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-7.13 [-12.31, 1.07]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2.81 [-1.36, 8.82]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3.01 [-1.70, 9.65]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1.84 [-4.51, 8.97]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1.11 [-4.75, 7.37]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-1.31 [-8.97, 3.98]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-2.42 [-10.66,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1.36 [-7.03, 9.21]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-7.90 [-15.90, 2.76]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0.19 [-1.79,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-0.97 [-5.14, 2.18]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-1.70 [-6.69, 1.84]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-1.11 [-7.46, 3.06]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-2.23 [-10.95, 3.30]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[-7.51, 10.23]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-1.07 [-8.24, 5.72]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0.19 [-1.79,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-0.97 [-5.14, 2.18]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-1.70 [-6.69, 1.84]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Table S8. XGBoost minus direct grade; assumed missed-hazard cost r=50, false-alert cost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880"/>
        <w:gridCol w:w="6768"/>
      </w:tblGrid>
      <w:tr>
        <w:trPr>
          <w:cantSplit/>
          <w:tblHeader/>
        </w:trPr>
        <w:tc>
          <w:tcPr>
            <w:tcW w:type="dxa" w:w="144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Block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Grade field</w:t>
            </w:r>
          </w:p>
        </w:tc>
        <w:tc>
          <w:tcPr>
            <w:tcW w:type="dxa" w:w="2880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type="dxa" w:w="6768"/>
            <w:vAlign w:val="center"/>
            <w:shd w:fill="EDEFF1"/>
          </w:tcPr>
          <w:p>
            <w:pPr>
              <w:keepNext/>
              <w:spacing w:line="245" w:lineRule="auto" w:before="40" w:after="40"/>
              <w:jc w:val="center"/>
            </w:pPr>
            <w:r>
              <w:rPr>
                <w:b/>
                <w:sz w:val="20"/>
              </w:rPr>
              <w:t>ML minus grade loss / 100 [95% CI]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36.05 [-4.07, 95.54]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36.43 [-3.49, 96.12]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36.63 [-3.49, 96.51]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18.80 [-3.49, 57.17]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-3.29 [-24.42, 28.88]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34.50 [-5.43, 93.60]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36.05 [-4.07, 95.54]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36.63 [-3.49, 96.51]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27.91 [-3.49, 77.91]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-15.70 [-44.19,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-3.29 [-24.42, 28.88]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-6.59 [-27.52, 4.84]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1.94 [0.58,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-15.70 [-44.19,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-3.29 [-24.42, 28.88]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[0.39, 3.10]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2.13 [0.78, 4.07]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-6.59 [-27.52, 4.84]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-0.39 [-54.56, 60.40]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-2.72 [-50.29, 58.06]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47.18 [4.66, 91.86]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26.41 [-15.34, 54.57]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24.08 [-4.28, 52.62]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7.18 [3.50, 9.51]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13.01 [7.18, 17.28]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-7.77 [-53.40, 21.75]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-10.10 [-53.79, 34.56]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-48.64 [-88.57, -19.19]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-55.43 [-104.07, -19.18]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-52.52 [-106.21, -3.29]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46.90 [-6.21, 98.85]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13.37 [-6.40, 35.08]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-48.64 [-88.57, -19.19]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-55.43 [-104.07, -19.18]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-65.89 [-120.17, -13.16]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-23.64 [-78.88, 18.22]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1.55 [0.19, 3.68]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-48.64 [-88.57, -19.19]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-55.43 [-104.07, -19.18]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-65.89 [-120.17, -13.16]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46.90 [-6.21, 98.85]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-4.26 [-14.15, 0.97]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-28.49 [-76.76, 3.88]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-34.69 [-82.95, -0.78]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-38.76 [-93.61, -2.13]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5.81 [-14.73, 33.53]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-6.59 [-27.33,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-29.26 [-74.81, 2.52]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-22.67 [-67.66, 7.95]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-23.06 [-69.19, 5.81]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-29.26 [-74.81, 2.52]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-47.48 [-108.14, -1.74]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5.81 [-14.73, 33.53]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-6.59 [-27.33,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-29.26 [-74.81, 2.52]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-31.40 [-87.41, 9.50]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1.16 [0.39, 2.33]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-23.06 [-69.19, 5.81]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-29.26 [-74.81, 2.52]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-47.48 [-108.14, -1.74]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5.81 [-14.73, 33.53]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-6.59 [-27.33, 4.46]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-29.26 [-74.81, 2.52]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-31.40 [-87.41, 9.50]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10.13 [-0.87, 25.11]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-6.93 [-26.32, 12.41]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-13.48 [-38.69, 9.60]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-18.81 [-41.40, 5.19]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12.36 [-2.52, 30.30]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8.63 [-1.36, 23.36]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7.37 [-4.41, 24.24]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1.84 [-13.58, 19.25]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ghazard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4.65 [-10.76, 20.89]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-5.67 [-25.69, 8.00]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-14.06 [-35.15, -1.94]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-26.27 [-48.23, -7.85]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-5.28 [-20.36, 10.08]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-1.26 [-6.16,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-6.79 [-17.70, 0.82]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-9.50 [-24.24, 0.73]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A_b01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2.86 [1.75, 3.69]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A_b05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-14.20 [-29.33, -3.49]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A_b10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-22.59 [-43.92, -8.82]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A_b20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-34.80 [-58.17, -12.99]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B_r50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12.36 [-2.52, 30.30]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C_b01_r50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0.00 [0.00, 0.00]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C_b05_r50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-1.26 [-6.16, 1.65]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C_b10_r50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-6.79 [-17.70, 0.82]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45" w:lineRule="auto" w:before="40" w:after="40"/>
              <w:jc w:val="left"/>
            </w:pPr>
            <w:r>
              <w:rPr>
                <w:b w:val="0"/>
                <w:sz w:val="20"/>
              </w:rPr>
              <w:t>Pooled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seismoacoustic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C_b20_r50</w:t>
            </w:r>
          </w:p>
        </w:tc>
        <w:tc>
          <w:tcPr>
            <w:tcW w:type="dxa" w:w="6768"/>
            <w:vAlign w:val="center"/>
          </w:tcPr>
          <w:p>
            <w:pPr>
              <w:keepNext w:val="0"/>
              <w:spacing w:line="245" w:lineRule="auto" w:before="40" w:after="40"/>
              <w:jc w:val="right"/>
            </w:pPr>
            <w:r>
              <w:rPr>
                <w:b w:val="0"/>
                <w:sz w:val="20"/>
              </w:rPr>
              <w:t>-9.50 [-24.24, 0.73]</w:t>
            </w:r>
          </w:p>
        </w:tc>
      </w:tr>
    </w:tbl>
    <w:p>
      <w:pPr>
        <w:spacing w:after="20"/>
      </w:pPr>
    </w:p>
    <w:sectPr>
      <w:footerReference w:type="default" r:id="rId12"/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  <w:jc w:val="both"/>
    </w:pPr>
    <w:rPr>
      <w:rFonts w:ascii="Times New Roman" w:hAnsi="Times New Roman" w:eastAsia="Times New Roman" w:cs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 w:val="0"/>
      <w:bCs/>
      <w:i w:val="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yperlink" Target="https://github.com/junjie-yang11/seismic-bump-forecasting/blob/manuscript-2026-10-26/reports/overall/integrated_research_report.pdf" TargetMode="External"/><Relationship Id="rId10" Type="http://schemas.openxmlformats.org/officeDocument/2006/relationships/hyperlink" Target="https://github.com/junjie-yang11/seismic-bump-forecasting/blob/manuscript-2026-10-26/phase2/comparators/protocol.json" TargetMode="External"/><Relationship Id="rId11" Type="http://schemas.openxmlformats.org/officeDocument/2006/relationships/hyperlink" Target="https://github.com/junjie-yang11/seismic-bump-forecasting/blob/manuscript-2026-10-26/results/phase2/comparators/README.md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Frozen Warning Decision Comparisons Complete Supplement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