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w:t>
      </w:r>
    </w:p>
    <w:p>
      <w:pPr>
        <w:jc w:val="both"/>
      </w:pPr>
      <w:r>
        <w:t>Mining cold-start research addresses limited local history at new sites [10]; microseismic reviews distinguish waveform detection and location from forecasting [11]. Here, cost-sensitive loss [5] and inspection budgets connect shift forecasts to decisions. We jointly evaluate transferred loss, workload and refitting, with historical audits explaining no-alarm choices. This links the selection rationale to later outcomes on the same test records.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2.1 Decision assumptions and evaluation scope</w:t>
      </w:r>
    </w:p>
    <w:p>
      <w:pPr>
        <w:pStyle w:val="Caption"/>
      </w:pPr>
      <w:r>
        <w:t>Table 2a. Decision assumptions and evaluation scope</w:t>
      </w:r>
    </w:p>
    <w:tbl>
      <w:tblPr>
        <w:tblW w:type="auto" w:w="0"/>
        <w:tblLayout w:type="fixed"/>
        <w:tblLook w:firstColumn="1" w:firstRow="1" w:lastColumn="0" w:lastRow="0" w:noHBand="0" w:noVBand="1" w:val="04A0"/>
        <w:tblBorders>
          <w:top w:val="single" w:sz="4" w:color="AAAAAA"/>
          <w:bottom w:val="single" w:sz="4" w:color="AAAAAA"/>
          <w:insideH w:val="single" w:sz="4" w:color="AAAAAA"/>
        </w:tblBorders>
      </w:tblPr>
      <w:tblGrid>
        <w:gridCol w:w="2088"/>
        <w:gridCol w:w="7171"/>
      </w:tblGrid>
      <w:tr>
        <w:trPr>
          <w:tblHeader/>
          <w:cantSplit/>
        </w:trPr>
        <w:tc>
          <w:tcPr>
            <w:tcW w:type="dxa" w:w="2088"/>
            <w:shd w:fill="EEEEEE"/>
          </w:tcPr>
          <w:p>
            <w:pPr>
              <w:spacing w:after="60" w:before="60" w:line="240" w:lineRule="auto"/>
            </w:pPr>
            <w:r>
              <w:rPr>
                <w:b/>
                <w:sz w:val="18"/>
              </w:rPr>
              <w:t>Item</w:t>
            </w:r>
          </w:p>
        </w:tc>
        <w:tc>
          <w:tcPr>
            <w:tcW w:type="dxa" w:w="7171"/>
            <w:shd w:fill="EEEEEE"/>
          </w:tcPr>
          <w:p>
            <w:pPr>
              <w:spacing w:after="60" w:before="60" w:line="240" w:lineRule="auto"/>
            </w:pPr>
            <w:r>
              <w:rPr>
                <w:b/>
                <w:sz w:val="18"/>
              </w:rPr>
              <w:t>Definition and evaluation scope</w:t>
            </w:r>
          </w:p>
        </w:tc>
      </w:tr>
      <w:tr>
        <w:trPr>
          <w:cantSplit/>
        </w:trPr>
        <w:tc>
          <w:tcPr>
            <w:tcW w:type="dxa" w:w="2088"/>
          </w:tcPr>
          <w:p>
            <w:pPr>
              <w:spacing w:after="60" w:before="60" w:line="240" w:lineRule="auto"/>
            </w:pPr>
            <w:r>
              <w:rPr>
                <w:b w:val="0"/>
                <w:sz w:val="18"/>
              </w:rPr>
              <w:t>Alert object</w:t>
            </w:r>
          </w:p>
        </w:tc>
        <w:tc>
          <w:tcPr>
            <w:tcW w:type="dxa" w:w="7171"/>
          </w:tcPr>
          <w:p>
            <w:pPr>
              <w:spacing w:after="60" w:before="60" w:line="240" w:lineRule="auto"/>
            </w:pPr>
            <w:r>
              <w:rPr>
                <w:b w:val="0"/>
                <w:sz w:val="18"/>
              </w:rPr>
              <w:t>One dataset shift record flagged as hazardous for the next shift; recorded row order is a temporal proxy.</w:t>
            </w:r>
          </w:p>
        </w:tc>
      </w:tr>
      <w:tr>
        <w:trPr>
          <w:cantSplit/>
        </w:trPr>
        <w:tc>
          <w:tcPr>
            <w:tcW w:type="dxa" w:w="2088"/>
          </w:tcPr>
          <w:p>
            <w:pPr>
              <w:spacing w:after="60" w:before="60" w:line="240" w:lineRule="auto"/>
            </w:pPr>
            <w:r>
              <w:rPr>
                <w:b w:val="0"/>
                <w:sz w:val="18"/>
              </w:rPr>
              <w:t>Capacity unit</w:t>
            </w:r>
          </w:p>
        </w:tc>
        <w:tc>
          <w:tcPr>
            <w:tcW w:type="dxa" w:w="7171"/>
          </w:tcPr>
          <w:p>
            <w:pPr>
              <w:spacing w:after="60" w:before="60" w:line="240" w:lineRule="auto"/>
            </w:pPr>
            <w:r>
              <w:rPr>
                <w:b w:val="0"/>
                <w:sz w:val="18"/>
              </w:rPr>
              <w:t>One flagged record represents one assumed inspection slot. Historical slots are floor(B Nref); later slots are floor(B Ntest), separately for each block. Inspection duration and staffing are not measured.</w:t>
            </w:r>
          </w:p>
        </w:tc>
      </w:tr>
      <w:tr>
        <w:trPr>
          <w:cantSplit/>
        </w:trPr>
        <w:tc>
          <w:tcPr>
            <w:tcW w:type="dxa" w:w="2088"/>
          </w:tcPr>
          <w:p>
            <w:pPr>
              <w:spacing w:after="60" w:before="60" w:line="240" w:lineRule="auto"/>
            </w:pPr>
            <w:r>
              <w:rPr>
                <w:b w:val="0"/>
                <w:sz w:val="18"/>
              </w:rPr>
              <w:t>TP / FP / FN</w:t>
            </w:r>
          </w:p>
        </w:tc>
        <w:tc>
          <w:tcPr>
            <w:tcW w:type="dxa" w:w="7171"/>
          </w:tcPr>
          <w:p>
            <w:pPr>
              <w:spacing w:after="60" w:before="60" w:line="240" w:lineRule="auto"/>
            </w:pPr>
            <w:r>
              <w:rPr>
                <w:b w:val="0"/>
                <w:sz w:val="18"/>
              </w:rPr>
              <w:t>TP: flagged hazardous shift. FP: flagged non-hazardous shift. FN: unflagged hazardous shift. TP counts label coverage, not confirmed inspections or avoided accidents.</w:t>
            </w:r>
          </w:p>
        </w:tc>
      </w:tr>
      <w:tr>
        <w:trPr>
          <w:cantSplit/>
        </w:trPr>
        <w:tc>
          <w:tcPr>
            <w:tcW w:type="dxa" w:w="2088"/>
          </w:tcPr>
          <w:p>
            <w:pPr>
              <w:spacing w:after="60" w:before="60" w:line="240" w:lineRule="auto"/>
            </w:pPr>
            <w:r>
              <w:rPr>
                <w:b w:val="0"/>
                <w:sz w:val="18"/>
              </w:rPr>
              <w:t>Relative loss</w:t>
            </w:r>
          </w:p>
        </w:tc>
        <w:tc>
          <w:tcPr>
            <w:tcW w:type="dxa" w:w="7171"/>
          </w:tcPr>
          <w:p>
            <w:pPr>
              <w:spacing w:after="60" w:before="60" w:line="240" w:lineRule="auto"/>
            </w:pPr>
            <w:r>
              <w:rPr>
                <w:b w:val="0"/>
                <w:sz w:val="18"/>
              </w:rPr>
              <w:t>L = r FN + FP assigns missed hazardous shifts cost r and false alerts cost 1. It includes no separate TP inspection cost, accident-severity cost, delay cost or monetary estimate.</w:t>
            </w:r>
          </w:p>
        </w:tc>
      </w:tr>
      <w:tr>
        <w:trPr>
          <w:cantSplit/>
        </w:trPr>
        <w:tc>
          <w:tcPr>
            <w:tcW w:type="dxa" w:w="2088"/>
          </w:tcPr>
          <w:p>
            <w:pPr>
              <w:spacing w:after="60" w:before="60" w:line="240" w:lineRule="auto"/>
            </w:pPr>
            <w:r>
              <w:rPr>
                <w:b w:val="0"/>
                <w:sz w:val="18"/>
              </w:rPr>
              <w:t>Excess alerts</w:t>
            </w:r>
          </w:p>
        </w:tc>
        <w:tc>
          <w:tcPr>
            <w:tcW w:type="dxa" w:w="7171"/>
          </w:tcPr>
          <w:p>
            <w:pPr>
              <w:spacing w:after="60" w:before="60" w:line="240" w:lineRule="auto"/>
            </w:pPr>
            <w:r>
              <w:rPr>
                <w:b w:val="0"/>
                <w:sz w:val="18"/>
              </w:rPr>
              <w:t>Excess = max(0, Alerts − floor(B Ntest)). All score-based alerts remain in TP/FP/FN and loss. Excess is recorded as demand; alerts are not truncated, queued or assigned an additional loss penalty.</w:t>
            </w:r>
          </w:p>
        </w:tc>
      </w:tr>
      <w:tr>
        <w:trPr>
          <w:cantSplit/>
        </w:trPr>
        <w:tc>
          <w:tcPr>
            <w:tcW w:type="dxa" w:w="2088"/>
          </w:tcPr>
          <w:p>
            <w:pPr>
              <w:spacing w:after="60" w:before="60" w:line="240" w:lineRule="auto"/>
            </w:pPr>
            <w:r>
              <w:rPr>
                <w:b w:val="0"/>
                <w:sz w:val="18"/>
              </w:rPr>
              <w:t>Pooled accounting</w:t>
            </w:r>
          </w:p>
        </w:tc>
        <w:tc>
          <w:tcPr>
            <w:tcW w:type="dxa" w:w="7171"/>
          </w:tcPr>
          <w:p>
            <w:pPr>
              <w:spacing w:after="60" w:before="60" w:line="240" w:lineRule="auto"/>
            </w:pPr>
            <w:r>
              <w:rPr>
                <w:b w:val="0"/>
                <w:sz w:val="18"/>
              </w:rPr>
              <w:t>Sum counts, slots and excess over the four later blocks; divide total loss by total records to obtain loss per 100. Spare slots in one block do not offset excess in another.</w:t>
            </w:r>
          </w:p>
        </w:tc>
      </w:tr>
      <w:tr>
        <w:trPr>
          <w:cantSplit/>
        </w:trPr>
        <w:tc>
          <w:tcPr>
            <w:tcW w:type="dxa" w:w="2088"/>
          </w:tcPr>
          <w:p>
            <w:pPr>
              <w:spacing w:after="60" w:before="60" w:line="240" w:lineRule="auto"/>
            </w:pPr>
            <w:r>
              <w:rPr>
                <w:b w:val="0"/>
                <w:sz w:val="18"/>
              </w:rPr>
              <w:t>Operational evidence</w:t>
            </w:r>
          </w:p>
        </w:tc>
        <w:tc>
          <w:tcPr>
            <w:tcW w:type="dxa" w:w="7171"/>
          </w:tcPr>
          <w:p>
            <w:pPr>
              <w:spacing w:after="60" w:before="60" w:line="240" w:lineRule="auto"/>
            </w:pPr>
            <w:r>
              <w:rPr>
                <w:b w:val="0"/>
                <w:sz w:val="18"/>
              </w:rPr>
              <w:t>Actual inspection execution and accident prevention are not observed. Capacity and relative costs are explicit hypothetical decision settings.</w:t>
            </w:r>
          </w:p>
        </w:tc>
      </w:tr>
    </w:tbl>
    <w:p>
      <w:pPr>
        <w:jc w:val="both"/>
      </w:pPr>
      <w:r>
        <w:t>These assumptions define how frozen warning rules create inspection demand. The evaluation connects hazardous-shift coverage to relative loss and workload; excess demand remains in the alert counts. Detections count hazardous shifts flagged, while dispatch, queueing and safety interventions are outside the evaluated process.</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lower inspection demand.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The decision-value comparison explains why lower workload alone is insufficient.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