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Ranking Within Hazard Grades at Fixed Inspection Capacity: A Retrospective Pilot</w:t>
      </w:r>
    </w:p>
    <w:p>
      <w:pPr>
        <w:jc w:val="center"/>
      </w:pPr>
      <w:r>
        <w:t>Junjie Yang</w:t>
      </w:r>
    </w:p>
    <w:p>
      <w:pPr>
        <w:pStyle w:val="Heading1"/>
      </w:pPr>
      <w:r>
        <w:t>Research question and result</w:t>
      </w:r>
    </w:p>
    <w:p>
      <w:r>
        <w:t>Can complete-model scores identify additional hazardous records within the same seismic grade and inspection allocation? This exploratory pilot uses saved fixed XGBoost scores on the existing four test blocks. It compares grade-priority ranking by model score with uniform random selection at exactly the same total and grade-specific allocations. Global model ranking is a separate auxiliary comparison.</w:t>
      </w:r>
    </w:p>
    <w:p>
      <w:r>
        <w:t>At the 20% budget, grade-first ML detects 32 hazardous records with 412 alerts, versus an analytic random expectation of 28.08 detections. The increment is 3.92 [-2.05, 9.86] records. The pooled intervals at all four budgets contain zero. Positive point increments at 5%, 10% and 20% do not resolve the direction of within-grade benefit under this conditional analysis. No grade, budget, model or seed is selected from these results.</w:t>
      </w:r>
    </w:p>
    <w:p>
      <w:pPr>
        <w:pStyle w:val="Heading1"/>
      </w:pPr>
      <w:r>
        <w:t>Data and fixed analysis protocol</w:t>
      </w:r>
    </w:p>
    <w:p>
      <w:r>
        <w:t>The audited UCI mirror supplies seismic grades for 2,063 existing test records and 88 hazardous-shift labels. The observed primary field has a and b only. Higher grade receives priority. Within each grade, the full XGBoost score supplies the model ranking; seeded label-independent keys break score ties. The same keys are used for global model ranking. The full scores also use two other hazard grades, monitoring variables and shift type, so any increment is not an isolated sensor effect.</w:t>
      </w:r>
    </w:p>
    <w:p>
      <w:r>
        <w:t>The separate protocol was saved before these calculations, after previous results had been inspected. It fixes seismic, the four original record blocks, budgets 1%, 5%, 10% and 20%, and the saved fixed-model scores. No model is trained, retuned or selected. The earlier Stage 2 whole-tie threshold rules remain unchanged; this pilot instead permits a grade group to be split to fill a hypothetical batch allocation.</w:t>
      </w:r>
    </w:p>
    <w:p>
      <w:r>
        <w:t>For each record block, K=floor(B*N). Grade-random and grade-first ML receive identical k_g allocations, with E[TP_random]=sum_g k_g*P_g/N_g. Each expectation is calculated analytically rather than from one random draw. The saved hypergeometric allocation distribution describes random choice on this fixed queue; its spread is distinct from the block-bootstrap uncertainty interval.</w:t>
      </w:r>
    </w:p>
    <w:p>
      <w:r>
        <w:t>The block analysis uses 2,000 paired moving-block draws of length 32 within blocks. Every sampled queue is reallocated and reranked using frozen scores and the original label-independent tie keys, including duplicate copies. The random expectation is recomputed for each queue. Zero-positive draws are retained. Pooled results sum block-specific allocations and detections; they never rank scores across separately fitted record block models. Intervals are unadjusted and exclude model-fitting and selection uncertainty.</w:t>
      </w:r>
    </w:p>
    <w:p>
      <w:pPr>
        <w:pStyle w:val="Heading1"/>
      </w:pPr>
      <w:r>
        <w:t>Record block results and pooled comparison</w:t>
      </w:r>
    </w:p>
    <w:p>
      <w:pPr>
        <w:pStyle w:val="Caption"/>
        <w:keepNext/>
      </w:pPr>
      <w:r>
        <w:t>Table 1. Extra detections from grade-first ML relative to analytic grade-random expectation. Brackets are conditional 95% block intervals.</w:t>
      </w:r>
    </w:p>
    <w:tbl>
      <w:tblPr>
        <w:tblStyle w:val="TableGrid"/>
        <w:tblW w:type="auto" w:w="0"/>
        <w:jc w:val="center"/>
        <w:tblLayout w:type="fixed"/>
        <w:tblLook w:firstColumn="1" w:firstRow="1" w:lastColumn="0" w:lastRow="0" w:noHBand="0" w:noVBand="1" w:val="04A0"/>
      </w:tblPr>
      <w:tblGrid>
        <w:gridCol w:w="792"/>
        <w:gridCol w:w="936"/>
        <w:gridCol w:w="648"/>
        <w:gridCol w:w="1440"/>
        <w:gridCol w:w="1440"/>
        <w:gridCol w:w="3960"/>
      </w:tblGrid>
      <w:tr>
        <w:trPr>
          <w:cantSplit/>
          <w:tblHeader/>
        </w:trPr>
        <w:tc>
          <w:tcPr>
            <w:tcW w:type="dxa" w:w="792"/>
            <w:vAlign w:val="center"/>
            <w:shd w:fill="EDEFF1"/>
          </w:tcPr>
          <w:p>
            <w:pPr>
              <w:keepNext/>
              <w:spacing w:line="245" w:lineRule="auto" w:before="60" w:after="60"/>
              <w:jc w:val="center"/>
            </w:pPr>
            <w:r>
              <w:rPr>
                <w:b/>
                <w:sz w:val="20"/>
              </w:rPr>
              <w:t>Block</w:t>
            </w:r>
          </w:p>
        </w:tc>
        <w:tc>
          <w:tcPr>
            <w:tcW w:type="dxa" w:w="936"/>
            <w:vAlign w:val="center"/>
            <w:shd w:fill="EDEFF1"/>
          </w:tcPr>
          <w:p>
            <w:pPr>
              <w:keepNext/>
              <w:spacing w:line="245" w:lineRule="auto" w:before="60" w:after="60"/>
              <w:jc w:val="center"/>
            </w:pPr>
            <w:r>
              <w:rPr>
                <w:b/>
                <w:sz w:val="20"/>
              </w:rPr>
              <w:t>Budget</w:t>
            </w:r>
          </w:p>
        </w:tc>
        <w:tc>
          <w:tcPr>
            <w:tcW w:type="dxa" w:w="648"/>
            <w:vAlign w:val="center"/>
            <w:shd w:fill="EDEFF1"/>
          </w:tcPr>
          <w:p>
            <w:pPr>
              <w:keepNext/>
              <w:spacing w:line="245" w:lineRule="auto" w:before="60" w:after="60"/>
              <w:jc w:val="center"/>
            </w:pPr>
            <w:r>
              <w:rPr>
                <w:b/>
                <w:sz w:val="20"/>
              </w:rPr>
              <w:t>K</w:t>
            </w:r>
          </w:p>
        </w:tc>
        <w:tc>
          <w:tcPr>
            <w:tcW w:type="dxa" w:w="1440"/>
            <w:vAlign w:val="center"/>
            <w:shd w:fill="EDEFF1"/>
          </w:tcPr>
          <w:p>
            <w:pPr>
              <w:keepNext/>
              <w:spacing w:line="245" w:lineRule="auto" w:before="60" w:after="60"/>
              <w:jc w:val="center"/>
            </w:pPr>
            <w:r>
              <w:rPr>
                <w:b/>
                <w:sz w:val="20"/>
              </w:rPr>
              <w:t>Random E(TP)</w:t>
            </w:r>
          </w:p>
        </w:tc>
        <w:tc>
          <w:tcPr>
            <w:tcW w:type="dxa" w:w="1440"/>
            <w:vAlign w:val="center"/>
            <w:shd w:fill="EDEFF1"/>
          </w:tcPr>
          <w:p>
            <w:pPr>
              <w:keepNext/>
              <w:spacing w:line="245" w:lineRule="auto" w:before="60" w:after="60"/>
              <w:jc w:val="center"/>
            </w:pPr>
            <w:r>
              <w:rPr>
                <w:b/>
                <w:sz w:val="20"/>
              </w:rPr>
              <w:t>Grade+ML TP</w:t>
            </w:r>
          </w:p>
        </w:tc>
        <w:tc>
          <w:tcPr>
            <w:tcW w:type="dxa" w:w="3960"/>
            <w:vAlign w:val="center"/>
            <w:shd w:fill="EDEFF1"/>
          </w:tcPr>
          <w:p>
            <w:pPr>
              <w:keepNext/>
              <w:spacing w:line="245" w:lineRule="auto" w:before="60" w:after="60"/>
              <w:jc w:val="center"/>
            </w:pPr>
            <w:r>
              <w:rPr>
                <w:b/>
                <w:sz w:val="20"/>
              </w:rPr>
              <w:t>Extra TP [95%]</w:t>
            </w:r>
          </w:p>
        </w:tc>
      </w:tr>
      <w:tr>
        <w:trPr>
          <w:cantSplit/>
        </w:trPr>
        <w:tc>
          <w:tcPr>
            <w:tcW w:type="dxa" w:w="792"/>
            <w:vAlign w:val="center"/>
          </w:tcPr>
          <w:p>
            <w:pPr>
              <w:keepNext/>
              <w:spacing w:line="245" w:lineRule="auto" w:before="60" w:after="60"/>
              <w:jc w:val="left"/>
            </w:pPr>
            <w:r>
              <w:rPr>
                <w:b w:val="0"/>
                <w:sz w:val="20"/>
              </w:rPr>
              <w:t>1</w:t>
            </w:r>
          </w:p>
        </w:tc>
        <w:tc>
          <w:tcPr>
            <w:tcW w:type="dxa" w:w="936"/>
            <w:vAlign w:val="center"/>
          </w:tcPr>
          <w:p>
            <w:pPr>
              <w:keepNext/>
              <w:spacing w:line="245" w:lineRule="auto" w:before="60" w:after="60"/>
              <w:jc w:val="right"/>
            </w:pPr>
            <w:r>
              <w:rPr>
                <w:b w:val="0"/>
                <w:sz w:val="20"/>
              </w:rPr>
              <w:t>1%</w:t>
            </w:r>
          </w:p>
        </w:tc>
        <w:tc>
          <w:tcPr>
            <w:tcW w:type="dxa" w:w="648"/>
            <w:vAlign w:val="center"/>
          </w:tcPr>
          <w:p>
            <w:pPr>
              <w:keepNext/>
              <w:spacing w:line="245" w:lineRule="auto" w:before="60" w:after="60"/>
              <w:jc w:val="right"/>
            </w:pPr>
            <w:r>
              <w:rPr>
                <w:b w:val="0"/>
                <w:sz w:val="20"/>
              </w:rPr>
              <w:t>5</w:t>
            </w:r>
          </w:p>
        </w:tc>
        <w:tc>
          <w:tcPr>
            <w:tcW w:type="dxa" w:w="1440"/>
            <w:vAlign w:val="center"/>
          </w:tcPr>
          <w:p>
            <w:pPr>
              <w:keepNext/>
              <w:spacing w:line="245" w:lineRule="auto" w:before="60" w:after="60"/>
              <w:jc w:val="right"/>
            </w:pPr>
            <w:r>
              <w:rPr>
                <w:b w:val="0"/>
                <w:sz w:val="20"/>
              </w:rPr>
              <w:t>0.87</w:t>
            </w:r>
          </w:p>
        </w:tc>
        <w:tc>
          <w:tcPr>
            <w:tcW w:type="dxa" w:w="1440"/>
            <w:vAlign w:val="center"/>
          </w:tcPr>
          <w:p>
            <w:pPr>
              <w:keepNext/>
              <w:spacing w:line="245" w:lineRule="auto" w:before="60" w:after="60"/>
              <w:jc w:val="right"/>
            </w:pPr>
            <w:r>
              <w:rPr>
                <w:b w:val="0"/>
                <w:sz w:val="20"/>
              </w:rPr>
              <w:t>0</w:t>
            </w:r>
          </w:p>
        </w:tc>
        <w:tc>
          <w:tcPr>
            <w:tcW w:type="dxa" w:w="3960"/>
            <w:vAlign w:val="center"/>
          </w:tcPr>
          <w:p>
            <w:pPr>
              <w:keepNext/>
              <w:spacing w:line="245" w:lineRule="auto" w:before="60" w:after="60"/>
              <w:jc w:val="right"/>
            </w:pPr>
            <w:r>
              <w:rPr>
                <w:b w:val="0"/>
                <w:sz w:val="20"/>
              </w:rPr>
              <w:t>-0.87 [-1.39, 0.34]</w:t>
            </w:r>
          </w:p>
        </w:tc>
      </w:tr>
      <w:tr>
        <w:trPr>
          <w:cantSplit/>
        </w:trPr>
        <w:tc>
          <w:tcPr>
            <w:tcW w:type="dxa" w:w="792"/>
            <w:vAlign w:val="center"/>
          </w:tcPr>
          <w:p>
            <w:pPr>
              <w:keepNext/>
              <w:spacing w:line="245" w:lineRule="auto" w:before="60" w:after="60"/>
              <w:jc w:val="left"/>
            </w:pPr>
            <w:r>
              <w:rPr>
                <w:b w:val="0"/>
                <w:sz w:val="20"/>
              </w:rPr>
              <w:t>1</w:t>
            </w:r>
          </w:p>
        </w:tc>
        <w:tc>
          <w:tcPr>
            <w:tcW w:type="dxa" w:w="936"/>
            <w:vAlign w:val="center"/>
          </w:tcPr>
          <w:p>
            <w:pPr>
              <w:keepNext/>
              <w:spacing w:line="245" w:lineRule="auto" w:before="60" w:after="60"/>
              <w:jc w:val="right"/>
            </w:pPr>
            <w:r>
              <w:rPr>
                <w:b w:val="0"/>
                <w:sz w:val="20"/>
              </w:rPr>
              <w:t>5%</w:t>
            </w:r>
          </w:p>
        </w:tc>
        <w:tc>
          <w:tcPr>
            <w:tcW w:type="dxa" w:w="648"/>
            <w:vAlign w:val="center"/>
          </w:tcPr>
          <w:p>
            <w:pPr>
              <w:keepNext/>
              <w:spacing w:line="245" w:lineRule="auto" w:before="60" w:after="60"/>
              <w:jc w:val="right"/>
            </w:pPr>
            <w:r>
              <w:rPr>
                <w:b w:val="0"/>
                <w:sz w:val="20"/>
              </w:rPr>
              <w:t>25</w:t>
            </w:r>
          </w:p>
        </w:tc>
        <w:tc>
          <w:tcPr>
            <w:tcW w:type="dxa" w:w="1440"/>
            <w:vAlign w:val="center"/>
          </w:tcPr>
          <w:p>
            <w:pPr>
              <w:keepNext/>
              <w:spacing w:line="245" w:lineRule="auto" w:before="60" w:after="60"/>
              <w:jc w:val="right"/>
            </w:pPr>
            <w:r>
              <w:rPr>
                <w:b w:val="0"/>
                <w:sz w:val="20"/>
              </w:rPr>
              <w:t>4.36</w:t>
            </w:r>
          </w:p>
        </w:tc>
        <w:tc>
          <w:tcPr>
            <w:tcW w:type="dxa" w:w="1440"/>
            <w:vAlign w:val="center"/>
          </w:tcPr>
          <w:p>
            <w:pPr>
              <w:keepNext/>
              <w:spacing w:line="245" w:lineRule="auto" w:before="60" w:after="60"/>
              <w:jc w:val="right"/>
            </w:pPr>
            <w:r>
              <w:rPr>
                <w:b w:val="0"/>
                <w:sz w:val="20"/>
              </w:rPr>
              <w:t>5</w:t>
            </w:r>
          </w:p>
        </w:tc>
        <w:tc>
          <w:tcPr>
            <w:tcW w:type="dxa" w:w="3960"/>
            <w:vAlign w:val="center"/>
          </w:tcPr>
          <w:p>
            <w:pPr>
              <w:keepNext/>
              <w:spacing w:line="245" w:lineRule="auto" w:before="60" w:after="60"/>
              <w:jc w:val="right"/>
            </w:pPr>
            <w:r>
              <w:rPr>
                <w:b w:val="0"/>
                <w:sz w:val="20"/>
              </w:rPr>
              <w:t>0.64 [-3.71, 2.99]</w:t>
            </w:r>
          </w:p>
        </w:tc>
      </w:tr>
      <w:tr>
        <w:trPr>
          <w:cantSplit/>
        </w:trPr>
        <w:tc>
          <w:tcPr>
            <w:tcW w:type="dxa" w:w="792"/>
            <w:vAlign w:val="center"/>
          </w:tcPr>
          <w:p>
            <w:pPr>
              <w:keepNext/>
              <w:spacing w:line="245" w:lineRule="auto" w:before="60" w:after="60"/>
              <w:jc w:val="left"/>
            </w:pPr>
            <w:r>
              <w:rPr>
                <w:b w:val="0"/>
                <w:sz w:val="20"/>
              </w:rPr>
              <w:t>1</w:t>
            </w:r>
          </w:p>
        </w:tc>
        <w:tc>
          <w:tcPr>
            <w:tcW w:type="dxa" w:w="936"/>
            <w:vAlign w:val="center"/>
          </w:tcPr>
          <w:p>
            <w:pPr>
              <w:keepNext/>
              <w:spacing w:line="245" w:lineRule="auto" w:before="60" w:after="60"/>
              <w:jc w:val="right"/>
            </w:pPr>
            <w:r>
              <w:rPr>
                <w:b w:val="0"/>
                <w:sz w:val="20"/>
              </w:rPr>
              <w:t>10%</w:t>
            </w:r>
          </w:p>
        </w:tc>
        <w:tc>
          <w:tcPr>
            <w:tcW w:type="dxa" w:w="648"/>
            <w:vAlign w:val="center"/>
          </w:tcPr>
          <w:p>
            <w:pPr>
              <w:keepNext/>
              <w:spacing w:line="245" w:lineRule="auto" w:before="60" w:after="60"/>
              <w:jc w:val="right"/>
            </w:pPr>
            <w:r>
              <w:rPr>
                <w:b w:val="0"/>
                <w:sz w:val="20"/>
              </w:rPr>
              <w:t>51</w:t>
            </w:r>
          </w:p>
        </w:tc>
        <w:tc>
          <w:tcPr>
            <w:tcW w:type="dxa" w:w="1440"/>
            <w:vAlign w:val="center"/>
          </w:tcPr>
          <w:p>
            <w:pPr>
              <w:keepNext/>
              <w:spacing w:line="245" w:lineRule="auto" w:before="60" w:after="60"/>
              <w:jc w:val="right"/>
            </w:pPr>
            <w:r>
              <w:rPr>
                <w:b w:val="0"/>
                <w:sz w:val="20"/>
              </w:rPr>
              <w:t>8.90</w:t>
            </w:r>
          </w:p>
        </w:tc>
        <w:tc>
          <w:tcPr>
            <w:tcW w:type="dxa" w:w="1440"/>
            <w:vAlign w:val="center"/>
          </w:tcPr>
          <w:p>
            <w:pPr>
              <w:keepNext/>
              <w:spacing w:line="245" w:lineRule="auto" w:before="60" w:after="60"/>
              <w:jc w:val="right"/>
            </w:pPr>
            <w:r>
              <w:rPr>
                <w:b w:val="0"/>
                <w:sz w:val="20"/>
              </w:rPr>
              <w:t>11</w:t>
            </w:r>
          </w:p>
        </w:tc>
        <w:tc>
          <w:tcPr>
            <w:tcW w:type="dxa" w:w="3960"/>
            <w:vAlign w:val="center"/>
          </w:tcPr>
          <w:p>
            <w:pPr>
              <w:keepNext/>
              <w:spacing w:line="245" w:lineRule="auto" w:before="60" w:after="60"/>
              <w:jc w:val="right"/>
            </w:pPr>
            <w:r>
              <w:rPr>
                <w:b w:val="0"/>
                <w:sz w:val="20"/>
              </w:rPr>
              <w:t>2.10 [-3.87, 4.43]</w:t>
            </w:r>
          </w:p>
        </w:tc>
      </w:tr>
      <w:tr>
        <w:trPr>
          <w:cantSplit/>
        </w:trPr>
        <w:tc>
          <w:tcPr>
            <w:tcW w:type="dxa" w:w="792"/>
            <w:vAlign w:val="center"/>
          </w:tcPr>
          <w:p>
            <w:pPr>
              <w:keepNext/>
              <w:spacing w:line="245" w:lineRule="auto" w:before="60" w:after="60"/>
              <w:jc w:val="left"/>
            </w:pPr>
            <w:r>
              <w:rPr>
                <w:b w:val="0"/>
                <w:sz w:val="20"/>
              </w:rPr>
              <w:t>1</w:t>
            </w:r>
          </w:p>
        </w:tc>
        <w:tc>
          <w:tcPr>
            <w:tcW w:type="dxa" w:w="936"/>
            <w:vAlign w:val="center"/>
          </w:tcPr>
          <w:p>
            <w:pPr>
              <w:keepNext/>
              <w:spacing w:line="245" w:lineRule="auto" w:before="60" w:after="60"/>
              <w:jc w:val="right"/>
            </w:pPr>
            <w:r>
              <w:rPr>
                <w:b w:val="0"/>
                <w:sz w:val="20"/>
              </w:rPr>
              <w:t>20%</w:t>
            </w:r>
          </w:p>
        </w:tc>
        <w:tc>
          <w:tcPr>
            <w:tcW w:type="dxa" w:w="648"/>
            <w:vAlign w:val="center"/>
          </w:tcPr>
          <w:p>
            <w:pPr>
              <w:keepNext/>
              <w:spacing w:line="245" w:lineRule="auto" w:before="60" w:after="60"/>
              <w:jc w:val="right"/>
            </w:pPr>
            <w:r>
              <w:rPr>
                <w:b w:val="0"/>
                <w:sz w:val="20"/>
              </w:rPr>
              <w:t>103</w:t>
            </w:r>
          </w:p>
        </w:tc>
        <w:tc>
          <w:tcPr>
            <w:tcW w:type="dxa" w:w="1440"/>
            <w:vAlign w:val="center"/>
          </w:tcPr>
          <w:p>
            <w:pPr>
              <w:keepNext/>
              <w:spacing w:line="245" w:lineRule="auto" w:before="60" w:after="60"/>
              <w:jc w:val="right"/>
            </w:pPr>
            <w:r>
              <w:rPr>
                <w:b w:val="0"/>
                <w:sz w:val="20"/>
              </w:rPr>
              <w:t>15.83</w:t>
            </w:r>
          </w:p>
        </w:tc>
        <w:tc>
          <w:tcPr>
            <w:tcW w:type="dxa" w:w="1440"/>
            <w:vAlign w:val="center"/>
          </w:tcPr>
          <w:p>
            <w:pPr>
              <w:keepNext/>
              <w:spacing w:line="245" w:lineRule="auto" w:before="60" w:after="60"/>
              <w:jc w:val="right"/>
            </w:pPr>
            <w:r>
              <w:rPr>
                <w:b w:val="0"/>
                <w:sz w:val="20"/>
              </w:rPr>
              <w:t>17</w:t>
            </w:r>
          </w:p>
        </w:tc>
        <w:tc>
          <w:tcPr>
            <w:tcW w:type="dxa" w:w="3960"/>
            <w:vAlign w:val="center"/>
          </w:tcPr>
          <w:p>
            <w:pPr>
              <w:keepNext/>
              <w:spacing w:line="245" w:lineRule="auto" w:before="60" w:after="60"/>
              <w:jc w:val="right"/>
            </w:pPr>
            <w:r>
              <w:rPr>
                <w:b w:val="0"/>
                <w:sz w:val="20"/>
              </w:rPr>
              <w:t>1.17 [-0.70, 5.68]</w:t>
            </w:r>
          </w:p>
        </w:tc>
      </w:tr>
      <w:tr>
        <w:trPr>
          <w:cantSplit/>
        </w:trPr>
        <w:tc>
          <w:tcPr>
            <w:tcW w:type="dxa" w:w="792"/>
            <w:vAlign w:val="center"/>
          </w:tcPr>
          <w:p>
            <w:pPr>
              <w:keepNext/>
              <w:spacing w:line="245" w:lineRule="auto" w:before="60" w:after="60"/>
              <w:jc w:val="left"/>
            </w:pPr>
            <w:r>
              <w:rPr>
                <w:b w:val="0"/>
                <w:sz w:val="20"/>
              </w:rPr>
              <w:t>2</w:t>
            </w:r>
          </w:p>
        </w:tc>
        <w:tc>
          <w:tcPr>
            <w:tcW w:type="dxa" w:w="936"/>
            <w:vAlign w:val="center"/>
          </w:tcPr>
          <w:p>
            <w:pPr>
              <w:keepNext/>
              <w:spacing w:line="245" w:lineRule="auto" w:before="60" w:after="60"/>
              <w:jc w:val="right"/>
            </w:pPr>
            <w:r>
              <w:rPr>
                <w:b w:val="0"/>
                <w:sz w:val="20"/>
              </w:rPr>
              <w:t>1%</w:t>
            </w:r>
          </w:p>
        </w:tc>
        <w:tc>
          <w:tcPr>
            <w:tcW w:type="dxa" w:w="648"/>
            <w:vAlign w:val="center"/>
          </w:tcPr>
          <w:p>
            <w:pPr>
              <w:keepNext/>
              <w:spacing w:line="245" w:lineRule="auto" w:before="60" w:after="60"/>
              <w:jc w:val="right"/>
            </w:pPr>
            <w:r>
              <w:rPr>
                <w:b w:val="0"/>
                <w:sz w:val="20"/>
              </w:rPr>
              <w:t>5</w:t>
            </w:r>
          </w:p>
        </w:tc>
        <w:tc>
          <w:tcPr>
            <w:tcW w:type="dxa" w:w="1440"/>
            <w:vAlign w:val="center"/>
          </w:tcPr>
          <w:p>
            <w:pPr>
              <w:keepNext/>
              <w:spacing w:line="245" w:lineRule="auto" w:before="60" w:after="60"/>
              <w:jc w:val="right"/>
            </w:pPr>
            <w:r>
              <w:rPr>
                <w:b w:val="0"/>
                <w:sz w:val="20"/>
              </w:rPr>
              <w:t>0.23</w:t>
            </w:r>
          </w:p>
        </w:tc>
        <w:tc>
          <w:tcPr>
            <w:tcW w:type="dxa" w:w="1440"/>
            <w:vAlign w:val="center"/>
          </w:tcPr>
          <w:p>
            <w:pPr>
              <w:keepNext/>
              <w:spacing w:line="245" w:lineRule="auto" w:before="60" w:after="60"/>
              <w:jc w:val="right"/>
            </w:pPr>
            <w:r>
              <w:rPr>
                <w:b w:val="0"/>
                <w:sz w:val="20"/>
              </w:rPr>
              <w:t>0</w:t>
            </w:r>
          </w:p>
        </w:tc>
        <w:tc>
          <w:tcPr>
            <w:tcW w:type="dxa" w:w="3960"/>
            <w:vAlign w:val="center"/>
          </w:tcPr>
          <w:p>
            <w:pPr>
              <w:keepNext/>
              <w:spacing w:line="245" w:lineRule="auto" w:before="60" w:after="60"/>
              <w:jc w:val="right"/>
            </w:pPr>
            <w:r>
              <w:rPr>
                <w:b w:val="0"/>
                <w:sz w:val="20"/>
              </w:rPr>
              <w:t>-0.23 [-0.40, -0.07]</w:t>
            </w:r>
          </w:p>
        </w:tc>
      </w:tr>
      <w:tr>
        <w:trPr>
          <w:cantSplit/>
        </w:trPr>
        <w:tc>
          <w:tcPr>
            <w:tcW w:type="dxa" w:w="792"/>
            <w:vAlign w:val="center"/>
          </w:tcPr>
          <w:p>
            <w:pPr>
              <w:keepNext/>
              <w:spacing w:line="245" w:lineRule="auto" w:before="60" w:after="60"/>
              <w:jc w:val="left"/>
            </w:pPr>
            <w:r>
              <w:rPr>
                <w:b w:val="0"/>
                <w:sz w:val="20"/>
              </w:rPr>
              <w:t>2</w:t>
            </w:r>
          </w:p>
        </w:tc>
        <w:tc>
          <w:tcPr>
            <w:tcW w:type="dxa" w:w="936"/>
            <w:vAlign w:val="center"/>
          </w:tcPr>
          <w:p>
            <w:pPr>
              <w:keepNext/>
              <w:spacing w:line="245" w:lineRule="auto" w:before="60" w:after="60"/>
              <w:jc w:val="right"/>
            </w:pPr>
            <w:r>
              <w:rPr>
                <w:b w:val="0"/>
                <w:sz w:val="20"/>
              </w:rPr>
              <w:t>5%</w:t>
            </w:r>
          </w:p>
        </w:tc>
        <w:tc>
          <w:tcPr>
            <w:tcW w:type="dxa" w:w="648"/>
            <w:vAlign w:val="center"/>
          </w:tcPr>
          <w:p>
            <w:pPr>
              <w:keepNext/>
              <w:spacing w:line="245" w:lineRule="auto" w:before="60" w:after="60"/>
              <w:jc w:val="right"/>
            </w:pPr>
            <w:r>
              <w:rPr>
                <w:b w:val="0"/>
                <w:sz w:val="20"/>
              </w:rPr>
              <w:t>25</w:t>
            </w:r>
          </w:p>
        </w:tc>
        <w:tc>
          <w:tcPr>
            <w:tcW w:type="dxa" w:w="1440"/>
            <w:vAlign w:val="center"/>
          </w:tcPr>
          <w:p>
            <w:pPr>
              <w:keepNext/>
              <w:spacing w:line="245" w:lineRule="auto" w:before="60" w:after="60"/>
              <w:jc w:val="right"/>
            </w:pPr>
            <w:r>
              <w:rPr>
                <w:b w:val="0"/>
                <w:sz w:val="20"/>
              </w:rPr>
              <w:t>1.15</w:t>
            </w:r>
          </w:p>
        </w:tc>
        <w:tc>
          <w:tcPr>
            <w:tcW w:type="dxa" w:w="1440"/>
            <w:vAlign w:val="center"/>
          </w:tcPr>
          <w:p>
            <w:pPr>
              <w:keepNext/>
              <w:spacing w:line="245" w:lineRule="auto" w:before="60" w:after="60"/>
              <w:jc w:val="right"/>
            </w:pPr>
            <w:r>
              <w:rPr>
                <w:b w:val="0"/>
                <w:sz w:val="20"/>
              </w:rPr>
              <w:t>0</w:t>
            </w:r>
          </w:p>
        </w:tc>
        <w:tc>
          <w:tcPr>
            <w:tcW w:type="dxa" w:w="3960"/>
            <w:vAlign w:val="center"/>
          </w:tcPr>
          <w:p>
            <w:pPr>
              <w:keepNext/>
              <w:spacing w:line="245" w:lineRule="auto" w:before="60" w:after="60"/>
              <w:jc w:val="right"/>
            </w:pPr>
            <w:r>
              <w:rPr>
                <w:b w:val="0"/>
                <w:sz w:val="20"/>
              </w:rPr>
              <w:t>-1.15 [-1.90, 0.43]</w:t>
            </w:r>
          </w:p>
        </w:tc>
      </w:tr>
      <w:tr>
        <w:trPr>
          <w:cantSplit/>
        </w:trPr>
        <w:tc>
          <w:tcPr>
            <w:tcW w:type="dxa" w:w="792"/>
            <w:vAlign w:val="center"/>
          </w:tcPr>
          <w:p>
            <w:pPr>
              <w:keepNext/>
              <w:spacing w:line="245" w:lineRule="auto" w:before="60" w:after="60"/>
              <w:jc w:val="left"/>
            </w:pPr>
            <w:r>
              <w:rPr>
                <w:b w:val="0"/>
                <w:sz w:val="20"/>
              </w:rPr>
              <w:t>2</w:t>
            </w:r>
          </w:p>
        </w:tc>
        <w:tc>
          <w:tcPr>
            <w:tcW w:type="dxa" w:w="936"/>
            <w:vAlign w:val="center"/>
          </w:tcPr>
          <w:p>
            <w:pPr>
              <w:keepNext/>
              <w:spacing w:line="245" w:lineRule="auto" w:before="60" w:after="60"/>
              <w:jc w:val="right"/>
            </w:pPr>
            <w:r>
              <w:rPr>
                <w:b w:val="0"/>
                <w:sz w:val="20"/>
              </w:rPr>
              <w:t>10%</w:t>
            </w:r>
          </w:p>
        </w:tc>
        <w:tc>
          <w:tcPr>
            <w:tcW w:type="dxa" w:w="648"/>
            <w:vAlign w:val="center"/>
          </w:tcPr>
          <w:p>
            <w:pPr>
              <w:keepNext/>
              <w:spacing w:line="245" w:lineRule="auto" w:before="60" w:after="60"/>
              <w:jc w:val="right"/>
            </w:pPr>
            <w:r>
              <w:rPr>
                <w:b w:val="0"/>
                <w:sz w:val="20"/>
              </w:rPr>
              <w:t>51</w:t>
            </w:r>
          </w:p>
        </w:tc>
        <w:tc>
          <w:tcPr>
            <w:tcW w:type="dxa" w:w="1440"/>
            <w:vAlign w:val="center"/>
          </w:tcPr>
          <w:p>
            <w:pPr>
              <w:keepNext/>
              <w:spacing w:line="245" w:lineRule="auto" w:before="60" w:after="60"/>
              <w:jc w:val="right"/>
            </w:pPr>
            <w:r>
              <w:rPr>
                <w:b w:val="0"/>
                <w:sz w:val="20"/>
              </w:rPr>
              <w:t>2.35</w:t>
            </w:r>
          </w:p>
        </w:tc>
        <w:tc>
          <w:tcPr>
            <w:tcW w:type="dxa" w:w="1440"/>
            <w:vAlign w:val="center"/>
          </w:tcPr>
          <w:p>
            <w:pPr>
              <w:keepNext/>
              <w:spacing w:line="245" w:lineRule="auto" w:before="60" w:after="60"/>
              <w:jc w:val="right"/>
            </w:pPr>
            <w:r>
              <w:rPr>
                <w:b w:val="0"/>
                <w:sz w:val="20"/>
              </w:rPr>
              <w:t>0</w:t>
            </w:r>
          </w:p>
        </w:tc>
        <w:tc>
          <w:tcPr>
            <w:tcW w:type="dxa" w:w="3960"/>
            <w:vAlign w:val="center"/>
          </w:tcPr>
          <w:p>
            <w:pPr>
              <w:keepNext/>
              <w:spacing w:line="245" w:lineRule="auto" w:before="60" w:after="60"/>
              <w:jc w:val="right"/>
            </w:pPr>
            <w:r>
              <w:rPr>
                <w:b w:val="0"/>
                <w:sz w:val="20"/>
              </w:rPr>
              <w:t>-2.35 [-3.26, 1.13]</w:t>
            </w:r>
          </w:p>
        </w:tc>
      </w:tr>
      <w:tr>
        <w:trPr>
          <w:cantSplit/>
        </w:trPr>
        <w:tc>
          <w:tcPr>
            <w:tcW w:type="dxa" w:w="792"/>
            <w:vAlign w:val="center"/>
          </w:tcPr>
          <w:p>
            <w:pPr>
              <w:keepNext/>
              <w:spacing w:line="245" w:lineRule="auto" w:before="60" w:after="60"/>
              <w:jc w:val="left"/>
            </w:pPr>
            <w:r>
              <w:rPr>
                <w:b w:val="0"/>
                <w:sz w:val="20"/>
              </w:rPr>
              <w:t>2</w:t>
            </w:r>
          </w:p>
        </w:tc>
        <w:tc>
          <w:tcPr>
            <w:tcW w:type="dxa" w:w="936"/>
            <w:vAlign w:val="center"/>
          </w:tcPr>
          <w:p>
            <w:pPr>
              <w:keepNext/>
              <w:spacing w:line="245" w:lineRule="auto" w:before="60" w:after="60"/>
              <w:jc w:val="right"/>
            </w:pPr>
            <w:r>
              <w:rPr>
                <w:b w:val="0"/>
                <w:sz w:val="20"/>
              </w:rPr>
              <w:t>20%</w:t>
            </w:r>
          </w:p>
        </w:tc>
        <w:tc>
          <w:tcPr>
            <w:tcW w:type="dxa" w:w="648"/>
            <w:vAlign w:val="center"/>
          </w:tcPr>
          <w:p>
            <w:pPr>
              <w:keepNext/>
              <w:spacing w:line="245" w:lineRule="auto" w:before="60" w:after="60"/>
              <w:jc w:val="right"/>
            </w:pPr>
            <w:r>
              <w:rPr>
                <w:b w:val="0"/>
                <w:sz w:val="20"/>
              </w:rPr>
              <w:t>103</w:t>
            </w:r>
          </w:p>
        </w:tc>
        <w:tc>
          <w:tcPr>
            <w:tcW w:type="dxa" w:w="1440"/>
            <w:vAlign w:val="center"/>
          </w:tcPr>
          <w:p>
            <w:pPr>
              <w:keepNext/>
              <w:spacing w:line="245" w:lineRule="auto" w:before="60" w:after="60"/>
              <w:jc w:val="right"/>
            </w:pPr>
            <w:r>
              <w:rPr>
                <w:b w:val="0"/>
                <w:sz w:val="20"/>
              </w:rPr>
              <w:t>4.75</w:t>
            </w:r>
          </w:p>
        </w:tc>
        <w:tc>
          <w:tcPr>
            <w:tcW w:type="dxa" w:w="1440"/>
            <w:vAlign w:val="center"/>
          </w:tcPr>
          <w:p>
            <w:pPr>
              <w:keepNext/>
              <w:spacing w:line="245" w:lineRule="auto" w:before="60" w:after="60"/>
              <w:jc w:val="right"/>
            </w:pPr>
            <w:r>
              <w:rPr>
                <w:b w:val="0"/>
                <w:sz w:val="20"/>
              </w:rPr>
              <w:t>5</w:t>
            </w:r>
          </w:p>
        </w:tc>
        <w:tc>
          <w:tcPr>
            <w:tcW w:type="dxa" w:w="3960"/>
            <w:vAlign w:val="center"/>
          </w:tcPr>
          <w:p>
            <w:pPr>
              <w:keepNext/>
              <w:spacing w:line="245" w:lineRule="auto" w:before="60" w:after="60"/>
              <w:jc w:val="right"/>
            </w:pPr>
            <w:r>
              <w:rPr>
                <w:b w:val="0"/>
                <w:sz w:val="20"/>
              </w:rPr>
              <w:t>0.25 [-3.11, 1.63]</w:t>
            </w:r>
          </w:p>
        </w:tc>
      </w:tr>
      <w:tr>
        <w:trPr>
          <w:cantSplit/>
        </w:trPr>
        <w:tc>
          <w:tcPr>
            <w:tcW w:type="dxa" w:w="792"/>
            <w:vAlign w:val="center"/>
          </w:tcPr>
          <w:p>
            <w:pPr>
              <w:keepNext/>
              <w:spacing w:line="245" w:lineRule="auto" w:before="60" w:after="60"/>
              <w:jc w:val="left"/>
            </w:pPr>
            <w:r>
              <w:rPr>
                <w:b w:val="0"/>
                <w:sz w:val="20"/>
              </w:rPr>
              <w:t>3</w:t>
            </w:r>
          </w:p>
        </w:tc>
        <w:tc>
          <w:tcPr>
            <w:tcW w:type="dxa" w:w="936"/>
            <w:vAlign w:val="center"/>
          </w:tcPr>
          <w:p>
            <w:pPr>
              <w:keepNext/>
              <w:spacing w:line="245" w:lineRule="auto" w:before="60" w:after="60"/>
              <w:jc w:val="right"/>
            </w:pPr>
            <w:r>
              <w:rPr>
                <w:b w:val="0"/>
                <w:sz w:val="20"/>
              </w:rPr>
              <w:t>1%</w:t>
            </w:r>
          </w:p>
        </w:tc>
        <w:tc>
          <w:tcPr>
            <w:tcW w:type="dxa" w:w="648"/>
            <w:vAlign w:val="center"/>
          </w:tcPr>
          <w:p>
            <w:pPr>
              <w:keepNext/>
              <w:spacing w:line="245" w:lineRule="auto" w:before="60" w:after="60"/>
              <w:jc w:val="right"/>
            </w:pPr>
            <w:r>
              <w:rPr>
                <w:b w:val="0"/>
                <w:sz w:val="20"/>
              </w:rPr>
              <w:t>5</w:t>
            </w:r>
          </w:p>
        </w:tc>
        <w:tc>
          <w:tcPr>
            <w:tcW w:type="dxa" w:w="1440"/>
            <w:vAlign w:val="center"/>
          </w:tcPr>
          <w:p>
            <w:pPr>
              <w:keepNext/>
              <w:spacing w:line="245" w:lineRule="auto" w:before="60" w:after="60"/>
              <w:jc w:val="right"/>
            </w:pPr>
            <w:r>
              <w:rPr>
                <w:b w:val="0"/>
                <w:sz w:val="20"/>
              </w:rPr>
              <w:t>0.22</w:t>
            </w:r>
          </w:p>
        </w:tc>
        <w:tc>
          <w:tcPr>
            <w:tcW w:type="dxa" w:w="1440"/>
            <w:vAlign w:val="center"/>
          </w:tcPr>
          <w:p>
            <w:pPr>
              <w:keepNext/>
              <w:spacing w:line="245" w:lineRule="auto" w:before="60" w:after="60"/>
              <w:jc w:val="right"/>
            </w:pPr>
            <w:r>
              <w:rPr>
                <w:b w:val="0"/>
                <w:sz w:val="20"/>
              </w:rPr>
              <w:t>0</w:t>
            </w:r>
          </w:p>
        </w:tc>
        <w:tc>
          <w:tcPr>
            <w:tcW w:type="dxa" w:w="3960"/>
            <w:vAlign w:val="center"/>
          </w:tcPr>
          <w:p>
            <w:pPr>
              <w:keepNext/>
              <w:spacing w:line="245" w:lineRule="auto" w:before="60" w:after="60"/>
              <w:jc w:val="right"/>
            </w:pPr>
            <w:r>
              <w:rPr>
                <w:b w:val="0"/>
                <w:sz w:val="20"/>
              </w:rPr>
              <w:t>-0.22 [-0.35, 0.84]</w:t>
            </w:r>
          </w:p>
        </w:tc>
      </w:tr>
      <w:tr>
        <w:trPr>
          <w:cantSplit/>
        </w:trPr>
        <w:tc>
          <w:tcPr>
            <w:tcW w:type="dxa" w:w="792"/>
            <w:vAlign w:val="center"/>
          </w:tcPr>
          <w:p>
            <w:pPr>
              <w:keepNext/>
              <w:spacing w:line="245" w:lineRule="auto" w:before="60" w:after="60"/>
              <w:jc w:val="left"/>
            </w:pPr>
            <w:r>
              <w:rPr>
                <w:b w:val="0"/>
                <w:sz w:val="20"/>
              </w:rPr>
              <w:t>3</w:t>
            </w:r>
          </w:p>
        </w:tc>
        <w:tc>
          <w:tcPr>
            <w:tcW w:type="dxa" w:w="936"/>
            <w:vAlign w:val="center"/>
          </w:tcPr>
          <w:p>
            <w:pPr>
              <w:keepNext/>
              <w:spacing w:line="245" w:lineRule="auto" w:before="60" w:after="60"/>
              <w:jc w:val="right"/>
            </w:pPr>
            <w:r>
              <w:rPr>
                <w:b w:val="0"/>
                <w:sz w:val="20"/>
              </w:rPr>
              <w:t>5%</w:t>
            </w:r>
          </w:p>
        </w:tc>
        <w:tc>
          <w:tcPr>
            <w:tcW w:type="dxa" w:w="648"/>
            <w:vAlign w:val="center"/>
          </w:tcPr>
          <w:p>
            <w:pPr>
              <w:keepNext/>
              <w:spacing w:line="245" w:lineRule="auto" w:before="60" w:after="60"/>
              <w:jc w:val="right"/>
            </w:pPr>
            <w:r>
              <w:rPr>
                <w:b w:val="0"/>
                <w:sz w:val="20"/>
              </w:rPr>
              <w:t>25</w:t>
            </w:r>
          </w:p>
        </w:tc>
        <w:tc>
          <w:tcPr>
            <w:tcW w:type="dxa" w:w="1440"/>
            <w:vAlign w:val="center"/>
          </w:tcPr>
          <w:p>
            <w:pPr>
              <w:keepNext/>
              <w:spacing w:line="245" w:lineRule="auto" w:before="60" w:after="60"/>
              <w:jc w:val="right"/>
            </w:pPr>
            <w:r>
              <w:rPr>
                <w:b w:val="0"/>
                <w:sz w:val="20"/>
              </w:rPr>
              <w:t>1.12</w:t>
            </w:r>
          </w:p>
        </w:tc>
        <w:tc>
          <w:tcPr>
            <w:tcW w:type="dxa" w:w="1440"/>
            <w:vAlign w:val="center"/>
          </w:tcPr>
          <w:p>
            <w:pPr>
              <w:keepNext/>
              <w:spacing w:line="245" w:lineRule="auto" w:before="60" w:after="60"/>
              <w:jc w:val="right"/>
            </w:pPr>
            <w:r>
              <w:rPr>
                <w:b w:val="0"/>
                <w:sz w:val="20"/>
              </w:rPr>
              <w:t>3</w:t>
            </w:r>
          </w:p>
        </w:tc>
        <w:tc>
          <w:tcPr>
            <w:tcW w:type="dxa" w:w="3960"/>
            <w:vAlign w:val="center"/>
          </w:tcPr>
          <w:p>
            <w:pPr>
              <w:keepNext/>
              <w:spacing w:line="245" w:lineRule="auto" w:before="60" w:after="60"/>
              <w:jc w:val="right"/>
            </w:pPr>
            <w:r>
              <w:rPr>
                <w:b w:val="0"/>
                <w:sz w:val="20"/>
              </w:rPr>
              <w:t>1.88 [-0.96, 4.31]</w:t>
            </w:r>
          </w:p>
        </w:tc>
      </w:tr>
      <w:tr>
        <w:trPr>
          <w:cantSplit/>
        </w:trPr>
        <w:tc>
          <w:tcPr>
            <w:tcW w:type="dxa" w:w="792"/>
            <w:vAlign w:val="center"/>
          </w:tcPr>
          <w:p>
            <w:pPr>
              <w:keepNext/>
              <w:spacing w:line="245" w:lineRule="auto" w:before="60" w:after="60"/>
              <w:jc w:val="left"/>
            </w:pPr>
            <w:r>
              <w:rPr>
                <w:b w:val="0"/>
                <w:sz w:val="20"/>
              </w:rPr>
              <w:t>3</w:t>
            </w:r>
          </w:p>
        </w:tc>
        <w:tc>
          <w:tcPr>
            <w:tcW w:type="dxa" w:w="936"/>
            <w:vAlign w:val="center"/>
          </w:tcPr>
          <w:p>
            <w:pPr>
              <w:keepNext/>
              <w:spacing w:line="245" w:lineRule="auto" w:before="60" w:after="60"/>
              <w:jc w:val="right"/>
            </w:pPr>
            <w:r>
              <w:rPr>
                <w:b w:val="0"/>
                <w:sz w:val="20"/>
              </w:rPr>
              <w:t>10%</w:t>
            </w:r>
          </w:p>
        </w:tc>
        <w:tc>
          <w:tcPr>
            <w:tcW w:type="dxa" w:w="648"/>
            <w:vAlign w:val="center"/>
          </w:tcPr>
          <w:p>
            <w:pPr>
              <w:keepNext/>
              <w:spacing w:line="245" w:lineRule="auto" w:before="60" w:after="60"/>
              <w:jc w:val="right"/>
            </w:pPr>
            <w:r>
              <w:rPr>
                <w:b w:val="0"/>
                <w:sz w:val="20"/>
              </w:rPr>
              <w:t>51</w:t>
            </w:r>
          </w:p>
        </w:tc>
        <w:tc>
          <w:tcPr>
            <w:tcW w:type="dxa" w:w="1440"/>
            <w:vAlign w:val="center"/>
          </w:tcPr>
          <w:p>
            <w:pPr>
              <w:keepNext/>
              <w:spacing w:line="245" w:lineRule="auto" w:before="60" w:after="60"/>
              <w:jc w:val="right"/>
            </w:pPr>
            <w:r>
              <w:rPr>
                <w:b w:val="0"/>
                <w:sz w:val="20"/>
              </w:rPr>
              <w:t>2.28</w:t>
            </w:r>
          </w:p>
        </w:tc>
        <w:tc>
          <w:tcPr>
            <w:tcW w:type="dxa" w:w="1440"/>
            <w:vAlign w:val="center"/>
          </w:tcPr>
          <w:p>
            <w:pPr>
              <w:keepNext/>
              <w:spacing w:line="245" w:lineRule="auto" w:before="60" w:after="60"/>
              <w:jc w:val="right"/>
            </w:pPr>
            <w:r>
              <w:rPr>
                <w:b w:val="0"/>
                <w:sz w:val="20"/>
              </w:rPr>
              <w:t>4</w:t>
            </w:r>
          </w:p>
        </w:tc>
        <w:tc>
          <w:tcPr>
            <w:tcW w:type="dxa" w:w="3960"/>
            <w:vAlign w:val="center"/>
          </w:tcPr>
          <w:p>
            <w:pPr>
              <w:keepNext/>
              <w:spacing w:line="245" w:lineRule="auto" w:before="60" w:after="60"/>
              <w:jc w:val="right"/>
            </w:pPr>
            <w:r>
              <w:rPr>
                <w:b w:val="0"/>
                <w:sz w:val="20"/>
              </w:rPr>
              <w:t>1.72 [-0.99, 5.57]</w:t>
            </w:r>
          </w:p>
        </w:tc>
      </w:tr>
      <w:tr>
        <w:trPr>
          <w:cantSplit/>
        </w:trPr>
        <w:tc>
          <w:tcPr>
            <w:tcW w:type="dxa" w:w="792"/>
            <w:vAlign w:val="center"/>
          </w:tcPr>
          <w:p>
            <w:pPr>
              <w:keepNext/>
              <w:spacing w:line="245" w:lineRule="auto" w:before="60" w:after="60"/>
              <w:jc w:val="left"/>
            </w:pPr>
            <w:r>
              <w:rPr>
                <w:b w:val="0"/>
                <w:sz w:val="20"/>
              </w:rPr>
              <w:t>3</w:t>
            </w:r>
          </w:p>
        </w:tc>
        <w:tc>
          <w:tcPr>
            <w:tcW w:type="dxa" w:w="936"/>
            <w:vAlign w:val="center"/>
          </w:tcPr>
          <w:p>
            <w:pPr>
              <w:keepNext/>
              <w:spacing w:line="245" w:lineRule="auto" w:before="60" w:after="60"/>
              <w:jc w:val="right"/>
            </w:pPr>
            <w:r>
              <w:rPr>
                <w:b w:val="0"/>
                <w:sz w:val="20"/>
              </w:rPr>
              <w:t>20%</w:t>
            </w:r>
          </w:p>
        </w:tc>
        <w:tc>
          <w:tcPr>
            <w:tcW w:type="dxa" w:w="648"/>
            <w:vAlign w:val="center"/>
          </w:tcPr>
          <w:p>
            <w:pPr>
              <w:keepNext/>
              <w:spacing w:line="245" w:lineRule="auto" w:before="60" w:after="60"/>
              <w:jc w:val="right"/>
            </w:pPr>
            <w:r>
              <w:rPr>
                <w:b w:val="0"/>
                <w:sz w:val="20"/>
              </w:rPr>
              <w:t>103</w:t>
            </w:r>
          </w:p>
        </w:tc>
        <w:tc>
          <w:tcPr>
            <w:tcW w:type="dxa" w:w="1440"/>
            <w:vAlign w:val="center"/>
          </w:tcPr>
          <w:p>
            <w:pPr>
              <w:keepNext/>
              <w:spacing w:line="245" w:lineRule="auto" w:before="60" w:after="60"/>
              <w:jc w:val="right"/>
            </w:pPr>
            <w:r>
              <w:rPr>
                <w:b w:val="0"/>
                <w:sz w:val="20"/>
              </w:rPr>
              <w:t>4.61</w:t>
            </w:r>
          </w:p>
        </w:tc>
        <w:tc>
          <w:tcPr>
            <w:tcW w:type="dxa" w:w="1440"/>
            <w:vAlign w:val="center"/>
          </w:tcPr>
          <w:p>
            <w:pPr>
              <w:keepNext/>
              <w:spacing w:line="245" w:lineRule="auto" w:before="60" w:after="60"/>
              <w:jc w:val="right"/>
            </w:pPr>
            <w:r>
              <w:rPr>
                <w:b w:val="0"/>
                <w:sz w:val="20"/>
              </w:rPr>
              <w:t>6</w:t>
            </w:r>
          </w:p>
        </w:tc>
        <w:tc>
          <w:tcPr>
            <w:tcW w:type="dxa" w:w="3960"/>
            <w:vAlign w:val="center"/>
          </w:tcPr>
          <w:p>
            <w:pPr>
              <w:keepNext/>
              <w:spacing w:line="245" w:lineRule="auto" w:before="60" w:after="60"/>
              <w:jc w:val="right"/>
            </w:pPr>
            <w:r>
              <w:rPr>
                <w:b w:val="0"/>
                <w:sz w:val="20"/>
              </w:rPr>
              <w:t>1.39 [-1.99, 4.58]</w:t>
            </w:r>
          </w:p>
        </w:tc>
      </w:tr>
      <w:tr>
        <w:trPr>
          <w:cantSplit/>
        </w:trPr>
        <w:tc>
          <w:tcPr>
            <w:tcW w:type="dxa" w:w="792"/>
            <w:vAlign w:val="center"/>
          </w:tcPr>
          <w:p>
            <w:pPr>
              <w:keepNext/>
              <w:spacing w:line="245" w:lineRule="auto" w:before="60" w:after="60"/>
              <w:jc w:val="left"/>
            </w:pPr>
            <w:r>
              <w:rPr>
                <w:b w:val="0"/>
                <w:sz w:val="20"/>
              </w:rPr>
              <w:t>4</w:t>
            </w:r>
          </w:p>
        </w:tc>
        <w:tc>
          <w:tcPr>
            <w:tcW w:type="dxa" w:w="936"/>
            <w:vAlign w:val="center"/>
          </w:tcPr>
          <w:p>
            <w:pPr>
              <w:keepNext/>
              <w:spacing w:line="245" w:lineRule="auto" w:before="60" w:after="60"/>
              <w:jc w:val="right"/>
            </w:pPr>
            <w:r>
              <w:rPr>
                <w:b w:val="0"/>
                <w:sz w:val="20"/>
              </w:rPr>
              <w:t>1%</w:t>
            </w:r>
          </w:p>
        </w:tc>
        <w:tc>
          <w:tcPr>
            <w:tcW w:type="dxa" w:w="648"/>
            <w:vAlign w:val="center"/>
          </w:tcPr>
          <w:p>
            <w:pPr>
              <w:keepNext/>
              <w:spacing w:line="245" w:lineRule="auto" w:before="60" w:after="60"/>
              <w:jc w:val="right"/>
            </w:pPr>
            <w:r>
              <w:rPr>
                <w:b w:val="0"/>
                <w:sz w:val="20"/>
              </w:rPr>
              <w:t>5</w:t>
            </w:r>
          </w:p>
        </w:tc>
        <w:tc>
          <w:tcPr>
            <w:tcW w:type="dxa" w:w="1440"/>
            <w:vAlign w:val="center"/>
          </w:tcPr>
          <w:p>
            <w:pPr>
              <w:keepNext/>
              <w:spacing w:line="245" w:lineRule="auto" w:before="60" w:after="60"/>
              <w:jc w:val="right"/>
            </w:pPr>
            <w:r>
              <w:rPr>
                <w:b w:val="0"/>
                <w:sz w:val="20"/>
              </w:rPr>
              <w:t>0.14</w:t>
            </w:r>
          </w:p>
        </w:tc>
        <w:tc>
          <w:tcPr>
            <w:tcW w:type="dxa" w:w="1440"/>
            <w:vAlign w:val="center"/>
          </w:tcPr>
          <w:p>
            <w:pPr>
              <w:keepNext/>
              <w:spacing w:line="245" w:lineRule="auto" w:before="60" w:after="60"/>
              <w:jc w:val="right"/>
            </w:pPr>
            <w:r>
              <w:rPr>
                <w:b w:val="0"/>
                <w:sz w:val="20"/>
              </w:rPr>
              <w:t>1</w:t>
            </w:r>
          </w:p>
        </w:tc>
        <w:tc>
          <w:tcPr>
            <w:tcW w:type="dxa" w:w="3960"/>
            <w:vAlign w:val="center"/>
          </w:tcPr>
          <w:p>
            <w:pPr>
              <w:keepNext/>
              <w:spacing w:line="245" w:lineRule="auto" w:before="60" w:after="60"/>
              <w:jc w:val="right"/>
            </w:pPr>
            <w:r>
              <w:rPr>
                <w:b w:val="0"/>
                <w:sz w:val="20"/>
              </w:rPr>
              <w:t>0.86 [-0.24, 1.85]</w:t>
            </w:r>
          </w:p>
        </w:tc>
      </w:tr>
      <w:tr>
        <w:trPr>
          <w:cantSplit/>
        </w:trPr>
        <w:tc>
          <w:tcPr>
            <w:tcW w:type="dxa" w:w="792"/>
            <w:vAlign w:val="center"/>
          </w:tcPr>
          <w:p>
            <w:pPr>
              <w:keepNext/>
              <w:spacing w:line="245" w:lineRule="auto" w:before="60" w:after="60"/>
              <w:jc w:val="left"/>
            </w:pPr>
            <w:r>
              <w:rPr>
                <w:b w:val="0"/>
                <w:sz w:val="20"/>
              </w:rPr>
              <w:t>4</w:t>
            </w:r>
          </w:p>
        </w:tc>
        <w:tc>
          <w:tcPr>
            <w:tcW w:type="dxa" w:w="936"/>
            <w:vAlign w:val="center"/>
          </w:tcPr>
          <w:p>
            <w:pPr>
              <w:keepNext/>
              <w:spacing w:line="245" w:lineRule="auto" w:before="60" w:after="60"/>
              <w:jc w:val="right"/>
            </w:pPr>
            <w:r>
              <w:rPr>
                <w:b w:val="0"/>
                <w:sz w:val="20"/>
              </w:rPr>
              <w:t>5%</w:t>
            </w:r>
          </w:p>
        </w:tc>
        <w:tc>
          <w:tcPr>
            <w:tcW w:type="dxa" w:w="648"/>
            <w:vAlign w:val="center"/>
          </w:tcPr>
          <w:p>
            <w:pPr>
              <w:keepNext/>
              <w:spacing w:line="245" w:lineRule="auto" w:before="60" w:after="60"/>
              <w:jc w:val="right"/>
            </w:pPr>
            <w:r>
              <w:rPr>
                <w:b w:val="0"/>
                <w:sz w:val="20"/>
              </w:rPr>
              <w:t>25</w:t>
            </w:r>
          </w:p>
        </w:tc>
        <w:tc>
          <w:tcPr>
            <w:tcW w:type="dxa" w:w="1440"/>
            <w:vAlign w:val="center"/>
          </w:tcPr>
          <w:p>
            <w:pPr>
              <w:keepNext/>
              <w:spacing w:line="245" w:lineRule="auto" w:before="60" w:after="60"/>
              <w:jc w:val="right"/>
            </w:pPr>
            <w:r>
              <w:rPr>
                <w:b w:val="0"/>
                <w:sz w:val="20"/>
              </w:rPr>
              <w:t>0.70</w:t>
            </w:r>
          </w:p>
        </w:tc>
        <w:tc>
          <w:tcPr>
            <w:tcW w:type="dxa" w:w="1440"/>
            <w:vAlign w:val="center"/>
          </w:tcPr>
          <w:p>
            <w:pPr>
              <w:keepNext/>
              <w:spacing w:line="245" w:lineRule="auto" w:before="60" w:after="60"/>
              <w:jc w:val="right"/>
            </w:pPr>
            <w:r>
              <w:rPr>
                <w:b w:val="0"/>
                <w:sz w:val="20"/>
              </w:rPr>
              <w:t>1</w:t>
            </w:r>
          </w:p>
        </w:tc>
        <w:tc>
          <w:tcPr>
            <w:tcW w:type="dxa" w:w="3960"/>
            <w:vAlign w:val="center"/>
          </w:tcPr>
          <w:p>
            <w:pPr>
              <w:keepNext/>
              <w:spacing w:line="245" w:lineRule="auto" w:before="60" w:after="60"/>
              <w:jc w:val="right"/>
            </w:pPr>
            <w:r>
              <w:rPr>
                <w:b w:val="0"/>
                <w:sz w:val="20"/>
              </w:rPr>
              <w:t>0.30 [-0.90, 3.01]</w:t>
            </w:r>
          </w:p>
        </w:tc>
      </w:tr>
      <w:tr>
        <w:trPr>
          <w:cantSplit/>
        </w:trPr>
        <w:tc>
          <w:tcPr>
            <w:tcW w:type="dxa" w:w="792"/>
            <w:vAlign w:val="center"/>
          </w:tcPr>
          <w:p>
            <w:pPr>
              <w:keepNext/>
              <w:spacing w:line="245" w:lineRule="auto" w:before="60" w:after="60"/>
              <w:jc w:val="left"/>
            </w:pPr>
            <w:r>
              <w:rPr>
                <w:b w:val="0"/>
                <w:sz w:val="20"/>
              </w:rPr>
              <w:t>4</w:t>
            </w:r>
          </w:p>
        </w:tc>
        <w:tc>
          <w:tcPr>
            <w:tcW w:type="dxa" w:w="936"/>
            <w:vAlign w:val="center"/>
          </w:tcPr>
          <w:p>
            <w:pPr>
              <w:keepNext/>
              <w:spacing w:line="245" w:lineRule="auto" w:before="60" w:after="60"/>
              <w:jc w:val="right"/>
            </w:pPr>
            <w:r>
              <w:rPr>
                <w:b w:val="0"/>
                <w:sz w:val="20"/>
              </w:rPr>
              <w:t>10%</w:t>
            </w:r>
          </w:p>
        </w:tc>
        <w:tc>
          <w:tcPr>
            <w:tcW w:type="dxa" w:w="648"/>
            <w:vAlign w:val="center"/>
          </w:tcPr>
          <w:p>
            <w:pPr>
              <w:keepNext/>
              <w:spacing w:line="245" w:lineRule="auto" w:before="60" w:after="60"/>
              <w:jc w:val="right"/>
            </w:pPr>
            <w:r>
              <w:rPr>
                <w:b w:val="0"/>
                <w:sz w:val="20"/>
              </w:rPr>
              <w:t>51</w:t>
            </w:r>
          </w:p>
        </w:tc>
        <w:tc>
          <w:tcPr>
            <w:tcW w:type="dxa" w:w="1440"/>
            <w:vAlign w:val="center"/>
          </w:tcPr>
          <w:p>
            <w:pPr>
              <w:keepNext/>
              <w:spacing w:line="245" w:lineRule="auto" w:before="60" w:after="60"/>
              <w:jc w:val="right"/>
            </w:pPr>
            <w:r>
              <w:rPr>
                <w:b w:val="0"/>
                <w:sz w:val="20"/>
              </w:rPr>
              <w:t>1.43</w:t>
            </w:r>
          </w:p>
        </w:tc>
        <w:tc>
          <w:tcPr>
            <w:tcW w:type="dxa" w:w="1440"/>
            <w:vAlign w:val="center"/>
          </w:tcPr>
          <w:p>
            <w:pPr>
              <w:keepNext/>
              <w:spacing w:line="245" w:lineRule="auto" w:before="60" w:after="60"/>
              <w:jc w:val="right"/>
            </w:pPr>
            <w:r>
              <w:rPr>
                <w:b w:val="0"/>
                <w:sz w:val="20"/>
              </w:rPr>
              <w:t>2</w:t>
            </w:r>
          </w:p>
        </w:tc>
        <w:tc>
          <w:tcPr>
            <w:tcW w:type="dxa" w:w="3960"/>
            <w:vAlign w:val="center"/>
          </w:tcPr>
          <w:p>
            <w:pPr>
              <w:keepNext/>
              <w:spacing w:line="245" w:lineRule="auto" w:before="60" w:after="60"/>
              <w:jc w:val="right"/>
            </w:pPr>
            <w:r>
              <w:rPr>
                <w:b w:val="0"/>
                <w:sz w:val="20"/>
              </w:rPr>
              <w:t>0.57 [-1.64, 4.54]</w:t>
            </w:r>
          </w:p>
        </w:tc>
      </w:tr>
      <w:tr>
        <w:trPr>
          <w:cantSplit/>
        </w:trPr>
        <w:tc>
          <w:tcPr>
            <w:tcW w:type="dxa" w:w="792"/>
            <w:vAlign w:val="center"/>
          </w:tcPr>
          <w:p>
            <w:pPr>
              <w:keepNext/>
              <w:spacing w:line="245" w:lineRule="auto" w:before="60" w:after="60"/>
              <w:jc w:val="left"/>
            </w:pPr>
            <w:r>
              <w:rPr>
                <w:b w:val="0"/>
                <w:sz w:val="20"/>
              </w:rPr>
              <w:t>4</w:t>
            </w:r>
          </w:p>
        </w:tc>
        <w:tc>
          <w:tcPr>
            <w:tcW w:type="dxa" w:w="936"/>
            <w:vAlign w:val="center"/>
          </w:tcPr>
          <w:p>
            <w:pPr>
              <w:keepNext/>
              <w:spacing w:line="245" w:lineRule="auto" w:before="60" w:after="60"/>
              <w:jc w:val="right"/>
            </w:pPr>
            <w:r>
              <w:rPr>
                <w:b w:val="0"/>
                <w:sz w:val="20"/>
              </w:rPr>
              <w:t>20%</w:t>
            </w:r>
          </w:p>
        </w:tc>
        <w:tc>
          <w:tcPr>
            <w:tcW w:type="dxa" w:w="648"/>
            <w:vAlign w:val="center"/>
          </w:tcPr>
          <w:p>
            <w:pPr>
              <w:keepNext/>
              <w:spacing w:line="245" w:lineRule="auto" w:before="60" w:after="60"/>
              <w:jc w:val="right"/>
            </w:pPr>
            <w:r>
              <w:rPr>
                <w:b w:val="0"/>
                <w:sz w:val="20"/>
              </w:rPr>
              <w:t>103</w:t>
            </w:r>
          </w:p>
        </w:tc>
        <w:tc>
          <w:tcPr>
            <w:tcW w:type="dxa" w:w="1440"/>
            <w:vAlign w:val="center"/>
          </w:tcPr>
          <w:p>
            <w:pPr>
              <w:keepNext/>
              <w:spacing w:line="245" w:lineRule="auto" w:before="60" w:after="60"/>
              <w:jc w:val="right"/>
            </w:pPr>
            <w:r>
              <w:rPr>
                <w:b w:val="0"/>
                <w:sz w:val="20"/>
              </w:rPr>
              <w:t>2.88</w:t>
            </w:r>
          </w:p>
        </w:tc>
        <w:tc>
          <w:tcPr>
            <w:tcW w:type="dxa" w:w="1440"/>
            <w:vAlign w:val="center"/>
          </w:tcPr>
          <w:p>
            <w:pPr>
              <w:keepNext/>
              <w:spacing w:line="245" w:lineRule="auto" w:before="60" w:after="60"/>
              <w:jc w:val="right"/>
            </w:pPr>
            <w:r>
              <w:rPr>
                <w:b w:val="0"/>
                <w:sz w:val="20"/>
              </w:rPr>
              <w:t>4</w:t>
            </w:r>
          </w:p>
        </w:tc>
        <w:tc>
          <w:tcPr>
            <w:tcW w:type="dxa" w:w="3960"/>
            <w:vAlign w:val="center"/>
          </w:tcPr>
          <w:p>
            <w:pPr>
              <w:keepNext/>
              <w:spacing w:line="245" w:lineRule="auto" w:before="60" w:after="60"/>
              <w:jc w:val="right"/>
            </w:pPr>
            <w:r>
              <w:rPr>
                <w:b w:val="0"/>
                <w:sz w:val="20"/>
              </w:rPr>
              <w:t>1.12 [-1.51, 4.86]</w:t>
            </w:r>
          </w:p>
        </w:tc>
      </w:tr>
      <w:tr>
        <w:trPr>
          <w:cantSplit/>
        </w:trPr>
        <w:tc>
          <w:tcPr>
            <w:tcW w:type="dxa" w:w="792"/>
            <w:vAlign w:val="center"/>
          </w:tcPr>
          <w:p>
            <w:pPr>
              <w:keepNext/>
              <w:spacing w:line="245" w:lineRule="auto" w:before="60" w:after="60"/>
              <w:jc w:val="left"/>
            </w:pPr>
            <w:r>
              <w:rPr>
                <w:b w:val="0"/>
                <w:sz w:val="20"/>
              </w:rPr>
              <w:t>Pooled</w:t>
            </w:r>
          </w:p>
        </w:tc>
        <w:tc>
          <w:tcPr>
            <w:tcW w:type="dxa" w:w="936"/>
            <w:vAlign w:val="center"/>
          </w:tcPr>
          <w:p>
            <w:pPr>
              <w:keepNext/>
              <w:spacing w:line="245" w:lineRule="auto" w:before="60" w:after="60"/>
              <w:jc w:val="right"/>
            </w:pPr>
            <w:r>
              <w:rPr>
                <w:b w:val="0"/>
                <w:sz w:val="20"/>
              </w:rPr>
              <w:t>1%</w:t>
            </w:r>
          </w:p>
        </w:tc>
        <w:tc>
          <w:tcPr>
            <w:tcW w:type="dxa" w:w="648"/>
            <w:vAlign w:val="center"/>
          </w:tcPr>
          <w:p>
            <w:pPr>
              <w:keepNext/>
              <w:spacing w:line="245" w:lineRule="auto" w:before="60" w:after="60"/>
              <w:jc w:val="right"/>
            </w:pPr>
            <w:r>
              <w:rPr>
                <w:b w:val="0"/>
                <w:sz w:val="20"/>
              </w:rPr>
              <w:t>20</w:t>
            </w:r>
          </w:p>
        </w:tc>
        <w:tc>
          <w:tcPr>
            <w:tcW w:type="dxa" w:w="1440"/>
            <w:vAlign w:val="center"/>
          </w:tcPr>
          <w:p>
            <w:pPr>
              <w:keepNext/>
              <w:spacing w:line="245" w:lineRule="auto" w:before="60" w:after="60"/>
              <w:jc w:val="right"/>
            </w:pPr>
            <w:r>
              <w:rPr>
                <w:b w:val="0"/>
                <w:sz w:val="20"/>
              </w:rPr>
              <w:t>1.47</w:t>
            </w:r>
          </w:p>
        </w:tc>
        <w:tc>
          <w:tcPr>
            <w:tcW w:type="dxa" w:w="1440"/>
            <w:vAlign w:val="center"/>
          </w:tcPr>
          <w:p>
            <w:pPr>
              <w:keepNext/>
              <w:spacing w:line="245" w:lineRule="auto" w:before="60" w:after="60"/>
              <w:jc w:val="right"/>
            </w:pPr>
            <w:r>
              <w:rPr>
                <w:b w:val="0"/>
                <w:sz w:val="20"/>
              </w:rPr>
              <w:t>1</w:t>
            </w:r>
          </w:p>
        </w:tc>
        <w:tc>
          <w:tcPr>
            <w:tcW w:type="dxa" w:w="3960"/>
            <w:vAlign w:val="center"/>
          </w:tcPr>
          <w:p>
            <w:pPr>
              <w:keepNext/>
              <w:spacing w:line="245" w:lineRule="auto" w:before="60" w:after="60"/>
              <w:jc w:val="right"/>
            </w:pPr>
            <w:r>
              <w:rPr>
                <w:b w:val="0"/>
                <w:sz w:val="20"/>
              </w:rPr>
              <w:t>-0.47 [-1.94, 1.09]</w:t>
            </w:r>
          </w:p>
        </w:tc>
      </w:tr>
      <w:tr>
        <w:trPr>
          <w:cantSplit/>
        </w:trPr>
        <w:tc>
          <w:tcPr>
            <w:tcW w:type="dxa" w:w="792"/>
            <w:vAlign w:val="center"/>
          </w:tcPr>
          <w:p>
            <w:pPr>
              <w:keepNext/>
              <w:spacing w:line="245" w:lineRule="auto" w:before="60" w:after="60"/>
              <w:jc w:val="left"/>
            </w:pPr>
            <w:r>
              <w:rPr>
                <w:b w:val="0"/>
                <w:sz w:val="20"/>
              </w:rPr>
              <w:t>Pooled</w:t>
            </w:r>
          </w:p>
        </w:tc>
        <w:tc>
          <w:tcPr>
            <w:tcW w:type="dxa" w:w="936"/>
            <w:vAlign w:val="center"/>
          </w:tcPr>
          <w:p>
            <w:pPr>
              <w:keepNext/>
              <w:spacing w:line="245" w:lineRule="auto" w:before="60" w:after="60"/>
              <w:jc w:val="right"/>
            </w:pPr>
            <w:r>
              <w:rPr>
                <w:b w:val="0"/>
                <w:sz w:val="20"/>
              </w:rPr>
              <w:t>5%</w:t>
            </w:r>
          </w:p>
        </w:tc>
        <w:tc>
          <w:tcPr>
            <w:tcW w:type="dxa" w:w="648"/>
            <w:vAlign w:val="center"/>
          </w:tcPr>
          <w:p>
            <w:pPr>
              <w:keepNext/>
              <w:spacing w:line="245" w:lineRule="auto" w:before="60" w:after="60"/>
              <w:jc w:val="right"/>
            </w:pPr>
            <w:r>
              <w:rPr>
                <w:b w:val="0"/>
                <w:sz w:val="20"/>
              </w:rPr>
              <w:t>100</w:t>
            </w:r>
          </w:p>
        </w:tc>
        <w:tc>
          <w:tcPr>
            <w:tcW w:type="dxa" w:w="1440"/>
            <w:vAlign w:val="center"/>
          </w:tcPr>
          <w:p>
            <w:pPr>
              <w:keepNext/>
              <w:spacing w:line="245" w:lineRule="auto" w:before="60" w:after="60"/>
              <w:jc w:val="right"/>
            </w:pPr>
            <w:r>
              <w:rPr>
                <w:b w:val="0"/>
                <w:sz w:val="20"/>
              </w:rPr>
              <w:t>7.33</w:t>
            </w:r>
          </w:p>
        </w:tc>
        <w:tc>
          <w:tcPr>
            <w:tcW w:type="dxa" w:w="1440"/>
            <w:vAlign w:val="center"/>
          </w:tcPr>
          <w:p>
            <w:pPr>
              <w:keepNext/>
              <w:spacing w:line="245" w:lineRule="auto" w:before="60" w:after="60"/>
              <w:jc w:val="right"/>
            </w:pPr>
            <w:r>
              <w:rPr>
                <w:b w:val="0"/>
                <w:sz w:val="20"/>
              </w:rPr>
              <w:t>9</w:t>
            </w:r>
          </w:p>
        </w:tc>
        <w:tc>
          <w:tcPr>
            <w:tcW w:type="dxa" w:w="3960"/>
            <w:vAlign w:val="center"/>
          </w:tcPr>
          <w:p>
            <w:pPr>
              <w:keepNext/>
              <w:spacing w:line="245" w:lineRule="auto" w:before="60" w:after="60"/>
              <w:jc w:val="right"/>
            </w:pPr>
            <w:r>
              <w:rPr>
                <w:b w:val="0"/>
                <w:sz w:val="20"/>
              </w:rPr>
              <w:t>1.67 [-4.35, 5.43]</w:t>
            </w:r>
          </w:p>
        </w:tc>
      </w:tr>
      <w:tr>
        <w:trPr>
          <w:cantSplit/>
        </w:trPr>
        <w:tc>
          <w:tcPr>
            <w:tcW w:type="dxa" w:w="792"/>
            <w:vAlign w:val="center"/>
          </w:tcPr>
          <w:p>
            <w:pPr>
              <w:keepNext/>
              <w:spacing w:line="245" w:lineRule="auto" w:before="60" w:after="60"/>
              <w:jc w:val="left"/>
            </w:pPr>
            <w:r>
              <w:rPr>
                <w:b w:val="0"/>
                <w:sz w:val="20"/>
              </w:rPr>
              <w:t>Pooled</w:t>
            </w:r>
          </w:p>
        </w:tc>
        <w:tc>
          <w:tcPr>
            <w:tcW w:type="dxa" w:w="936"/>
            <w:vAlign w:val="center"/>
          </w:tcPr>
          <w:p>
            <w:pPr>
              <w:keepNext/>
              <w:spacing w:line="245" w:lineRule="auto" w:before="60" w:after="60"/>
              <w:jc w:val="right"/>
            </w:pPr>
            <w:r>
              <w:rPr>
                <w:b w:val="0"/>
                <w:sz w:val="20"/>
              </w:rPr>
              <w:t>10%</w:t>
            </w:r>
          </w:p>
        </w:tc>
        <w:tc>
          <w:tcPr>
            <w:tcW w:type="dxa" w:w="648"/>
            <w:vAlign w:val="center"/>
          </w:tcPr>
          <w:p>
            <w:pPr>
              <w:keepNext/>
              <w:spacing w:line="245" w:lineRule="auto" w:before="60" w:after="60"/>
              <w:jc w:val="right"/>
            </w:pPr>
            <w:r>
              <w:rPr>
                <w:b w:val="0"/>
                <w:sz w:val="20"/>
              </w:rPr>
              <w:t>204</w:t>
            </w:r>
          </w:p>
        </w:tc>
        <w:tc>
          <w:tcPr>
            <w:tcW w:type="dxa" w:w="1440"/>
            <w:vAlign w:val="center"/>
          </w:tcPr>
          <w:p>
            <w:pPr>
              <w:keepNext/>
              <w:spacing w:line="245" w:lineRule="auto" w:before="60" w:after="60"/>
              <w:jc w:val="right"/>
            </w:pPr>
            <w:r>
              <w:rPr>
                <w:b w:val="0"/>
                <w:sz w:val="20"/>
              </w:rPr>
              <w:t>14.96</w:t>
            </w:r>
          </w:p>
        </w:tc>
        <w:tc>
          <w:tcPr>
            <w:tcW w:type="dxa" w:w="1440"/>
            <w:vAlign w:val="center"/>
          </w:tcPr>
          <w:p>
            <w:pPr>
              <w:keepNext/>
              <w:spacing w:line="245" w:lineRule="auto" w:before="60" w:after="60"/>
              <w:jc w:val="right"/>
            </w:pPr>
            <w:r>
              <w:rPr>
                <w:b w:val="0"/>
                <w:sz w:val="20"/>
              </w:rPr>
              <w:t>17</w:t>
            </w:r>
          </w:p>
        </w:tc>
        <w:tc>
          <w:tcPr>
            <w:tcW w:type="dxa" w:w="3960"/>
            <w:vAlign w:val="center"/>
          </w:tcPr>
          <w:p>
            <w:pPr>
              <w:keepNext/>
              <w:spacing w:line="245" w:lineRule="auto" w:before="60" w:after="60"/>
              <w:jc w:val="right"/>
            </w:pPr>
            <w:r>
              <w:rPr>
                <w:b w:val="0"/>
                <w:sz w:val="20"/>
              </w:rPr>
              <w:t>2.04 [-3.81, 9.31]</w:t>
            </w:r>
          </w:p>
        </w:tc>
      </w:tr>
      <w:tr>
        <w:trPr>
          <w:cantSplit/>
        </w:trPr>
        <w:tc>
          <w:tcPr>
            <w:tcW w:type="dxa" w:w="792"/>
            <w:vAlign w:val="center"/>
          </w:tcPr>
          <w:p>
            <w:pPr>
              <w:keepNext w:val="0"/>
              <w:spacing w:line="245" w:lineRule="auto" w:before="60" w:after="60"/>
              <w:jc w:val="left"/>
            </w:pPr>
            <w:r>
              <w:rPr>
                <w:b w:val="0"/>
                <w:sz w:val="20"/>
              </w:rPr>
              <w:t>Pooled</w:t>
            </w:r>
          </w:p>
        </w:tc>
        <w:tc>
          <w:tcPr>
            <w:tcW w:type="dxa" w:w="936"/>
            <w:vAlign w:val="center"/>
          </w:tcPr>
          <w:p>
            <w:pPr>
              <w:keepNext w:val="0"/>
              <w:spacing w:line="245" w:lineRule="auto" w:before="60" w:after="60"/>
              <w:jc w:val="right"/>
            </w:pPr>
            <w:r>
              <w:rPr>
                <w:b w:val="0"/>
                <w:sz w:val="20"/>
              </w:rPr>
              <w:t>20%</w:t>
            </w:r>
          </w:p>
        </w:tc>
        <w:tc>
          <w:tcPr>
            <w:tcW w:type="dxa" w:w="648"/>
            <w:vAlign w:val="center"/>
          </w:tcPr>
          <w:p>
            <w:pPr>
              <w:keepNext w:val="0"/>
              <w:spacing w:line="245" w:lineRule="auto" w:before="60" w:after="60"/>
              <w:jc w:val="right"/>
            </w:pPr>
            <w:r>
              <w:rPr>
                <w:b w:val="0"/>
                <w:sz w:val="20"/>
              </w:rPr>
              <w:t>412</w:t>
            </w:r>
          </w:p>
        </w:tc>
        <w:tc>
          <w:tcPr>
            <w:tcW w:type="dxa" w:w="1440"/>
            <w:vAlign w:val="center"/>
          </w:tcPr>
          <w:p>
            <w:pPr>
              <w:keepNext w:val="0"/>
              <w:spacing w:line="245" w:lineRule="auto" w:before="60" w:after="60"/>
              <w:jc w:val="right"/>
            </w:pPr>
            <w:r>
              <w:rPr>
                <w:b w:val="0"/>
                <w:sz w:val="20"/>
              </w:rPr>
              <w:t>28.08</w:t>
            </w:r>
          </w:p>
        </w:tc>
        <w:tc>
          <w:tcPr>
            <w:tcW w:type="dxa" w:w="1440"/>
            <w:vAlign w:val="center"/>
          </w:tcPr>
          <w:p>
            <w:pPr>
              <w:keepNext w:val="0"/>
              <w:spacing w:line="245" w:lineRule="auto" w:before="60" w:after="60"/>
              <w:jc w:val="right"/>
            </w:pPr>
            <w:r>
              <w:rPr>
                <w:b w:val="0"/>
                <w:sz w:val="20"/>
              </w:rPr>
              <w:t>32</w:t>
            </w:r>
          </w:p>
        </w:tc>
        <w:tc>
          <w:tcPr>
            <w:tcW w:type="dxa" w:w="3960"/>
            <w:vAlign w:val="center"/>
          </w:tcPr>
          <w:p>
            <w:pPr>
              <w:keepNext w:val="0"/>
              <w:spacing w:line="245" w:lineRule="auto" w:before="60" w:after="60"/>
              <w:jc w:val="right"/>
            </w:pPr>
            <w:r>
              <w:rPr>
                <w:b w:val="0"/>
                <w:sz w:val="20"/>
              </w:rPr>
              <w:t>3.92 [-2.05, 9.86]</w:t>
            </w:r>
          </w:p>
        </w:tc>
      </w:tr>
    </w:tbl>
    <w:p>
      <w:pPr>
        <w:spacing w:after="20"/>
      </w:pPr>
    </w:p>
    <w:p>
      <w:r>
        <w:t>Block-specific intervals and counts are the primary evidence. The pooled point increment is negative at 1% and positive at the three larger budgets, while all pooled intervals include both improvement and decrease. Record block 2 at 1% instead has an increment of -0.23 [-0.40, -0.07], entirely below zero. Pooling does not erase that result. An interval spanning zero does not establish equivalence or exclude useful increments on another queue.</w:t>
      </w:r>
    </w:p>
    <w:p>
      <w:pPr>
        <w:pStyle w:val="Heading1"/>
      </w:pPr>
      <w:r>
        <w:t>Auxiliary ranking and interpretation</w:t>
      </w:r>
    </w:p>
    <w:p>
      <w:pPr>
        <w:pStyle w:val="Caption"/>
        <w:keepNext/>
      </w:pPr>
      <w:r>
        <w:t>Table 2. Global model ranking on each record block, pooled afterwards. Extra TP is measured against the grade-random expectation, not against Grade+ML. This can change allocations between grades and does not isolate within-grade information.</w:t>
      </w:r>
    </w:p>
    <w:tbl>
      <w:tblPr>
        <w:tblStyle w:val="TableGrid"/>
        <w:tblW w:type="auto" w:w="0"/>
        <w:jc w:val="center"/>
        <w:tblLayout w:type="fixed"/>
        <w:tblLook w:firstColumn="1" w:firstRow="1" w:lastColumn="0" w:lastRow="0" w:noHBand="0" w:noVBand="1" w:val="04A0"/>
      </w:tblPr>
      <w:tblGrid>
        <w:gridCol w:w="864"/>
        <w:gridCol w:w="720"/>
        <w:gridCol w:w="1440"/>
        <w:gridCol w:w="1440"/>
        <w:gridCol w:w="4752"/>
      </w:tblGrid>
      <w:tr>
        <w:trPr>
          <w:cantSplit/>
          <w:tblHeader/>
        </w:trPr>
        <w:tc>
          <w:tcPr>
            <w:tcW w:type="dxa" w:w="864"/>
            <w:vAlign w:val="center"/>
            <w:shd w:fill="EDEFF1"/>
          </w:tcPr>
          <w:p>
            <w:pPr>
              <w:keepNext/>
              <w:spacing w:line="245" w:lineRule="auto" w:before="60" w:after="60"/>
              <w:jc w:val="center"/>
            </w:pPr>
            <w:r>
              <w:rPr>
                <w:b/>
                <w:sz w:val="20"/>
              </w:rPr>
              <w:t>Budget</w:t>
            </w:r>
          </w:p>
        </w:tc>
        <w:tc>
          <w:tcPr>
            <w:tcW w:type="dxa" w:w="720"/>
            <w:vAlign w:val="center"/>
            <w:shd w:fill="EDEFF1"/>
          </w:tcPr>
          <w:p>
            <w:pPr>
              <w:keepNext/>
              <w:spacing w:line="245" w:lineRule="auto" w:before="60" w:after="60"/>
              <w:jc w:val="center"/>
            </w:pPr>
            <w:r>
              <w:rPr>
                <w:b/>
                <w:sz w:val="20"/>
              </w:rPr>
              <w:t>K</w:t>
            </w:r>
          </w:p>
        </w:tc>
        <w:tc>
          <w:tcPr>
            <w:tcW w:type="dxa" w:w="1440"/>
            <w:vAlign w:val="center"/>
            <w:shd w:fill="EDEFF1"/>
          </w:tcPr>
          <w:p>
            <w:pPr>
              <w:keepNext/>
              <w:spacing w:line="245" w:lineRule="auto" w:before="60" w:after="60"/>
              <w:jc w:val="center"/>
            </w:pPr>
            <w:r>
              <w:rPr>
                <w:b/>
                <w:sz w:val="20"/>
              </w:rPr>
              <w:t>Grade+ML TP</w:t>
            </w:r>
          </w:p>
        </w:tc>
        <w:tc>
          <w:tcPr>
            <w:tcW w:type="dxa" w:w="1440"/>
            <w:vAlign w:val="center"/>
            <w:shd w:fill="EDEFF1"/>
          </w:tcPr>
          <w:p>
            <w:pPr>
              <w:keepNext/>
              <w:spacing w:line="245" w:lineRule="auto" w:before="60" w:after="60"/>
              <w:jc w:val="center"/>
            </w:pPr>
            <w:r>
              <w:rPr>
                <w:b/>
                <w:sz w:val="20"/>
              </w:rPr>
              <w:t>Global ML TP</w:t>
            </w:r>
          </w:p>
        </w:tc>
        <w:tc>
          <w:tcPr>
            <w:tcW w:type="dxa" w:w="4752"/>
            <w:vAlign w:val="center"/>
            <w:shd w:fill="EDEFF1"/>
          </w:tcPr>
          <w:p>
            <w:pPr>
              <w:keepNext/>
              <w:spacing w:line="245" w:lineRule="auto" w:before="60" w:after="60"/>
              <w:jc w:val="center"/>
            </w:pPr>
            <w:r>
              <w:rPr>
                <w:b/>
                <w:sz w:val="20"/>
              </w:rPr>
              <w:t>Global TP - grade-random E(TP) [95% CI]</w:t>
            </w:r>
          </w:p>
        </w:tc>
      </w:tr>
      <w:tr>
        <w:trPr>
          <w:cantSplit/>
        </w:trPr>
        <w:tc>
          <w:tcPr>
            <w:tcW w:type="dxa" w:w="864"/>
            <w:vAlign w:val="center"/>
          </w:tcPr>
          <w:p>
            <w:pPr>
              <w:keepNext/>
              <w:spacing w:line="245" w:lineRule="auto" w:before="60" w:after="60"/>
              <w:jc w:val="left"/>
            </w:pPr>
            <w:r>
              <w:rPr>
                <w:b w:val="0"/>
                <w:sz w:val="20"/>
              </w:rPr>
              <w:t>1%</w:t>
            </w:r>
          </w:p>
        </w:tc>
        <w:tc>
          <w:tcPr>
            <w:tcW w:type="dxa" w:w="720"/>
            <w:vAlign w:val="center"/>
          </w:tcPr>
          <w:p>
            <w:pPr>
              <w:keepNext/>
              <w:spacing w:line="245" w:lineRule="auto" w:before="60" w:after="60"/>
              <w:jc w:val="right"/>
            </w:pPr>
            <w:r>
              <w:rPr>
                <w:b w:val="0"/>
                <w:sz w:val="20"/>
              </w:rPr>
              <w:t>20</w:t>
            </w:r>
          </w:p>
        </w:tc>
        <w:tc>
          <w:tcPr>
            <w:tcW w:type="dxa" w:w="1440"/>
            <w:vAlign w:val="center"/>
          </w:tcPr>
          <w:p>
            <w:pPr>
              <w:keepNext/>
              <w:spacing w:line="245" w:lineRule="auto" w:before="60" w:after="60"/>
              <w:jc w:val="right"/>
            </w:pPr>
            <w:r>
              <w:rPr>
                <w:b w:val="0"/>
                <w:sz w:val="20"/>
              </w:rPr>
              <w:t>1</w:t>
            </w:r>
          </w:p>
        </w:tc>
        <w:tc>
          <w:tcPr>
            <w:tcW w:type="dxa" w:w="1440"/>
            <w:vAlign w:val="center"/>
          </w:tcPr>
          <w:p>
            <w:pPr>
              <w:keepNext/>
              <w:spacing w:line="245" w:lineRule="auto" w:before="60" w:after="60"/>
              <w:jc w:val="right"/>
            </w:pPr>
            <w:r>
              <w:rPr>
                <w:b w:val="0"/>
                <w:sz w:val="20"/>
              </w:rPr>
              <w:t>0</w:t>
            </w:r>
          </w:p>
        </w:tc>
        <w:tc>
          <w:tcPr>
            <w:tcW w:type="dxa" w:w="4752"/>
            <w:vAlign w:val="center"/>
          </w:tcPr>
          <w:p>
            <w:pPr>
              <w:keepNext/>
              <w:spacing w:line="245" w:lineRule="auto" w:before="60" w:after="60"/>
              <w:jc w:val="right"/>
            </w:pPr>
            <w:r>
              <w:rPr>
                <w:b w:val="0"/>
                <w:sz w:val="20"/>
              </w:rPr>
              <w:t>-1.47 [-2.01, 0.56]</w:t>
            </w:r>
          </w:p>
        </w:tc>
      </w:tr>
      <w:tr>
        <w:trPr>
          <w:cantSplit/>
        </w:trPr>
        <w:tc>
          <w:tcPr>
            <w:tcW w:type="dxa" w:w="864"/>
            <w:vAlign w:val="center"/>
          </w:tcPr>
          <w:p>
            <w:pPr>
              <w:keepNext/>
              <w:spacing w:line="245" w:lineRule="auto" w:before="60" w:after="60"/>
              <w:jc w:val="left"/>
            </w:pPr>
            <w:r>
              <w:rPr>
                <w:b w:val="0"/>
                <w:sz w:val="20"/>
              </w:rPr>
              <w:t>5%</w:t>
            </w:r>
          </w:p>
        </w:tc>
        <w:tc>
          <w:tcPr>
            <w:tcW w:type="dxa" w:w="720"/>
            <w:vAlign w:val="center"/>
          </w:tcPr>
          <w:p>
            <w:pPr>
              <w:keepNext/>
              <w:spacing w:line="245" w:lineRule="auto" w:before="60" w:after="60"/>
              <w:jc w:val="right"/>
            </w:pPr>
            <w:r>
              <w:rPr>
                <w:b w:val="0"/>
                <w:sz w:val="20"/>
              </w:rPr>
              <w:t>100</w:t>
            </w:r>
          </w:p>
        </w:tc>
        <w:tc>
          <w:tcPr>
            <w:tcW w:type="dxa" w:w="1440"/>
            <w:vAlign w:val="center"/>
          </w:tcPr>
          <w:p>
            <w:pPr>
              <w:keepNext/>
              <w:spacing w:line="245" w:lineRule="auto" w:before="60" w:after="60"/>
              <w:jc w:val="right"/>
            </w:pPr>
            <w:r>
              <w:rPr>
                <w:b w:val="0"/>
                <w:sz w:val="20"/>
              </w:rPr>
              <w:t>9</w:t>
            </w:r>
          </w:p>
        </w:tc>
        <w:tc>
          <w:tcPr>
            <w:tcW w:type="dxa" w:w="1440"/>
            <w:vAlign w:val="center"/>
          </w:tcPr>
          <w:p>
            <w:pPr>
              <w:keepNext/>
              <w:spacing w:line="245" w:lineRule="auto" w:before="60" w:after="60"/>
              <w:jc w:val="right"/>
            </w:pPr>
            <w:r>
              <w:rPr>
                <w:b w:val="0"/>
                <w:sz w:val="20"/>
              </w:rPr>
              <w:t>7</w:t>
            </w:r>
          </w:p>
        </w:tc>
        <w:tc>
          <w:tcPr>
            <w:tcW w:type="dxa" w:w="4752"/>
            <w:vAlign w:val="center"/>
          </w:tcPr>
          <w:p>
            <w:pPr>
              <w:keepNext/>
              <w:spacing w:line="245" w:lineRule="auto" w:before="60" w:after="60"/>
              <w:jc w:val="right"/>
            </w:pPr>
            <w:r>
              <w:rPr>
                <w:b w:val="0"/>
                <w:sz w:val="20"/>
              </w:rPr>
              <w:t>-0.33 [-6.26, 4.53]</w:t>
            </w:r>
          </w:p>
        </w:tc>
      </w:tr>
      <w:tr>
        <w:trPr>
          <w:cantSplit/>
        </w:trPr>
        <w:tc>
          <w:tcPr>
            <w:tcW w:type="dxa" w:w="864"/>
            <w:vAlign w:val="center"/>
          </w:tcPr>
          <w:p>
            <w:pPr>
              <w:keepNext/>
              <w:spacing w:line="245" w:lineRule="auto" w:before="60" w:after="60"/>
              <w:jc w:val="left"/>
            </w:pPr>
            <w:r>
              <w:rPr>
                <w:b w:val="0"/>
                <w:sz w:val="20"/>
              </w:rPr>
              <w:t>10%</w:t>
            </w:r>
          </w:p>
        </w:tc>
        <w:tc>
          <w:tcPr>
            <w:tcW w:type="dxa" w:w="720"/>
            <w:vAlign w:val="center"/>
          </w:tcPr>
          <w:p>
            <w:pPr>
              <w:keepNext/>
              <w:spacing w:line="245" w:lineRule="auto" w:before="60" w:after="60"/>
              <w:jc w:val="right"/>
            </w:pPr>
            <w:r>
              <w:rPr>
                <w:b w:val="0"/>
                <w:sz w:val="20"/>
              </w:rPr>
              <w:t>204</w:t>
            </w:r>
          </w:p>
        </w:tc>
        <w:tc>
          <w:tcPr>
            <w:tcW w:type="dxa" w:w="1440"/>
            <w:vAlign w:val="center"/>
          </w:tcPr>
          <w:p>
            <w:pPr>
              <w:keepNext/>
              <w:spacing w:line="245" w:lineRule="auto" w:before="60" w:after="60"/>
              <w:jc w:val="right"/>
            </w:pPr>
            <w:r>
              <w:rPr>
                <w:b w:val="0"/>
                <w:sz w:val="20"/>
              </w:rPr>
              <w:t>17</w:t>
            </w:r>
          </w:p>
        </w:tc>
        <w:tc>
          <w:tcPr>
            <w:tcW w:type="dxa" w:w="1440"/>
            <w:vAlign w:val="center"/>
          </w:tcPr>
          <w:p>
            <w:pPr>
              <w:keepNext/>
              <w:spacing w:line="245" w:lineRule="auto" w:before="60" w:after="60"/>
              <w:jc w:val="right"/>
            </w:pPr>
            <w:r>
              <w:rPr>
                <w:b w:val="0"/>
                <w:sz w:val="20"/>
              </w:rPr>
              <w:t>14</w:t>
            </w:r>
          </w:p>
        </w:tc>
        <w:tc>
          <w:tcPr>
            <w:tcW w:type="dxa" w:w="4752"/>
            <w:vAlign w:val="center"/>
          </w:tcPr>
          <w:p>
            <w:pPr>
              <w:keepNext/>
              <w:spacing w:line="245" w:lineRule="auto" w:before="60" w:after="60"/>
              <w:jc w:val="right"/>
            </w:pPr>
            <w:r>
              <w:rPr>
                <w:b w:val="0"/>
                <w:sz w:val="20"/>
              </w:rPr>
              <w:t>-0.96 [-6.80, 7.55]</w:t>
            </w:r>
          </w:p>
        </w:tc>
      </w:tr>
      <w:tr>
        <w:trPr>
          <w:cantSplit/>
        </w:trPr>
        <w:tc>
          <w:tcPr>
            <w:tcW w:type="dxa" w:w="864"/>
            <w:vAlign w:val="center"/>
          </w:tcPr>
          <w:p>
            <w:pPr>
              <w:keepNext w:val="0"/>
              <w:spacing w:line="245" w:lineRule="auto" w:before="60" w:after="60"/>
              <w:jc w:val="left"/>
            </w:pPr>
            <w:r>
              <w:rPr>
                <w:b w:val="0"/>
                <w:sz w:val="20"/>
              </w:rPr>
              <w:t>20%</w:t>
            </w:r>
          </w:p>
        </w:tc>
        <w:tc>
          <w:tcPr>
            <w:tcW w:type="dxa" w:w="720"/>
            <w:vAlign w:val="center"/>
          </w:tcPr>
          <w:p>
            <w:pPr>
              <w:keepNext w:val="0"/>
              <w:spacing w:line="245" w:lineRule="auto" w:before="60" w:after="60"/>
              <w:jc w:val="right"/>
            </w:pPr>
            <w:r>
              <w:rPr>
                <w:b w:val="0"/>
                <w:sz w:val="20"/>
              </w:rPr>
              <w:t>412</w:t>
            </w:r>
          </w:p>
        </w:tc>
        <w:tc>
          <w:tcPr>
            <w:tcW w:type="dxa" w:w="1440"/>
            <w:vAlign w:val="center"/>
          </w:tcPr>
          <w:p>
            <w:pPr>
              <w:keepNext w:val="0"/>
              <w:spacing w:line="245" w:lineRule="auto" w:before="60" w:after="60"/>
              <w:jc w:val="right"/>
            </w:pPr>
            <w:r>
              <w:rPr>
                <w:b w:val="0"/>
                <w:sz w:val="20"/>
              </w:rPr>
              <w:t>32</w:t>
            </w:r>
          </w:p>
        </w:tc>
        <w:tc>
          <w:tcPr>
            <w:tcW w:type="dxa" w:w="1440"/>
            <w:vAlign w:val="center"/>
          </w:tcPr>
          <w:p>
            <w:pPr>
              <w:keepNext w:val="0"/>
              <w:spacing w:line="245" w:lineRule="auto" w:before="60" w:after="60"/>
              <w:jc w:val="right"/>
            </w:pPr>
            <w:r>
              <w:rPr>
                <w:b w:val="0"/>
                <w:sz w:val="20"/>
              </w:rPr>
              <w:t>31</w:t>
            </w:r>
          </w:p>
        </w:tc>
        <w:tc>
          <w:tcPr>
            <w:tcW w:type="dxa" w:w="4752"/>
            <w:vAlign w:val="center"/>
          </w:tcPr>
          <w:p>
            <w:pPr>
              <w:keepNext w:val="0"/>
              <w:spacing w:line="245" w:lineRule="auto" w:before="60" w:after="60"/>
              <w:jc w:val="right"/>
            </w:pPr>
            <w:r>
              <w:rPr>
                <w:b w:val="0"/>
                <w:sz w:val="20"/>
              </w:rPr>
              <w:t>2.92 [-9.31, 13.11]</w:t>
            </w:r>
          </w:p>
        </w:tc>
      </w:tr>
    </w:tbl>
    <w:p>
      <w:pPr>
        <w:spacing w:after="20"/>
      </w:pPr>
    </w:p>
    <w:p>
      <w:r>
        <w:t>The primary comparison holds grade-specific allocations fixed. The global comparison holds only total K fixed and therefore answers a different allocation question. Under the original hypothetical cost, fixing the hazardous count P and allocated slots K makes loss change depend entirely on detection change; a second cost grid would not supply independent evidence.</w:t>
      </w:r>
    </w:p>
    <w:p>
      <w:pPr>
        <w:pStyle w:val="Heading1"/>
      </w:pPr>
      <w:r>
        <w:t>Worked allocation example</w:t>
      </w:r>
    </w:p>
    <w:p>
      <w:r>
        <w:t>Record block 1 has 516 records and 103 slots at the 20% budget. Both grade-priority methods include all 86 grade-b records, covering the same 15 hazardous records. The remaining 17 slots come from 430 grade-a records, including 21 hazardous records. ML detects 2 in that group; random selection expects 17*21/430 = 0.83. Total detections are 17 versus expected 15.83: an increment of 1.17 [-0.70, 5.68]. Only the partially selected grade-a group contributes to this within-grade increment. The interval includes zero; the example illustrates allocation rather than establishing a consistent ranking benefit.</w:t>
      </w:r>
    </w:p>
    <w:p>
      <w:r>
        <w:t>These records are not verified simultaneously waiting inspection candidates. The pilot is retrospective batch ranking, not validation of real-time dispatch or accident prevention. Record order remains a temporal proxy. The present evidence does not establish a within-grade ranking increment or prove monitoring information useless. A source-attribution study would require matched grade-only and grade-plus-monitoring models, with shift type handled identically and equal fitting/tuning opportunities. That study has not been performed here.</w:t>
      </w:r>
    </w:p>
    <w:p>
      <w:pPr>
        <w:pStyle w:val="Heading1"/>
      </w:pPr>
      <w:r>
        <w:t>Code and evidence</w:t>
      </w:r>
    </w:p>
    <w:p>
      <w:r>
        <w:t>The protocol and execution code are in phase2/ranking/. Results under results/phase2/ranking/ retain row-level decisions and random inclusion probabilities, allocations, evaluations, analytic allocation distributions and every block draw and reranked contrast. The verifier uses independent sorting, weighted-prefix reranking and SciPy hypergeometric probabilities. Author review and AI assistance follow the repository CONTRIBUTIONS.md statement; computational evidence comes from saved data and actual execution.</w:t>
      </w:r>
    </w:p>
    <w:p>
      <w:r>
        <w:t>The links below preserve the source and evidence snapshot at commit e4c517b. The report presentation is generated by the current reporting code.</w:t>
      </w:r>
    </w:p>
    <w:p>
      <w:hyperlink r:id="rId1">
        <w:r>
          <w:rPr>
            <w:color w:val="0563C1"/>
            <w:u w:val="single"/>
          </w:rPr>
          <w:t>Repository source snapshot</w:t>
        </w:r>
      </w:hyperlink>
    </w:p>
    <w:p>
      <w:hyperlink r:id="rId10">
        <w:r>
          <w:rPr>
            <w:color w:val="0563C1"/>
            <w:u w:val="single"/>
          </w:rPr>
          <w:t>Pilot protocol</w:t>
        </w:r>
      </w:hyperlink>
    </w:p>
    <w:p>
      <w:hyperlink r:id="rId11">
        <w:r>
          <w:rPr>
            <w:color w:val="0563C1"/>
            <w:u w:val="single"/>
          </w:rPr>
          <w:t>Ranking code</w:t>
        </w:r>
      </w:hyperlink>
    </w:p>
    <w:p>
      <w:hyperlink r:id="rId12">
        <w:r>
          <w:rPr>
            <w:color w:val="0563C1"/>
            <w:u w:val="single"/>
          </w:rPr>
          <w:t>Saved evidence and verification guide</w:t>
        </w:r>
      </w:hyperlink>
    </w:p>
    <w:p>
      <w:hyperlink r:id="rId13">
        <w:r>
          <w:rPr>
            <w:color w:val="0563C1"/>
            <w:u w:val="single"/>
          </w:rPr>
          <w:t>Numerical verifier</w:t>
        </w:r>
      </w:hyperlink>
    </w:p>
    <w:p>
      <w:hyperlink r:id="rId14">
        <w:r>
          <w:rPr>
            <w:color w:val="0563C1"/>
            <w:u w:val="single"/>
          </w:rPr>
          <w:t>Integrated report</w:t>
        </w:r>
      </w:hyperlink>
    </w:p>
    <w:sectPr>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eastAsia="Times New Roman" w:cs="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 Type="http://schemas.openxmlformats.org/officeDocument/2006/relationships/hyperlink" Target="https://github.com/junjie-yang11/seismic-bump-forecasting/tree/e4c517b6f4b9671aff7b55f6886eb0f8bfaf9535" TargetMode="External"/><Relationship Id="rId10" Type="http://schemas.openxmlformats.org/officeDocument/2006/relationships/hyperlink" Target="https://github.com/junjie-yang11/seismic-bump-forecasting/blob/e4c517b6f4b9671aff7b55f6886eb0f8bfaf9535/phase2/ranking/protocol.json" TargetMode="External"/><Relationship Id="rId11" Type="http://schemas.openxmlformats.org/officeDocument/2006/relationships/hyperlink" Target="https://github.com/junjie-yang11/seismic-bump-forecasting/tree/e4c517b6f4b9671aff7b55f6886eb0f8bfaf9535/phase2/ranking" TargetMode="External"/><Relationship Id="rId12" Type="http://schemas.openxmlformats.org/officeDocument/2006/relationships/hyperlink" Target="https://github.com/junjie-yang11/seismic-bump-forecasting/blob/e4c517b6f4b9671aff7b55f6886eb0f8bfaf9535/results/phase2/ranking/README.md" TargetMode="External"/><Relationship Id="rId13" Type="http://schemas.openxmlformats.org/officeDocument/2006/relationships/hyperlink" Target="https://github.com/junjie-yang11/seismic-bump-forecasting/blob/e4c517b6f4b9671aff7b55f6886eb0f8bfaf9535/phase2/ranking/verify.py" TargetMode="External"/><Relationship Id="rId14" Type="http://schemas.openxmlformats.org/officeDocument/2006/relationships/hyperlink" Target="https://github.com/junjie-yang11/seismic-bump-forecasting/blob/manuscript-2026-10-26/reports/overall/integrated_research_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Ranking Within Hazard Grades at Fixed Inspection Capacity: A Retrospective Pilot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