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4829D">
      <w:pPr>
        <w:jc w:val="center"/>
      </w:pPr>
      <w:r>
        <w:rPr>
          <w:b/>
          <w:sz w:val="32"/>
        </w:rPr>
        <w:t>报告第 7 节与附录 C 草稿</w:t>
      </w:r>
      <w:r>
        <w:rPr>
          <w:b/>
          <w:sz w:val="32"/>
        </w:rPr>
        <w:br w:type="textWrapping"/>
      </w:r>
      <w:r>
        <w:rPr>
          <w:b/>
          <w:sz w:val="32"/>
        </w:rPr>
        <w:t>Report Section 7 and Appendix C Draft</w:t>
      </w:r>
    </w:p>
    <w:p w14:paraId="13159289">
      <w:pPr>
        <w:jc w:val="center"/>
      </w:pPr>
      <w:r>
        <w:t>Based on the current VisualSurgerySystem repository outputs</w:t>
      </w:r>
    </w:p>
    <w:p w14:paraId="6194049C">
      <w:pPr>
        <w:pStyle w:val="3"/>
      </w:pPr>
      <w:r>
        <w:t>7 结论与未来工作 / Conclusion and Future Work</w:t>
      </w:r>
    </w:p>
    <w:p w14:paraId="1BADF4EF">
      <w:pPr>
        <w:pStyle w:val="4"/>
      </w:pPr>
      <w:r>
        <w:t>7.1 结论 / Conclusion</w:t>
      </w:r>
    </w:p>
    <w:p w14:paraId="1E6BE752">
      <w:r>
        <w:t>本项目</w:t>
      </w:r>
      <w:r>
        <w:rPr>
          <w:rFonts w:hint="eastAsia"/>
          <w:lang w:val="en-US" w:eastAsia="zh-CN"/>
        </w:rPr>
        <w:t>是一个</w:t>
      </w:r>
      <w:r>
        <w:t xml:space="preserve"> video-based surgical skill assessment，构建了 a vision-based surgical skill evaluation system</w:t>
      </w:r>
      <w:r>
        <w:rPr>
          <w:rFonts w:hint="eastAsia"/>
          <w:lang w:eastAsia="zh-CN"/>
        </w:rPr>
        <w:t>。</w:t>
      </w:r>
      <w:r>
        <w:t xml:space="preserve"> stabilization as a prerequisite for evaluation </w:t>
      </w:r>
      <w:r>
        <w:rPr>
          <w:rFonts w:hint="eastAsia"/>
          <w:lang w:val="en-US" w:eastAsia="zh-CN"/>
        </w:rPr>
        <w:t>作为</w:t>
      </w:r>
      <w:r>
        <w:t>统一设计主线。系统</w:t>
      </w:r>
      <w:r>
        <w:rPr>
          <w:rFonts w:hint="eastAsia"/>
          <w:lang w:val="en-US" w:eastAsia="zh-CN"/>
        </w:rPr>
        <w:t>进行了</w:t>
      </w:r>
      <w:r>
        <w:t xml:space="preserve"> 2D Observation Module、Hybrid 3D Reconstruction、Policy-Based Selection、Temporal Smoothing 与 Trajectory-Guided Feedback Agent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整体完成了</w:t>
      </w:r>
      <w:r>
        <w:t xml:space="preserve">上游轨迹恢复、case-level route selection 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和最终结论的</w:t>
      </w:r>
      <w:r>
        <w:t>反馈输出。</w:t>
      </w:r>
    </w:p>
    <w:p w14:paraId="588831E9">
      <w:r>
        <w:t>从当前结果看，2D Observation Module 在整体上达到 precision=93.14%、recall=90.85%、F1 score=91.98%、mAP50=89.49%、mAP50-95=62.54%。这说明</w:t>
      </w:r>
      <w:r>
        <w:rPr>
          <w:rFonts w:hint="eastAsia"/>
          <w:lang w:eastAsia="zh-CN"/>
        </w:rPr>
        <w:t>，</w:t>
      </w:r>
      <w:r>
        <w:t xml:space="preserve"> YOLO-based observation</w:t>
      </w:r>
      <w:r>
        <w:rPr>
          <w:rFonts w:hint="eastAsia"/>
          <w:lang w:val="en-US" w:eastAsia="zh-CN"/>
        </w:rPr>
        <w:t>在模型层面</w:t>
      </w:r>
      <w:r>
        <w:t xml:space="preserve"> 已经能够提供较稳定的基础输入。在 Policy-Based Selection 之后，最终 route distribution 为 tri=9、monster=3、2d=3、None=2。系统</w:t>
      </w:r>
      <w:r>
        <w:rPr>
          <w:rFonts w:hint="eastAsia"/>
          <w:lang w:val="en-US" w:eastAsia="zh-CN"/>
        </w:rPr>
        <w:t>的设计</w:t>
      </w:r>
      <w:r>
        <w:t>优先保留 methodological validity，即只有在轨迹质量</w:t>
      </w:r>
      <w:r>
        <w:rPr>
          <w:rFonts w:hint="eastAsia"/>
          <w:lang w:val="en-US" w:eastAsia="zh-CN"/>
        </w:rPr>
        <w:t>足够</w:t>
      </w:r>
      <w:r>
        <w:t>支持 downstream evaluation 时</w:t>
      </w:r>
      <w:r>
        <w:rPr>
          <w:rFonts w:hint="eastAsia"/>
          <w:lang w:eastAsia="zh-CN"/>
        </w:rPr>
        <w:t>，</w:t>
      </w:r>
      <w:r>
        <w:t>才继续使用对应 route。</w:t>
      </w:r>
    </w:p>
    <w:p w14:paraId="1F818317">
      <w:pPr>
        <w:rPr>
          <w:rFonts w:hint="default" w:eastAsia="PingFang SC"/>
          <w:lang w:val="en-US" w:eastAsia="zh-CN"/>
        </w:rPr>
      </w:pPr>
      <w:r>
        <w:t>3D recovery uses available calibration information and left-right keypoint correspondences when geometric triangulation is feasible. Triangulation leverages stereo geometry to recover 3D positions from left-right keypoint correspondences；</w:t>
      </w:r>
      <w:r>
        <w:rPr>
          <w:rFonts w:hint="eastAsia"/>
          <w:lang w:val="en-US" w:eastAsia="zh-CN"/>
        </w:rPr>
        <w:t>而</w:t>
      </w:r>
      <w:r>
        <w:t xml:space="preserve">当 triangulation 变得不可靠时，MonSter serves as a recovery route through monocular depth estimation. </w:t>
      </w:r>
      <w:r>
        <w:rPr>
          <w:rFonts w:hint="eastAsia"/>
          <w:lang w:val="en-US" w:eastAsia="zh-CN"/>
        </w:rPr>
        <w:t>因此，</w:t>
      </w:r>
      <w:r>
        <w:t xml:space="preserve">Tri 仍然是主要 3D route，而 MonSter </w:t>
      </w:r>
      <w:r>
        <w:rPr>
          <w:rFonts w:hint="eastAsia"/>
          <w:lang w:val="en-US" w:eastAsia="zh-CN"/>
        </w:rPr>
        <w:t>方法可</w:t>
      </w:r>
      <w:r>
        <w:t>在 Tri 失效时提供有效补充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对于一些cases，当两种3D方案均失效时，则会使它的轨迹回退到最初的2D。</w:t>
      </w:r>
    </w:p>
    <w:p w14:paraId="339BCE02">
      <w:r>
        <w:t xml:space="preserve">Temporal Smoothing </w:t>
      </w:r>
      <w:r>
        <w:rPr>
          <w:rFonts w:hint="eastAsia"/>
          <w:lang w:val="en-US" w:eastAsia="zh-CN"/>
        </w:rPr>
        <w:t>能够有效</w:t>
      </w:r>
      <w:r>
        <w:t>降低 route-level 噪声。3d_tri 的 disp_p95 从 44.44 降至 29.37，3d_monster 从 58.61 降至 21.88，2d 从 246.22 降至 99.67。这说明 Kalman filtering 在 quantitative metrics 上改善了 trajectory stability。同时，Trajectory-Guided Feedback Agent 能够把 summary feedback</w:t>
      </w:r>
      <w:r>
        <w:rPr>
          <w:rFonts w:hint="eastAsia"/>
          <w:lang w:val="en-US" w:eastAsia="zh-CN"/>
        </w:rPr>
        <w:t>和</w:t>
      </w:r>
      <w:r>
        <w:t xml:space="preserve">abnormal case window </w:t>
      </w:r>
      <w:r>
        <w:rPr>
          <w:rFonts w:hint="eastAsia"/>
          <w:lang w:val="en-US" w:eastAsia="zh-CN"/>
        </w:rPr>
        <w:t>整合在一起，并自主选择出</w:t>
      </w:r>
      <w:r>
        <w:t>代表性</w:t>
      </w:r>
      <w:r>
        <w:rPr>
          <w:rFonts w:hint="eastAsia"/>
          <w:lang w:val="en-US" w:eastAsia="zh-CN"/>
        </w:rPr>
        <w:t>的</w:t>
      </w:r>
      <w:r>
        <w:t xml:space="preserve"> figure </w:t>
      </w:r>
      <w:r>
        <w:rPr>
          <w:rFonts w:hint="eastAsia"/>
          <w:lang w:val="en-US" w:eastAsia="zh-CN"/>
        </w:rPr>
        <w:t>进行展示。Agent通过连接大语言模型，</w:t>
      </w:r>
      <w:r>
        <w:t>组织成可解释的</w:t>
      </w:r>
      <w:r>
        <w:rPr>
          <w:rFonts w:hint="eastAsia"/>
          <w:lang w:val="en-US" w:eastAsia="zh-CN"/>
        </w:rPr>
        <w:t>结论。</w:t>
      </w:r>
      <w:r>
        <w:t>当前系统已经具备面向 technical skill guidance 的原型能力，但</w:t>
      </w:r>
      <w:r>
        <w:rPr>
          <w:rFonts w:hint="eastAsia"/>
          <w:lang w:val="en-US" w:eastAsia="zh-CN"/>
        </w:rPr>
        <w:t>它</w:t>
      </w:r>
      <w:r>
        <w:t>仍然是 technical skill guidance, not clinical diagnosis。</w:t>
      </w:r>
    </w:p>
    <w:p w14:paraId="1A705AC2">
      <w:pPr>
        <w:pStyle w:val="4"/>
      </w:pPr>
      <w:r>
        <w:t>7.2 未来工作 / Future Work</w:t>
      </w:r>
    </w:p>
    <w:p w14:paraId="7F5B73E6">
      <w:r>
        <w:t>1. 固定阈值 gate 进一步发展为可学习或可自适应的 quality control。当前的 Policy-Based Selection 已经能够区分 tri、monster、2d 与 None，但阈值仍主要依赖 rule-based setting。</w:t>
      </w:r>
      <w:r>
        <w:rPr>
          <w:rFonts w:hint="eastAsia"/>
          <w:lang w:val="en-US" w:eastAsia="zh-CN"/>
        </w:rPr>
        <w:t>未来工作可以通过</w:t>
      </w:r>
      <w:r>
        <w:t xml:space="preserve"> validation statistics</w:t>
      </w:r>
      <w:r>
        <w:rPr>
          <w:rFonts w:hint="eastAsia"/>
          <w:lang w:val="en-US" w:eastAsia="zh-CN"/>
        </w:rPr>
        <w:t>或</w:t>
      </w:r>
      <w:r>
        <w:t>confidence calibration 来提升 routing 的能力。</w:t>
      </w:r>
    </w:p>
    <w:p w14:paraId="020BD8B8">
      <w:r>
        <w:rPr>
          <w:rFonts w:hint="eastAsia"/>
          <w:lang w:val="en-US" w:eastAsia="zh-CN"/>
        </w:rPr>
        <w:t>2</w:t>
      </w:r>
      <w:r>
        <w:t>.</w:t>
      </w:r>
      <w:r>
        <w:rPr>
          <w:rFonts w:hint="eastAsia"/>
          <w:lang w:val="en-US" w:eastAsia="zh-CN"/>
        </w:rPr>
        <w:t xml:space="preserve"> In this system, </w:t>
      </w:r>
      <w:r>
        <w:t>Tri 与 MonSter 已经形成</w:t>
      </w:r>
      <w:r>
        <w:rPr>
          <w:rFonts w:hint="eastAsia"/>
          <w:lang w:val="en-US" w:eastAsia="zh-CN"/>
        </w:rPr>
        <w:t>policy方面的</w:t>
      </w:r>
      <w:r>
        <w:t>互补，但后续</w:t>
      </w:r>
      <w:r>
        <w:rPr>
          <w:rFonts w:hint="eastAsia"/>
          <w:lang w:val="en-US" w:eastAsia="zh-CN"/>
        </w:rPr>
        <w:t>还</w:t>
      </w:r>
      <w:r>
        <w:t>可考虑</w:t>
      </w:r>
      <w:r>
        <w:rPr>
          <w:rFonts w:hint="eastAsia"/>
          <w:lang w:val="en-US" w:eastAsia="zh-CN"/>
        </w:rPr>
        <w:t>把</w:t>
      </w:r>
      <w:r>
        <w:t xml:space="preserve">3D reconstruction 与 temporal consistency </w:t>
      </w:r>
      <w:r>
        <w:rPr>
          <w:rFonts w:hint="eastAsia"/>
          <w:lang w:val="en-US" w:eastAsia="zh-CN"/>
        </w:rPr>
        <w:t>联合</w:t>
      </w:r>
      <w:r>
        <w:t>建模。</w:t>
      </w:r>
      <w:r>
        <w:rPr>
          <w:rFonts w:hint="eastAsia"/>
          <w:lang w:val="en-US" w:eastAsia="zh-CN"/>
        </w:rPr>
        <w:t>这样做有可能</w:t>
      </w:r>
      <w:r>
        <w:t>减少 borderline cases 中的 route oscillation 和 residual jitter。</w:t>
      </w:r>
    </w:p>
    <w:p w14:paraId="7294A3C7">
      <w:r>
        <w:rPr>
          <w:rFonts w:hint="eastAsia"/>
          <w:lang w:val="en-US" w:eastAsia="zh-CN"/>
        </w:rPr>
        <w:t>3</w:t>
      </w:r>
      <w:r>
        <w:t xml:space="preserve">. 扩展 feedback layer 的能力。 </w:t>
      </w:r>
      <w:r>
        <w:rPr>
          <w:rFonts w:hint="eastAsia"/>
          <w:lang w:val="en-US" w:eastAsia="zh-CN"/>
        </w:rPr>
        <w:t>当前的</w:t>
      </w:r>
      <w:r>
        <w:t>Trajectory-Guided Feedback Agent 主要</w:t>
      </w:r>
      <w:r>
        <w:rPr>
          <w:rFonts w:hint="eastAsia"/>
          <w:lang w:val="en-US" w:eastAsia="zh-CN"/>
        </w:rPr>
        <w:t>处理</w:t>
      </w:r>
      <w:r>
        <w:t xml:space="preserve"> trajectory evidence、case summary 与abnormal case window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它</w:t>
      </w:r>
      <w:r>
        <w:t>后续可以补充</w:t>
      </w:r>
      <w:r>
        <w:rPr>
          <w:rFonts w:hint="eastAsia"/>
          <w:lang w:val="en-US" w:eastAsia="zh-CN"/>
        </w:rPr>
        <w:t>more detailed information，比如</w:t>
      </w:r>
      <w:r>
        <w:t>runtime profiling、cross-dataset evaluation、threshold sensitivity analysis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除此之外，还可以搭建更丰富的</w:t>
      </w:r>
      <w:r>
        <w:t>可视化面板</w:t>
      </w:r>
      <w:r>
        <w:rPr>
          <w:rFonts w:hint="eastAsia"/>
          <w:lang w:val="en-US" w:eastAsia="zh-CN"/>
        </w:rPr>
        <w:t>以供展示</w:t>
      </w:r>
      <w:bookmarkStart w:id="0" w:name="_GoBack"/>
      <w:bookmarkEnd w:id="0"/>
      <w:r>
        <w:t>。</w:t>
      </w:r>
    </w:p>
    <w:p w14:paraId="133CE5B7">
      <w:p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C1B8407">
      <w:pPr>
        <w:pStyle w:val="3"/>
      </w:pPr>
      <w:r>
        <w:t>Appendix C 附录 C：补充图表 / Supplementary Charts and Figures</w:t>
      </w:r>
    </w:p>
    <w:p w14:paraId="557640CA">
      <w:r>
        <w:t>本附录仅罗列适合作为补充材料的关键图表与代表性图片，重点服务于结果解释而不是展开新的正文分析。所有模块名、route 名称与指标名均遵循 writing_rules_terminology_table.xlsx 中的统一写法。</w:t>
      </w:r>
    </w:p>
    <w:p w14:paraId="5456AD2C">
      <w:pPr>
        <w:jc w:val="left"/>
      </w:pPr>
      <w:r>
        <w:rPr>
          <w:b/>
        </w:rPr>
        <w:t>Table C1. Run-level evaluation summary / 运行级评估汇总表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168"/>
        <w:gridCol w:w="2592"/>
      </w:tblGrid>
      <w:tr w14:paraId="77620A10">
        <w:trPr>
          <w:jc w:val="center"/>
        </w:trPr>
        <w:tc>
          <w:tcPr>
            <w:tcW w:w="2880" w:type="dxa"/>
          </w:tcPr>
          <w:p w14:paraId="5E90C45D">
            <w:pPr>
              <w:spacing w:after="0" w:line="240" w:lineRule="auto"/>
            </w:pPr>
            <w:r>
              <w:t>Category</w:t>
            </w:r>
          </w:p>
        </w:tc>
        <w:tc>
          <w:tcPr>
            <w:tcW w:w="3168" w:type="dxa"/>
          </w:tcPr>
          <w:p w14:paraId="2FD646B6">
            <w:pPr>
              <w:spacing w:after="0" w:line="240" w:lineRule="auto"/>
            </w:pPr>
            <w:r>
              <w:t>Indicator</w:t>
            </w:r>
          </w:p>
        </w:tc>
        <w:tc>
          <w:tcPr>
            <w:tcW w:w="2592" w:type="dxa"/>
          </w:tcPr>
          <w:p w14:paraId="3D7DC540">
            <w:pPr>
              <w:spacing w:after="0" w:line="240" w:lineRule="auto"/>
            </w:pPr>
            <w:r>
              <w:t>Value</w:t>
            </w:r>
          </w:p>
        </w:tc>
      </w:tr>
      <w:tr w14:paraId="24564E78">
        <w:trPr>
          <w:jc w:val="center"/>
        </w:trPr>
        <w:tc>
          <w:tcPr>
            <w:tcW w:w="2880" w:type="dxa"/>
          </w:tcPr>
          <w:p w14:paraId="3BBA7556">
            <w:pPr>
              <w:spacing w:after="0" w:line="240" w:lineRule="auto"/>
            </w:pPr>
            <w:r>
              <w:t>2D Observation Module</w:t>
            </w:r>
          </w:p>
        </w:tc>
        <w:tc>
          <w:tcPr>
            <w:tcW w:w="3168" w:type="dxa"/>
          </w:tcPr>
          <w:p w14:paraId="6F059A27">
            <w:pPr>
              <w:spacing w:after="0" w:line="240" w:lineRule="auto"/>
            </w:pPr>
            <w:r>
              <w:t>precision</w:t>
            </w:r>
          </w:p>
        </w:tc>
        <w:tc>
          <w:tcPr>
            <w:tcW w:w="2592" w:type="dxa"/>
          </w:tcPr>
          <w:p w14:paraId="46E7E686">
            <w:pPr>
              <w:spacing w:after="0" w:line="240" w:lineRule="auto"/>
            </w:pPr>
            <w:r>
              <w:t>93.14%</w:t>
            </w:r>
          </w:p>
        </w:tc>
      </w:tr>
      <w:tr w14:paraId="20607313">
        <w:trPr>
          <w:jc w:val="center"/>
        </w:trPr>
        <w:tc>
          <w:tcPr>
            <w:tcW w:w="2880" w:type="dxa"/>
          </w:tcPr>
          <w:p w14:paraId="40894989">
            <w:pPr>
              <w:spacing w:after="0" w:line="240" w:lineRule="auto"/>
            </w:pPr>
            <w:r>
              <w:t>2D Observation Module</w:t>
            </w:r>
          </w:p>
        </w:tc>
        <w:tc>
          <w:tcPr>
            <w:tcW w:w="3168" w:type="dxa"/>
          </w:tcPr>
          <w:p w14:paraId="50754EC6">
            <w:pPr>
              <w:spacing w:after="0" w:line="240" w:lineRule="auto"/>
            </w:pPr>
            <w:r>
              <w:t>recall</w:t>
            </w:r>
          </w:p>
        </w:tc>
        <w:tc>
          <w:tcPr>
            <w:tcW w:w="2592" w:type="dxa"/>
          </w:tcPr>
          <w:p w14:paraId="3F0435FB">
            <w:pPr>
              <w:spacing w:after="0" w:line="240" w:lineRule="auto"/>
            </w:pPr>
            <w:r>
              <w:t>90.85%</w:t>
            </w:r>
          </w:p>
        </w:tc>
      </w:tr>
      <w:tr w14:paraId="30A26CCD">
        <w:trPr>
          <w:jc w:val="center"/>
        </w:trPr>
        <w:tc>
          <w:tcPr>
            <w:tcW w:w="2880" w:type="dxa"/>
          </w:tcPr>
          <w:p w14:paraId="1071685D">
            <w:pPr>
              <w:spacing w:after="0" w:line="240" w:lineRule="auto"/>
            </w:pPr>
            <w:r>
              <w:t>2D Observation Module</w:t>
            </w:r>
          </w:p>
        </w:tc>
        <w:tc>
          <w:tcPr>
            <w:tcW w:w="3168" w:type="dxa"/>
          </w:tcPr>
          <w:p w14:paraId="42B05FF0">
            <w:pPr>
              <w:spacing w:after="0" w:line="240" w:lineRule="auto"/>
            </w:pPr>
            <w:r>
              <w:t>F1 score</w:t>
            </w:r>
          </w:p>
        </w:tc>
        <w:tc>
          <w:tcPr>
            <w:tcW w:w="2592" w:type="dxa"/>
          </w:tcPr>
          <w:p w14:paraId="478A3A07">
            <w:pPr>
              <w:spacing w:after="0" w:line="240" w:lineRule="auto"/>
            </w:pPr>
            <w:r>
              <w:t>91.98%</w:t>
            </w:r>
          </w:p>
        </w:tc>
      </w:tr>
      <w:tr w14:paraId="4B800A38">
        <w:trPr>
          <w:jc w:val="center"/>
        </w:trPr>
        <w:tc>
          <w:tcPr>
            <w:tcW w:w="2880" w:type="dxa"/>
          </w:tcPr>
          <w:p w14:paraId="7F444EA5">
            <w:pPr>
              <w:spacing w:after="0" w:line="240" w:lineRule="auto"/>
            </w:pPr>
            <w:r>
              <w:t>2D Observation Module</w:t>
            </w:r>
          </w:p>
        </w:tc>
        <w:tc>
          <w:tcPr>
            <w:tcW w:w="3168" w:type="dxa"/>
          </w:tcPr>
          <w:p w14:paraId="568787CD">
            <w:pPr>
              <w:spacing w:after="0" w:line="240" w:lineRule="auto"/>
            </w:pPr>
            <w:r>
              <w:t>mAP50</w:t>
            </w:r>
          </w:p>
        </w:tc>
        <w:tc>
          <w:tcPr>
            <w:tcW w:w="2592" w:type="dxa"/>
          </w:tcPr>
          <w:p w14:paraId="302BD616">
            <w:pPr>
              <w:spacing w:after="0" w:line="240" w:lineRule="auto"/>
            </w:pPr>
            <w:r>
              <w:t>89.49%</w:t>
            </w:r>
          </w:p>
        </w:tc>
      </w:tr>
      <w:tr w14:paraId="1C36D660">
        <w:trPr>
          <w:jc w:val="center"/>
        </w:trPr>
        <w:tc>
          <w:tcPr>
            <w:tcW w:w="2880" w:type="dxa"/>
          </w:tcPr>
          <w:p w14:paraId="5B94E2AD">
            <w:pPr>
              <w:spacing w:after="0" w:line="240" w:lineRule="auto"/>
            </w:pPr>
            <w:r>
              <w:t>2D Observation Module</w:t>
            </w:r>
          </w:p>
        </w:tc>
        <w:tc>
          <w:tcPr>
            <w:tcW w:w="3168" w:type="dxa"/>
          </w:tcPr>
          <w:p w14:paraId="204E13FB">
            <w:pPr>
              <w:spacing w:after="0" w:line="240" w:lineRule="auto"/>
            </w:pPr>
            <w:r>
              <w:t>mAP50-95</w:t>
            </w:r>
          </w:p>
        </w:tc>
        <w:tc>
          <w:tcPr>
            <w:tcW w:w="2592" w:type="dxa"/>
          </w:tcPr>
          <w:p w14:paraId="51BCD268">
            <w:pPr>
              <w:spacing w:after="0" w:line="240" w:lineRule="auto"/>
            </w:pPr>
            <w:r>
              <w:t>62.54%</w:t>
            </w:r>
          </w:p>
        </w:tc>
      </w:tr>
      <w:tr w14:paraId="76709B85">
        <w:trPr>
          <w:jc w:val="center"/>
        </w:trPr>
        <w:tc>
          <w:tcPr>
            <w:tcW w:w="2880" w:type="dxa"/>
          </w:tcPr>
          <w:p w14:paraId="27FA9320">
            <w:pPr>
              <w:spacing w:after="0" w:line="240" w:lineRule="auto"/>
            </w:pPr>
            <w:r>
              <w:t>Policy-Based Selection</w:t>
            </w:r>
          </w:p>
        </w:tc>
        <w:tc>
          <w:tcPr>
            <w:tcW w:w="3168" w:type="dxa"/>
          </w:tcPr>
          <w:p w14:paraId="059A1F35">
            <w:pPr>
              <w:spacing w:after="0" w:line="240" w:lineRule="auto"/>
            </w:pPr>
            <w:r>
              <w:t>tri cases</w:t>
            </w:r>
          </w:p>
        </w:tc>
        <w:tc>
          <w:tcPr>
            <w:tcW w:w="2592" w:type="dxa"/>
          </w:tcPr>
          <w:p w14:paraId="372BA561">
            <w:pPr>
              <w:spacing w:after="0" w:line="240" w:lineRule="auto"/>
            </w:pPr>
            <w:r>
              <w:t>9</w:t>
            </w:r>
          </w:p>
        </w:tc>
      </w:tr>
      <w:tr w14:paraId="28490804">
        <w:trPr>
          <w:jc w:val="center"/>
        </w:trPr>
        <w:tc>
          <w:tcPr>
            <w:tcW w:w="2880" w:type="dxa"/>
          </w:tcPr>
          <w:p w14:paraId="66B11B4C">
            <w:pPr>
              <w:spacing w:after="0" w:line="240" w:lineRule="auto"/>
            </w:pPr>
            <w:r>
              <w:t>Policy-Based Selection</w:t>
            </w:r>
          </w:p>
        </w:tc>
        <w:tc>
          <w:tcPr>
            <w:tcW w:w="3168" w:type="dxa"/>
          </w:tcPr>
          <w:p w14:paraId="52340A91">
            <w:pPr>
              <w:spacing w:after="0" w:line="240" w:lineRule="auto"/>
            </w:pPr>
            <w:r>
              <w:t>monster cases</w:t>
            </w:r>
          </w:p>
        </w:tc>
        <w:tc>
          <w:tcPr>
            <w:tcW w:w="2592" w:type="dxa"/>
          </w:tcPr>
          <w:p w14:paraId="4E3242AF">
            <w:pPr>
              <w:spacing w:after="0" w:line="240" w:lineRule="auto"/>
            </w:pPr>
            <w:r>
              <w:t>3</w:t>
            </w:r>
          </w:p>
        </w:tc>
      </w:tr>
      <w:tr w14:paraId="089CBC3F">
        <w:trPr>
          <w:jc w:val="center"/>
        </w:trPr>
        <w:tc>
          <w:tcPr>
            <w:tcW w:w="2880" w:type="dxa"/>
          </w:tcPr>
          <w:p w14:paraId="7A39D32A">
            <w:pPr>
              <w:spacing w:after="0" w:line="240" w:lineRule="auto"/>
            </w:pPr>
            <w:r>
              <w:t>Policy-Based Selection</w:t>
            </w:r>
          </w:p>
        </w:tc>
        <w:tc>
          <w:tcPr>
            <w:tcW w:w="3168" w:type="dxa"/>
          </w:tcPr>
          <w:p w14:paraId="16A27CD4">
            <w:pPr>
              <w:spacing w:after="0" w:line="240" w:lineRule="auto"/>
            </w:pPr>
            <w:r>
              <w:t>2d fallback cases</w:t>
            </w:r>
          </w:p>
        </w:tc>
        <w:tc>
          <w:tcPr>
            <w:tcW w:w="2592" w:type="dxa"/>
          </w:tcPr>
          <w:p w14:paraId="3EBB0CFD">
            <w:pPr>
              <w:spacing w:after="0" w:line="240" w:lineRule="auto"/>
            </w:pPr>
            <w:r>
              <w:t>3</w:t>
            </w:r>
          </w:p>
        </w:tc>
      </w:tr>
      <w:tr w14:paraId="3AC438B0">
        <w:trPr>
          <w:jc w:val="center"/>
        </w:trPr>
        <w:tc>
          <w:tcPr>
            <w:tcW w:w="2880" w:type="dxa"/>
          </w:tcPr>
          <w:p w14:paraId="4F87F9F1">
            <w:pPr>
              <w:spacing w:after="0" w:line="240" w:lineRule="auto"/>
            </w:pPr>
            <w:r>
              <w:t>Policy-Based Selection</w:t>
            </w:r>
          </w:p>
        </w:tc>
        <w:tc>
          <w:tcPr>
            <w:tcW w:w="3168" w:type="dxa"/>
          </w:tcPr>
          <w:p w14:paraId="079F7ACE">
            <w:pPr>
              <w:spacing w:after="0" w:line="240" w:lineRule="auto"/>
            </w:pPr>
            <w:r>
              <w:t>None cases</w:t>
            </w:r>
          </w:p>
        </w:tc>
        <w:tc>
          <w:tcPr>
            <w:tcW w:w="2592" w:type="dxa"/>
          </w:tcPr>
          <w:p w14:paraId="686027BE">
            <w:pPr>
              <w:spacing w:after="0" w:line="240" w:lineRule="auto"/>
            </w:pPr>
            <w:r>
              <w:t>2</w:t>
            </w:r>
          </w:p>
        </w:tc>
      </w:tr>
      <w:tr w14:paraId="1F783CCD">
        <w:trPr>
          <w:jc w:val="center"/>
        </w:trPr>
        <w:tc>
          <w:tcPr>
            <w:tcW w:w="2880" w:type="dxa"/>
          </w:tcPr>
          <w:p w14:paraId="4163278F">
            <w:pPr>
              <w:spacing w:after="0" w:line="240" w:lineRule="auto"/>
            </w:pPr>
            <w:r>
              <w:t>Hybrid 3D Reconstruction</w:t>
            </w:r>
          </w:p>
        </w:tc>
        <w:tc>
          <w:tcPr>
            <w:tcW w:w="3168" w:type="dxa"/>
          </w:tcPr>
          <w:p w14:paraId="00EC7D91">
            <w:pPr>
              <w:spacing w:after="0" w:line="240" w:lineRule="auto"/>
            </w:pPr>
            <w:r>
              <w:t>Tri valid_all</w:t>
            </w:r>
          </w:p>
        </w:tc>
        <w:tc>
          <w:tcPr>
            <w:tcW w:w="2592" w:type="dxa"/>
          </w:tcPr>
          <w:p w14:paraId="6E1A79EE">
            <w:pPr>
              <w:spacing w:after="0" w:line="240" w:lineRule="auto"/>
            </w:pPr>
            <w:r>
              <w:t>0.806</w:t>
            </w:r>
          </w:p>
        </w:tc>
      </w:tr>
      <w:tr w14:paraId="3B0173DD">
        <w:trPr>
          <w:jc w:val="center"/>
        </w:trPr>
        <w:tc>
          <w:tcPr>
            <w:tcW w:w="2880" w:type="dxa"/>
          </w:tcPr>
          <w:p w14:paraId="35338E3B">
            <w:pPr>
              <w:spacing w:after="0" w:line="240" w:lineRule="auto"/>
            </w:pPr>
            <w:r>
              <w:t>Hybrid 3D Reconstruction</w:t>
            </w:r>
          </w:p>
        </w:tc>
        <w:tc>
          <w:tcPr>
            <w:tcW w:w="3168" w:type="dxa"/>
          </w:tcPr>
          <w:p w14:paraId="59A538FB">
            <w:pPr>
              <w:spacing w:after="0" w:line="240" w:lineRule="auto"/>
            </w:pPr>
            <w:r>
              <w:t>MonSter valid_all</w:t>
            </w:r>
          </w:p>
        </w:tc>
        <w:tc>
          <w:tcPr>
            <w:tcW w:w="2592" w:type="dxa"/>
          </w:tcPr>
          <w:p w14:paraId="4FB46F7D">
            <w:pPr>
              <w:spacing w:after="0" w:line="240" w:lineRule="auto"/>
            </w:pPr>
            <w:r>
              <w:t>0.978</w:t>
            </w:r>
          </w:p>
        </w:tc>
      </w:tr>
      <w:tr w14:paraId="61D764E5">
        <w:trPr>
          <w:jc w:val="center"/>
        </w:trPr>
        <w:tc>
          <w:tcPr>
            <w:tcW w:w="2880" w:type="dxa"/>
          </w:tcPr>
          <w:p w14:paraId="6D03EBDC">
            <w:pPr>
              <w:spacing w:after="0" w:line="240" w:lineRule="auto"/>
            </w:pPr>
            <w:r>
              <w:t>Temporal Smoothing</w:t>
            </w:r>
          </w:p>
        </w:tc>
        <w:tc>
          <w:tcPr>
            <w:tcW w:w="3168" w:type="dxa"/>
          </w:tcPr>
          <w:p w14:paraId="30EDEAC0">
            <w:pPr>
              <w:spacing w:after="0" w:line="240" w:lineRule="auto"/>
            </w:pPr>
            <w:r>
              <w:t>Tri disp_p95 raw -&gt; kf</w:t>
            </w:r>
          </w:p>
        </w:tc>
        <w:tc>
          <w:tcPr>
            <w:tcW w:w="2592" w:type="dxa"/>
          </w:tcPr>
          <w:p w14:paraId="49D585F3">
            <w:pPr>
              <w:spacing w:after="0" w:line="240" w:lineRule="auto"/>
            </w:pPr>
            <w:r>
              <w:t>44.44 -&gt; 29.37</w:t>
            </w:r>
          </w:p>
        </w:tc>
      </w:tr>
      <w:tr w14:paraId="7A889EA4">
        <w:trPr>
          <w:jc w:val="center"/>
        </w:trPr>
        <w:tc>
          <w:tcPr>
            <w:tcW w:w="2880" w:type="dxa"/>
          </w:tcPr>
          <w:p w14:paraId="3C96E9E1">
            <w:pPr>
              <w:spacing w:after="0" w:line="240" w:lineRule="auto"/>
            </w:pPr>
            <w:r>
              <w:t>Temporal Smoothing</w:t>
            </w:r>
          </w:p>
        </w:tc>
        <w:tc>
          <w:tcPr>
            <w:tcW w:w="3168" w:type="dxa"/>
          </w:tcPr>
          <w:p w14:paraId="72DF34C4">
            <w:pPr>
              <w:spacing w:after="0" w:line="240" w:lineRule="auto"/>
            </w:pPr>
            <w:r>
              <w:t>MonSter disp_p95 raw -&gt; kf</w:t>
            </w:r>
          </w:p>
        </w:tc>
        <w:tc>
          <w:tcPr>
            <w:tcW w:w="2592" w:type="dxa"/>
          </w:tcPr>
          <w:p w14:paraId="42D6E35F">
            <w:pPr>
              <w:spacing w:after="0" w:line="240" w:lineRule="auto"/>
            </w:pPr>
            <w:r>
              <w:t>58.61 -&gt; 21.88</w:t>
            </w:r>
          </w:p>
        </w:tc>
      </w:tr>
      <w:tr w14:paraId="2E9250BC">
        <w:trPr>
          <w:jc w:val="center"/>
        </w:trPr>
        <w:tc>
          <w:tcPr>
            <w:tcW w:w="2880" w:type="dxa"/>
          </w:tcPr>
          <w:p w14:paraId="1E6D0520">
            <w:pPr>
              <w:spacing w:after="0" w:line="240" w:lineRule="auto"/>
            </w:pPr>
            <w:r>
              <w:t>Temporal Smoothing</w:t>
            </w:r>
          </w:p>
        </w:tc>
        <w:tc>
          <w:tcPr>
            <w:tcW w:w="3168" w:type="dxa"/>
          </w:tcPr>
          <w:p w14:paraId="733ED767">
            <w:pPr>
              <w:spacing w:after="0" w:line="240" w:lineRule="auto"/>
            </w:pPr>
            <w:r>
              <w:t>2D disp_p95 raw -&gt; kf</w:t>
            </w:r>
          </w:p>
        </w:tc>
        <w:tc>
          <w:tcPr>
            <w:tcW w:w="2592" w:type="dxa"/>
          </w:tcPr>
          <w:p w14:paraId="00D6FD22">
            <w:pPr>
              <w:spacing w:after="0" w:line="240" w:lineRule="auto"/>
            </w:pPr>
            <w:r>
              <w:t>246.22 -&gt; 99.67</w:t>
            </w:r>
          </w:p>
        </w:tc>
      </w:tr>
    </w:tbl>
    <w:p w14:paraId="1ED9E9D3">
      <w:pPr>
        <w:jc w:val="left"/>
      </w:pPr>
      <w:r>
        <w:rPr>
          <w:i/>
          <w:sz w:val="18"/>
        </w:rPr>
        <w:t>来源 / Source: output/evaluation/final_eval_summary.csv</w:t>
      </w:r>
    </w:p>
    <w:p w14:paraId="4DCCC2C9">
      <w:pPr>
        <w:jc w:val="left"/>
      </w:pPr>
      <w:r>
        <w:rPr>
          <w:b/>
        </w:rPr>
        <w:t>Figure C1. Policy route distribution / 策略路由分布</w:t>
      </w:r>
    </w:p>
    <w:p w14:paraId="1D8CA2B4">
      <w:pPr>
        <w:jc w:val="center"/>
      </w:pPr>
      <w:r>
        <w:drawing>
          <wp:inline distT="0" distB="0" distL="114300" distR="114300">
            <wp:extent cx="5669280" cy="3364230"/>
            <wp:effectExtent l="0" t="0" r="2032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E648">
      <w:pPr>
        <w:jc w:val="left"/>
      </w:pPr>
      <w:r>
        <w:rPr>
          <w:i/>
          <w:sz w:val="18"/>
        </w:rPr>
        <w:t>来源 / Source: output/evaluation/policy.csv; output/evaluation/final_eval_summary.csv</w:t>
      </w:r>
    </w:p>
    <w:p w14:paraId="0EF7AB00">
      <w:pPr>
        <w:jc w:val="left"/>
      </w:pPr>
      <w:r>
        <w:rPr>
          <w:b/>
        </w:rPr>
        <w:t>Figure C2. Per-case F1 score of the 2D Observation Module / 2D Observation Module 各 case 的 F1 score</w:t>
      </w:r>
    </w:p>
    <w:p w14:paraId="09B6D4C8">
      <w:pPr>
        <w:jc w:val="center"/>
      </w:pPr>
      <w:r>
        <w:drawing>
          <wp:inline distT="0" distB="0" distL="114300" distR="114300">
            <wp:extent cx="5852160" cy="2361565"/>
            <wp:effectExtent l="0" t="0" r="152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6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D9D0">
      <w:pPr>
        <w:jc w:val="left"/>
      </w:pPr>
      <w:r>
        <w:rPr>
          <w:i/>
          <w:sz w:val="18"/>
        </w:rPr>
        <w:t>来源 / Source: output/evaluation/evaluate_2d_results.csv</w:t>
      </w:r>
    </w:p>
    <w:p w14:paraId="6BFA7227">
      <w:pPr>
        <w:jc w:val="left"/>
      </w:pPr>
      <w:r>
        <w:rPr>
          <w:b/>
        </w:rPr>
        <w:t>Figure C3. disp_p95 before and after Temporal Smoothing / Temporal Smoothing 前后 disp_p95 对比</w:t>
      </w:r>
    </w:p>
    <w:p w14:paraId="32F5BCD9">
      <w:pPr>
        <w:jc w:val="center"/>
      </w:pPr>
      <w:r>
        <w:drawing>
          <wp:inline distT="0" distB="0" distL="114300" distR="114300">
            <wp:extent cx="5577840" cy="3270885"/>
            <wp:effectExtent l="0" t="0" r="1016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C7BA">
      <w:pPr>
        <w:jc w:val="left"/>
      </w:pPr>
      <w:r>
        <w:rPr>
          <w:i/>
          <w:sz w:val="18"/>
        </w:rPr>
        <w:t>来源 / Source: output/evaluation/final_eval_summary.csv; output/evaluation/evaluate_kalman.csv; output/evaluation/llm_input.json</w:t>
      </w:r>
    </w:p>
    <w:p w14:paraId="0858A853">
      <w:pPr>
        <w:jc w:val="left"/>
      </w:pPr>
      <w:r>
        <w:rPr>
          <w:b/>
        </w:rPr>
        <w:t>Table C2. Representative cases selected by the Trajectory-Guided Feedback Agent / Agent 自动选择的代表性案例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733"/>
        <w:gridCol w:w="1272"/>
        <w:gridCol w:w="1629"/>
        <w:gridCol w:w="3282"/>
      </w:tblGrid>
      <w:tr w14:paraId="57ABE800">
        <w:trPr>
          <w:jc w:val="center"/>
        </w:trPr>
        <w:tc>
          <w:tcPr>
            <w:tcW w:w="2016" w:type="dxa"/>
          </w:tcPr>
          <w:p w14:paraId="5C7A60E0">
            <w:pPr>
              <w:spacing w:after="0" w:line="240" w:lineRule="auto"/>
            </w:pPr>
            <w:r>
              <w:t>Bucket</w:t>
            </w:r>
          </w:p>
        </w:tc>
        <w:tc>
          <w:tcPr>
            <w:tcW w:w="1008" w:type="dxa"/>
          </w:tcPr>
          <w:p w14:paraId="2C8DC5C3">
            <w:pPr>
              <w:spacing w:after="0" w:line="240" w:lineRule="auto"/>
            </w:pPr>
            <w:r>
              <w:t>Case</w:t>
            </w:r>
          </w:p>
        </w:tc>
        <w:tc>
          <w:tcPr>
            <w:tcW w:w="1440" w:type="dxa"/>
          </w:tcPr>
          <w:p w14:paraId="3D5C6A5B">
            <w:pPr>
              <w:spacing w:after="0" w:line="240" w:lineRule="auto"/>
            </w:pPr>
            <w:r>
              <w:t>final_mode</w:t>
            </w:r>
          </w:p>
        </w:tc>
        <w:tc>
          <w:tcPr>
            <w:tcW w:w="1728" w:type="dxa"/>
          </w:tcPr>
          <w:p w14:paraId="3B445B4F">
            <w:pPr>
              <w:spacing w:after="0" w:line="240" w:lineRule="auto"/>
            </w:pPr>
            <w:r>
              <w:t>chosen_method</w:t>
            </w:r>
          </w:p>
        </w:tc>
        <w:tc>
          <w:tcPr>
            <w:tcW w:w="4464" w:type="dxa"/>
          </w:tcPr>
          <w:p w14:paraId="2A25FFC0">
            <w:pPr>
              <w:spacing w:after="0" w:line="240" w:lineRule="auto"/>
            </w:pPr>
            <w:r>
              <w:t>Key route reason</w:t>
            </w:r>
          </w:p>
        </w:tc>
      </w:tr>
      <w:tr w14:paraId="3031DB53">
        <w:trPr>
          <w:jc w:val="center"/>
        </w:trPr>
        <w:tc>
          <w:tcPr>
            <w:tcW w:w="2016" w:type="dxa"/>
          </w:tcPr>
          <w:p w14:paraId="1BE34D22">
            <w:pPr>
              <w:spacing w:after="0" w:line="240" w:lineRule="auto"/>
            </w:pPr>
            <w:r>
              <w:t>c1_2d_fail_none</w:t>
            </w:r>
          </w:p>
        </w:tc>
        <w:tc>
          <w:tcPr>
            <w:tcW w:w="1008" w:type="dxa"/>
          </w:tcPr>
          <w:p w14:paraId="1064F8FE">
            <w:pPr>
              <w:spacing w:after="0" w:line="240" w:lineRule="auto"/>
            </w:pPr>
            <w:r>
              <w:t>33</w:t>
            </w:r>
          </w:p>
        </w:tc>
        <w:tc>
          <w:tcPr>
            <w:tcW w:w="1440" w:type="dxa"/>
          </w:tcPr>
          <w:p w14:paraId="1A0EDF6B">
            <w:pPr>
              <w:spacing w:after="0" w:line="240" w:lineRule="auto"/>
            </w:pPr>
            <w:r>
              <w:t>None</w:t>
            </w:r>
          </w:p>
        </w:tc>
        <w:tc>
          <w:tcPr>
            <w:tcW w:w="1728" w:type="dxa"/>
          </w:tcPr>
          <w:p w14:paraId="73D92706">
            <w:pPr>
              <w:spacing w:after="0" w:line="240" w:lineRule="auto"/>
            </w:pPr>
            <w:r>
              <w:t>2d</w:t>
            </w:r>
          </w:p>
        </w:tc>
        <w:tc>
          <w:tcPr>
            <w:tcW w:w="4464" w:type="dxa"/>
          </w:tcPr>
          <w:p w14:paraId="32E041F0">
            <w:pPr>
              <w:spacing w:after="0" w:line="240" w:lineRule="auto"/>
            </w:pPr>
            <w:r>
              <w:t>C1 2d fail: reason_2d=f1&lt;0.85, 2d_f1=0.625719, policy_mode=None</w:t>
            </w:r>
          </w:p>
        </w:tc>
      </w:tr>
      <w:tr w14:paraId="71D07ACA">
        <w:trPr>
          <w:jc w:val="center"/>
        </w:trPr>
        <w:tc>
          <w:tcPr>
            <w:tcW w:w="2016" w:type="dxa"/>
          </w:tcPr>
          <w:p w14:paraId="1E44B92A">
            <w:pPr>
              <w:spacing w:after="0" w:line="240" w:lineRule="auto"/>
            </w:pPr>
            <w:r>
              <w:t>c2_fallback_2d</w:t>
            </w:r>
          </w:p>
        </w:tc>
        <w:tc>
          <w:tcPr>
            <w:tcW w:w="1008" w:type="dxa"/>
          </w:tcPr>
          <w:p w14:paraId="6E808632">
            <w:pPr>
              <w:spacing w:after="0" w:line="240" w:lineRule="auto"/>
            </w:pPr>
            <w:r>
              <w:t>31</w:t>
            </w:r>
          </w:p>
        </w:tc>
        <w:tc>
          <w:tcPr>
            <w:tcW w:w="1440" w:type="dxa"/>
          </w:tcPr>
          <w:p w14:paraId="2EEEC108">
            <w:pPr>
              <w:spacing w:after="0" w:line="240" w:lineRule="auto"/>
            </w:pPr>
            <w:r>
              <w:t>2d</w:t>
            </w:r>
          </w:p>
        </w:tc>
        <w:tc>
          <w:tcPr>
            <w:tcW w:w="1728" w:type="dxa"/>
          </w:tcPr>
          <w:p w14:paraId="0A2E1904">
            <w:pPr>
              <w:spacing w:after="0" w:line="240" w:lineRule="auto"/>
            </w:pPr>
            <w:r>
              <w:t>2d</w:t>
            </w:r>
          </w:p>
        </w:tc>
        <w:tc>
          <w:tcPr>
            <w:tcW w:w="4464" w:type="dxa"/>
          </w:tcPr>
          <w:p w14:paraId="70320B83">
            <w:pPr>
              <w:spacing w:after="0" w:line="240" w:lineRule="auto"/>
            </w:pPr>
            <w:r>
              <w:t>C2 fallback 2d: tri fail (valid_all&lt;0.80), monster fail (disp_p95&gt;90.0), 2d_f1=0.885807</w:t>
            </w:r>
          </w:p>
        </w:tc>
      </w:tr>
      <w:tr w14:paraId="636AC6E3">
        <w:trPr>
          <w:jc w:val="center"/>
        </w:trPr>
        <w:tc>
          <w:tcPr>
            <w:tcW w:w="2016" w:type="dxa"/>
          </w:tcPr>
          <w:p w14:paraId="5A49F563">
            <w:pPr>
              <w:spacing w:after="0" w:line="240" w:lineRule="auto"/>
            </w:pPr>
            <w:r>
              <w:t>c3_tri_pass</w:t>
            </w:r>
          </w:p>
        </w:tc>
        <w:tc>
          <w:tcPr>
            <w:tcW w:w="1008" w:type="dxa"/>
          </w:tcPr>
          <w:p w14:paraId="6F7ACCBA">
            <w:pPr>
              <w:spacing w:after="0" w:line="240" w:lineRule="auto"/>
            </w:pPr>
            <w:r>
              <w:t>24</w:t>
            </w:r>
          </w:p>
        </w:tc>
        <w:tc>
          <w:tcPr>
            <w:tcW w:w="1440" w:type="dxa"/>
          </w:tcPr>
          <w:p w14:paraId="44006BE2">
            <w:pPr>
              <w:spacing w:after="0" w:line="240" w:lineRule="auto"/>
            </w:pPr>
            <w:r>
              <w:t>tri</w:t>
            </w:r>
          </w:p>
        </w:tc>
        <w:tc>
          <w:tcPr>
            <w:tcW w:w="1728" w:type="dxa"/>
          </w:tcPr>
          <w:p w14:paraId="7C2C6D12">
            <w:pPr>
              <w:spacing w:after="0" w:line="240" w:lineRule="auto"/>
            </w:pPr>
            <w:r>
              <w:t>tri</w:t>
            </w:r>
          </w:p>
        </w:tc>
        <w:tc>
          <w:tcPr>
            <w:tcW w:w="4464" w:type="dxa"/>
          </w:tcPr>
          <w:p w14:paraId="38944479">
            <w:pPr>
              <w:spacing w:after="0" w:line="240" w:lineRule="auto"/>
            </w:pPr>
            <w:r>
              <w:t>C3 tri pass: tri_valid_all=0.978771, tri_disp_p95=26.893363, 2d_f1=0.984596</w:t>
            </w:r>
          </w:p>
        </w:tc>
      </w:tr>
      <w:tr w14:paraId="7639D3D3">
        <w:trPr>
          <w:jc w:val="center"/>
        </w:trPr>
        <w:tc>
          <w:tcPr>
            <w:tcW w:w="2016" w:type="dxa"/>
          </w:tcPr>
          <w:p w14:paraId="73274C9D">
            <w:pPr>
              <w:spacing w:after="0" w:line="240" w:lineRule="auto"/>
            </w:pPr>
            <w:r>
              <w:t>c4_monster_rescue</w:t>
            </w:r>
          </w:p>
        </w:tc>
        <w:tc>
          <w:tcPr>
            <w:tcW w:w="1008" w:type="dxa"/>
          </w:tcPr>
          <w:p w14:paraId="5A301827">
            <w:pPr>
              <w:spacing w:after="0" w:line="240" w:lineRule="auto"/>
            </w:pPr>
            <w:r>
              <w:t>20</w:t>
            </w:r>
          </w:p>
        </w:tc>
        <w:tc>
          <w:tcPr>
            <w:tcW w:w="1440" w:type="dxa"/>
          </w:tcPr>
          <w:p w14:paraId="2ACF9735">
            <w:pPr>
              <w:spacing w:after="0" w:line="240" w:lineRule="auto"/>
            </w:pPr>
            <w:r>
              <w:t>monster</w:t>
            </w:r>
          </w:p>
        </w:tc>
        <w:tc>
          <w:tcPr>
            <w:tcW w:w="1728" w:type="dxa"/>
          </w:tcPr>
          <w:p w14:paraId="6338DEDE">
            <w:pPr>
              <w:spacing w:after="0" w:line="240" w:lineRule="auto"/>
            </w:pPr>
            <w:r>
              <w:t>monster</w:t>
            </w:r>
          </w:p>
        </w:tc>
        <w:tc>
          <w:tcPr>
            <w:tcW w:w="4464" w:type="dxa"/>
          </w:tcPr>
          <w:p w14:paraId="6B228B37">
            <w:pPr>
              <w:spacing w:after="0" w:line="240" w:lineRule="auto"/>
            </w:pPr>
            <w:r>
              <w:t>C4 monster rescue: tri fail (valid_all&lt;0.80); tri_disp_p95=35.805868 -&gt; monster_disp_p95=39.528091</w:t>
            </w:r>
          </w:p>
        </w:tc>
      </w:tr>
    </w:tbl>
    <w:p w14:paraId="7CC8E558">
      <w:pPr>
        <w:jc w:val="left"/>
      </w:pPr>
      <w:r>
        <w:rPr>
          <w:i/>
          <w:sz w:val="18"/>
        </w:rPr>
        <w:t>来源 / Source: output/agent/summary.csv</w:t>
      </w:r>
    </w:p>
    <w:p w14:paraId="27138E7A">
      <w:pPr>
        <w:jc w:val="left"/>
      </w:pPr>
      <w:r>
        <w:rPr>
          <w:b/>
        </w:rPr>
        <w:t>Figure C4. Representative Tri trajectory (case 24, left) / 代表性 Tri 轨迹图（case 24, left）</w:t>
      </w:r>
    </w:p>
    <w:p w14:paraId="6BCEEB78">
      <w:pPr>
        <w:jc w:val="center"/>
      </w:pPr>
      <w:r>
        <w:drawing>
          <wp:inline distT="0" distB="0" distL="114300" distR="114300">
            <wp:extent cx="5303520" cy="3977640"/>
            <wp:effectExtent l="0" t="0" r="508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CBEE">
      <w:pPr>
        <w:jc w:val="left"/>
      </w:pPr>
      <w:r>
        <w:rPr>
          <w:i/>
          <w:sz w:val="18"/>
        </w:rPr>
        <w:t>来源 / Source: output/agent/figures/24_left_tri_traj.png</w:t>
      </w:r>
    </w:p>
    <w:p w14:paraId="4C1BF719">
      <w:pPr>
        <w:jc w:val="left"/>
      </w:pPr>
      <w:r>
        <w:rPr>
          <w:b/>
        </w:rPr>
        <w:t>Figure C5. Representative MonSter rescue trajectory (case 20, left) / 代表性 MonSter rescue 轨迹图（case 20, left）</w:t>
      </w:r>
    </w:p>
    <w:p w14:paraId="73623999">
      <w:pPr>
        <w:jc w:val="center"/>
      </w:pPr>
      <w:r>
        <w:drawing>
          <wp:inline distT="0" distB="0" distL="114300" distR="114300">
            <wp:extent cx="5303520" cy="3977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DDA5">
      <w:pPr>
        <w:jc w:val="left"/>
      </w:pPr>
      <w:r>
        <w:rPr>
          <w:i/>
          <w:sz w:val="18"/>
        </w:rPr>
        <w:t>来源 / Source: output/agent/figures/20_left_monster_traj.png</w:t>
      </w:r>
    </w:p>
    <w:p w14:paraId="1E9D7A8C">
      <w:pPr>
        <w:jc w:val="left"/>
      </w:pPr>
      <w:r>
        <w:rPr>
          <w:b/>
        </w:rPr>
        <w:t>Figure C6. Representative 2D fallback timeline (case 31, left) / 代表性 2D fallback 时间线图（case 31, left）</w:t>
      </w:r>
    </w:p>
    <w:p w14:paraId="0A595887">
      <w:pPr>
        <w:jc w:val="center"/>
      </w:pPr>
      <w:r>
        <w:drawing>
          <wp:inline distT="0" distB="0" distL="114300" distR="114300">
            <wp:extent cx="5806440" cy="18580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4F57">
      <w:pPr>
        <w:jc w:val="left"/>
      </w:pPr>
      <w:r>
        <w:rPr>
          <w:i/>
          <w:sz w:val="18"/>
        </w:rPr>
        <w:t>来源 / Source: output/agent/figures/31_left_2d_timeline.png</w:t>
      </w:r>
    </w:p>
    <w:p w14:paraId="11B4ABD0">
      <w:pPr>
        <w:jc w:val="left"/>
      </w:pPr>
      <w:r>
        <w:rPr>
          <w:b/>
        </w:rPr>
        <w:t>Figure C7. Representative rejected / None timeline (case 33, right) / 代表性 Rejected / None 时间线图（case 33, right）</w:t>
      </w:r>
    </w:p>
    <w:p w14:paraId="082C5FCC">
      <w:pPr>
        <w:jc w:val="center"/>
      </w:pPr>
      <w:r>
        <w:drawing>
          <wp:inline distT="0" distB="0" distL="114300" distR="114300">
            <wp:extent cx="5806440" cy="18580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1AAE">
      <w:pPr>
        <w:jc w:val="left"/>
      </w:pPr>
      <w:r>
        <w:rPr>
          <w:i/>
          <w:sz w:val="18"/>
        </w:rPr>
        <w:t>来源 / Source: output/agent/figures/33_right_2d_timeline.png</w:t>
      </w:r>
    </w:p>
    <w:p w14:paraId="454E275D">
      <w:pPr>
        <w:jc w:val="left"/>
      </w:pPr>
      <w:r>
        <w:rPr>
          <w:b/>
        </w:rPr>
        <w:t>Table C3. Project structure tree of the current VisualSurgerySystem repository / 当前 VisualSurgerySystem 项目结构树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3433"/>
        <w:gridCol w:w="4577"/>
      </w:tblGrid>
      <w:tr w14:paraId="348C87D1">
        <w:trPr>
          <w:jc w:val="center"/>
        </w:trPr>
        <w:tc>
          <w:tcPr>
            <w:tcW w:w="864" w:type="dxa"/>
          </w:tcPr>
          <w:p w14:paraId="656451D4">
            <w:pPr>
              <w:spacing w:after="0" w:line="240" w:lineRule="auto"/>
            </w:pPr>
            <w:r>
              <w:t>Level</w:t>
            </w:r>
          </w:p>
        </w:tc>
        <w:tc>
          <w:tcPr>
            <w:tcW w:w="3600" w:type="dxa"/>
          </w:tcPr>
          <w:p w14:paraId="67D475ED">
            <w:pPr>
              <w:spacing w:after="0" w:line="240" w:lineRule="auto"/>
            </w:pPr>
            <w:r>
              <w:t>Path / Node</w:t>
            </w:r>
          </w:p>
        </w:tc>
        <w:tc>
          <w:tcPr>
            <w:tcW w:w="4896" w:type="dxa"/>
          </w:tcPr>
          <w:p w14:paraId="28E01CA6">
            <w:pPr>
              <w:spacing w:after="0" w:line="240" w:lineRule="auto"/>
            </w:pPr>
            <w:r>
              <w:t>Role / Description</w:t>
            </w:r>
          </w:p>
        </w:tc>
      </w:tr>
      <w:tr w14:paraId="1CECED73">
        <w:trPr>
          <w:jc w:val="center"/>
        </w:trPr>
        <w:tc>
          <w:tcPr>
            <w:tcW w:w="864" w:type="dxa"/>
          </w:tcPr>
          <w:p w14:paraId="511C2F84">
            <w:pPr>
              <w:spacing w:after="0" w:line="240" w:lineRule="auto"/>
            </w:pPr>
            <w:r>
              <w:t>0</w:t>
            </w:r>
          </w:p>
        </w:tc>
        <w:tc>
          <w:tcPr>
            <w:tcW w:w="3600" w:type="dxa"/>
          </w:tcPr>
          <w:p w14:paraId="65E2A0EC">
            <w:pPr>
              <w:spacing w:after="0" w:line="240" w:lineRule="auto"/>
            </w:pPr>
            <w:r>
              <w:t>VisualSurgerySystem/</w:t>
            </w:r>
          </w:p>
        </w:tc>
        <w:tc>
          <w:tcPr>
            <w:tcW w:w="4896" w:type="dxa"/>
          </w:tcPr>
          <w:p w14:paraId="2E86D71C">
            <w:pPr>
              <w:spacing w:after="0" w:line="240" w:lineRule="auto"/>
            </w:pPr>
            <w:r>
              <w:t>项目根目录，组织代码、数据、输出与说明文件。</w:t>
            </w:r>
          </w:p>
        </w:tc>
      </w:tr>
      <w:tr w14:paraId="718DE995">
        <w:trPr>
          <w:jc w:val="center"/>
        </w:trPr>
        <w:tc>
          <w:tcPr>
            <w:tcW w:w="864" w:type="dxa"/>
          </w:tcPr>
          <w:p w14:paraId="52BD5B7C">
            <w:pPr>
              <w:spacing w:after="0" w:line="240" w:lineRule="auto"/>
            </w:pPr>
            <w:r>
              <w:t>1</w:t>
            </w:r>
          </w:p>
        </w:tc>
        <w:tc>
          <w:tcPr>
            <w:tcW w:w="3600" w:type="dxa"/>
          </w:tcPr>
          <w:p w14:paraId="22EE2B61">
            <w:pPr>
              <w:spacing w:after="0" w:line="240" w:lineRule="auto"/>
            </w:pPr>
            <w:r>
              <w:t xml:space="preserve">  README.md</w:t>
            </w:r>
          </w:p>
        </w:tc>
        <w:tc>
          <w:tcPr>
            <w:tcW w:w="4896" w:type="dxa"/>
          </w:tcPr>
          <w:p w14:paraId="0D4AF9FB">
            <w:pPr>
              <w:spacing w:after="0" w:line="240" w:lineRule="auto"/>
            </w:pPr>
            <w:r>
              <w:t>项目说明、复现实验命令与当前 pipeline 结构概览。</w:t>
            </w:r>
          </w:p>
        </w:tc>
      </w:tr>
      <w:tr w14:paraId="0CA22D51">
        <w:trPr>
          <w:jc w:val="center"/>
        </w:trPr>
        <w:tc>
          <w:tcPr>
            <w:tcW w:w="864" w:type="dxa"/>
          </w:tcPr>
          <w:p w14:paraId="3EBB713D">
            <w:pPr>
              <w:spacing w:after="0" w:line="240" w:lineRule="auto"/>
            </w:pPr>
            <w:r>
              <w:t>1</w:t>
            </w:r>
          </w:p>
        </w:tc>
        <w:tc>
          <w:tcPr>
            <w:tcW w:w="3600" w:type="dxa"/>
          </w:tcPr>
          <w:p w14:paraId="3CFD44DB">
            <w:pPr>
              <w:spacing w:after="0" w:line="240" w:lineRule="auto"/>
            </w:pPr>
            <w:r>
              <w:t xml:space="preserve">  requirements.txt</w:t>
            </w:r>
          </w:p>
        </w:tc>
        <w:tc>
          <w:tcPr>
            <w:tcW w:w="4896" w:type="dxa"/>
          </w:tcPr>
          <w:p w14:paraId="6A4A9C82">
            <w:pPr>
              <w:spacing w:after="0" w:line="240" w:lineRule="auto"/>
            </w:pPr>
            <w:r>
              <w:t>基础依赖说明。</w:t>
            </w:r>
          </w:p>
        </w:tc>
      </w:tr>
      <w:tr w14:paraId="5C13BB8A">
        <w:trPr>
          <w:jc w:val="center"/>
        </w:trPr>
        <w:tc>
          <w:tcPr>
            <w:tcW w:w="864" w:type="dxa"/>
          </w:tcPr>
          <w:p w14:paraId="2C871698">
            <w:pPr>
              <w:spacing w:after="0" w:line="240" w:lineRule="auto"/>
            </w:pPr>
            <w:r>
              <w:t>1</w:t>
            </w:r>
          </w:p>
        </w:tc>
        <w:tc>
          <w:tcPr>
            <w:tcW w:w="3600" w:type="dxa"/>
          </w:tcPr>
          <w:p w14:paraId="3F0B720C">
            <w:pPr>
              <w:spacing w:after="0" w:line="240" w:lineRule="auto"/>
            </w:pPr>
            <w:r>
              <w:t xml:space="preserve">  data/</w:t>
            </w:r>
          </w:p>
        </w:tc>
        <w:tc>
          <w:tcPr>
            <w:tcW w:w="4896" w:type="dxa"/>
          </w:tcPr>
          <w:p w14:paraId="2B470164">
            <w:pPr>
              <w:spacing w:after="0" w:line="240" w:lineRule="auto"/>
            </w:pPr>
            <w:r>
              <w:t>数据相关目录。</w:t>
            </w:r>
          </w:p>
        </w:tc>
      </w:tr>
      <w:tr w14:paraId="3007B5D3">
        <w:trPr>
          <w:jc w:val="center"/>
        </w:trPr>
        <w:tc>
          <w:tcPr>
            <w:tcW w:w="864" w:type="dxa"/>
          </w:tcPr>
          <w:p w14:paraId="4E7E7196">
            <w:pPr>
              <w:spacing w:after="0" w:line="240" w:lineRule="auto"/>
            </w:pPr>
            <w:r>
              <w:t>2</w:t>
            </w:r>
          </w:p>
        </w:tc>
        <w:tc>
          <w:tcPr>
            <w:tcW w:w="3600" w:type="dxa"/>
          </w:tcPr>
          <w:p w14:paraId="6314DA67">
            <w:pPr>
              <w:spacing w:after="0" w:line="240" w:lineRule="auto"/>
            </w:pPr>
            <w:r>
              <w:t xml:space="preserve">    dataset/</w:t>
            </w:r>
          </w:p>
        </w:tc>
        <w:tc>
          <w:tcPr>
            <w:tcW w:w="4896" w:type="dxa"/>
          </w:tcPr>
          <w:p w14:paraId="2D7550E5">
            <w:pPr>
              <w:spacing w:after="0" w:line="240" w:lineRule="auto"/>
            </w:pPr>
            <w:r>
              <w:t>SurgPose 数据集本地存放位置。</w:t>
            </w:r>
          </w:p>
        </w:tc>
      </w:tr>
      <w:tr w14:paraId="4C4B0E19">
        <w:trPr>
          <w:jc w:val="center"/>
        </w:trPr>
        <w:tc>
          <w:tcPr>
            <w:tcW w:w="864" w:type="dxa"/>
          </w:tcPr>
          <w:p w14:paraId="12509608">
            <w:pPr>
              <w:spacing w:after="0" w:line="240" w:lineRule="auto"/>
            </w:pPr>
            <w:r>
              <w:t>2</w:t>
            </w:r>
          </w:p>
        </w:tc>
        <w:tc>
          <w:tcPr>
            <w:tcW w:w="3600" w:type="dxa"/>
          </w:tcPr>
          <w:p w14:paraId="33F8EE75">
            <w:pPr>
              <w:spacing w:after="0" w:line="240" w:lineRule="auto"/>
            </w:pPr>
            <w:r>
              <w:t xml:space="preserve">    yolo_data/</w:t>
            </w:r>
          </w:p>
        </w:tc>
        <w:tc>
          <w:tcPr>
            <w:tcW w:w="4896" w:type="dxa"/>
          </w:tcPr>
          <w:p w14:paraId="06E6994C">
            <w:pPr>
              <w:spacing w:after="0" w:line="240" w:lineRule="auto"/>
            </w:pPr>
            <w:r>
              <w:t>YOLO-pose 训练/验证所需的整理后数据。</w:t>
            </w:r>
          </w:p>
        </w:tc>
      </w:tr>
      <w:tr w14:paraId="45B4FF61">
        <w:trPr>
          <w:jc w:val="center"/>
        </w:trPr>
        <w:tc>
          <w:tcPr>
            <w:tcW w:w="864" w:type="dxa"/>
          </w:tcPr>
          <w:p w14:paraId="7BAF8321">
            <w:pPr>
              <w:spacing w:after="0" w:line="240" w:lineRule="auto"/>
            </w:pPr>
            <w:r>
              <w:t>1</w:t>
            </w:r>
          </w:p>
        </w:tc>
        <w:tc>
          <w:tcPr>
            <w:tcW w:w="3600" w:type="dxa"/>
          </w:tcPr>
          <w:p w14:paraId="3DA66C2D">
            <w:pPr>
              <w:spacing w:after="0" w:line="240" w:lineRule="auto"/>
            </w:pPr>
            <w:r>
              <w:t xml:space="preserve">  monster/</w:t>
            </w:r>
          </w:p>
        </w:tc>
        <w:tc>
          <w:tcPr>
            <w:tcW w:w="4896" w:type="dxa"/>
          </w:tcPr>
          <w:p w14:paraId="20FE9C12">
            <w:pPr>
              <w:spacing w:after="0" w:line="240" w:lineRule="auto"/>
            </w:pPr>
            <w:r>
              <w:t>MonSter 深度估计与 stereo rectification 相关代码与权重。</w:t>
            </w:r>
          </w:p>
        </w:tc>
      </w:tr>
      <w:tr w14:paraId="7D0FBD25">
        <w:trPr>
          <w:jc w:val="center"/>
        </w:trPr>
        <w:tc>
          <w:tcPr>
            <w:tcW w:w="864" w:type="dxa"/>
          </w:tcPr>
          <w:p w14:paraId="2045CC64">
            <w:pPr>
              <w:spacing w:after="0" w:line="240" w:lineRule="auto"/>
            </w:pPr>
            <w:r>
              <w:t>2</w:t>
            </w:r>
          </w:p>
        </w:tc>
        <w:tc>
          <w:tcPr>
            <w:tcW w:w="3600" w:type="dxa"/>
          </w:tcPr>
          <w:p w14:paraId="5244D095">
            <w:pPr>
              <w:spacing w:after="0" w:line="240" w:lineRule="auto"/>
            </w:pPr>
            <w:r>
              <w:t xml:space="preserve">    MonSter/</w:t>
            </w:r>
          </w:p>
        </w:tc>
        <w:tc>
          <w:tcPr>
            <w:tcW w:w="4896" w:type="dxa"/>
          </w:tcPr>
          <w:p w14:paraId="683F49E6">
            <w:pPr>
              <w:spacing w:after="0" w:line="240" w:lineRule="auto"/>
            </w:pPr>
            <w:r>
              <w:t>MonSter 源码主体。</w:t>
            </w:r>
          </w:p>
        </w:tc>
      </w:tr>
      <w:tr w14:paraId="563C0B12">
        <w:trPr>
          <w:jc w:val="center"/>
        </w:trPr>
        <w:tc>
          <w:tcPr>
            <w:tcW w:w="864" w:type="dxa"/>
          </w:tcPr>
          <w:p w14:paraId="1B9C00A4">
            <w:pPr>
              <w:spacing w:after="0" w:line="240" w:lineRule="auto"/>
            </w:pPr>
            <w:r>
              <w:t>2</w:t>
            </w:r>
          </w:p>
        </w:tc>
        <w:tc>
          <w:tcPr>
            <w:tcW w:w="3600" w:type="dxa"/>
          </w:tcPr>
          <w:p w14:paraId="2DDE935E">
            <w:pPr>
              <w:spacing w:after="0" w:line="240" w:lineRule="auto"/>
            </w:pPr>
            <w:r>
              <w:t xml:space="preserve">    stereo_rectify.py</w:t>
            </w:r>
          </w:p>
        </w:tc>
        <w:tc>
          <w:tcPr>
            <w:tcW w:w="4896" w:type="dxa"/>
          </w:tcPr>
          <w:p w14:paraId="3B30322F">
            <w:pPr>
              <w:spacing w:after="0" w:line="240" w:lineRule="auto"/>
            </w:pPr>
            <w:r>
              <w:t>立体校正辅助脚本。</w:t>
            </w:r>
          </w:p>
        </w:tc>
      </w:tr>
      <w:tr w14:paraId="749AC21B">
        <w:trPr>
          <w:jc w:val="center"/>
        </w:trPr>
        <w:tc>
          <w:tcPr>
            <w:tcW w:w="864" w:type="dxa"/>
          </w:tcPr>
          <w:p w14:paraId="6B21D3AC">
            <w:pPr>
              <w:spacing w:after="0" w:line="240" w:lineRule="auto"/>
            </w:pPr>
            <w:r>
              <w:t>1</w:t>
            </w:r>
          </w:p>
        </w:tc>
        <w:tc>
          <w:tcPr>
            <w:tcW w:w="3600" w:type="dxa"/>
          </w:tcPr>
          <w:p w14:paraId="20E7E991">
            <w:pPr>
              <w:spacing w:after="0" w:line="240" w:lineRule="auto"/>
            </w:pPr>
            <w:r>
              <w:t xml:space="preserve">  src/</w:t>
            </w:r>
          </w:p>
        </w:tc>
        <w:tc>
          <w:tcPr>
            <w:tcW w:w="4896" w:type="dxa"/>
          </w:tcPr>
          <w:p w14:paraId="1CA43DA7">
            <w:pPr>
              <w:spacing w:after="0" w:line="240" w:lineRule="auto"/>
            </w:pPr>
            <w:r>
              <w:t>系统核心代码目录。</w:t>
            </w:r>
          </w:p>
        </w:tc>
      </w:tr>
      <w:tr w14:paraId="162882BF">
        <w:trPr>
          <w:jc w:val="center"/>
        </w:trPr>
        <w:tc>
          <w:tcPr>
            <w:tcW w:w="864" w:type="dxa"/>
          </w:tcPr>
          <w:p w14:paraId="5669CE0C">
            <w:pPr>
              <w:spacing w:after="0" w:line="240" w:lineRule="auto"/>
            </w:pPr>
            <w:r>
              <w:t>2</w:t>
            </w:r>
          </w:p>
        </w:tc>
        <w:tc>
          <w:tcPr>
            <w:tcW w:w="3600" w:type="dxa"/>
          </w:tcPr>
          <w:p w14:paraId="31886BC9">
            <w:pPr>
              <w:spacing w:after="0" w:line="240" w:lineRule="auto"/>
            </w:pPr>
            <w:r>
              <w:t xml:space="preserve">    yolo/</w:t>
            </w:r>
          </w:p>
        </w:tc>
        <w:tc>
          <w:tcPr>
            <w:tcW w:w="4896" w:type="dxa"/>
          </w:tcPr>
          <w:p w14:paraId="3FFAA0AC">
            <w:pPr>
              <w:spacing w:after="0" w:line="240" w:lineRule="auto"/>
            </w:pPr>
            <w:r>
              <w:t>2D Observation Module：数据准备、检测与评估。</w:t>
            </w:r>
          </w:p>
        </w:tc>
      </w:tr>
      <w:tr w14:paraId="276A4AF3">
        <w:trPr>
          <w:jc w:val="center"/>
        </w:trPr>
        <w:tc>
          <w:tcPr>
            <w:tcW w:w="864" w:type="dxa"/>
          </w:tcPr>
          <w:p w14:paraId="4D7E5474">
            <w:pPr>
              <w:spacing w:after="0" w:line="240" w:lineRule="auto"/>
            </w:pPr>
            <w:r>
              <w:t>2</w:t>
            </w:r>
          </w:p>
        </w:tc>
        <w:tc>
          <w:tcPr>
            <w:tcW w:w="3600" w:type="dxa"/>
          </w:tcPr>
          <w:p w14:paraId="26F39FF0">
            <w:pPr>
              <w:spacing w:after="0" w:line="240" w:lineRule="auto"/>
            </w:pPr>
            <w:r>
              <w:t xml:space="preserve">    pipeline/</w:t>
            </w:r>
          </w:p>
        </w:tc>
        <w:tc>
          <w:tcPr>
            <w:tcW w:w="4896" w:type="dxa"/>
          </w:tcPr>
          <w:p w14:paraId="1EE93969">
            <w:pPr>
              <w:spacing w:after="0" w:line="240" w:lineRule="auto"/>
            </w:pPr>
            <w:r>
              <w:t>Hybrid 3D Reconstruction、Policy-Based Selection、Temporal Smoothing 与汇总流程。</w:t>
            </w:r>
          </w:p>
        </w:tc>
      </w:tr>
      <w:tr w14:paraId="3215504B">
        <w:trPr>
          <w:jc w:val="center"/>
        </w:trPr>
        <w:tc>
          <w:tcPr>
            <w:tcW w:w="864" w:type="dxa"/>
          </w:tcPr>
          <w:p w14:paraId="093378A8">
            <w:pPr>
              <w:spacing w:after="0" w:line="240" w:lineRule="auto"/>
            </w:pPr>
            <w:r>
              <w:t>2</w:t>
            </w:r>
          </w:p>
        </w:tc>
        <w:tc>
          <w:tcPr>
            <w:tcW w:w="3600" w:type="dxa"/>
          </w:tcPr>
          <w:p w14:paraId="68EA3535">
            <w:pPr>
              <w:spacing w:after="0" w:line="240" w:lineRule="auto"/>
            </w:pPr>
            <w:r>
              <w:t xml:space="preserve">    agent/</w:t>
            </w:r>
          </w:p>
        </w:tc>
        <w:tc>
          <w:tcPr>
            <w:tcW w:w="4896" w:type="dxa"/>
          </w:tcPr>
          <w:p w14:paraId="17DAC0F0">
            <w:pPr>
              <w:spacing w:after="0" w:line="240" w:lineRule="auto"/>
            </w:pPr>
            <w:r>
              <w:t>Trajectory-Guided Feedback Agent、证据包与反馈生成。</w:t>
            </w:r>
          </w:p>
        </w:tc>
      </w:tr>
      <w:tr w14:paraId="2369A58E">
        <w:trPr>
          <w:jc w:val="center"/>
        </w:trPr>
        <w:tc>
          <w:tcPr>
            <w:tcW w:w="864" w:type="dxa"/>
          </w:tcPr>
          <w:p w14:paraId="1438AE7C">
            <w:pPr>
              <w:spacing w:after="0" w:line="240" w:lineRule="auto"/>
            </w:pPr>
            <w:r>
              <w:t>1</w:t>
            </w:r>
          </w:p>
        </w:tc>
        <w:tc>
          <w:tcPr>
            <w:tcW w:w="3600" w:type="dxa"/>
          </w:tcPr>
          <w:p w14:paraId="4ACC8746">
            <w:pPr>
              <w:spacing w:after="0" w:line="240" w:lineRule="auto"/>
            </w:pPr>
            <w:r>
              <w:t xml:space="preserve">  output/</w:t>
            </w:r>
          </w:p>
        </w:tc>
        <w:tc>
          <w:tcPr>
            <w:tcW w:w="4896" w:type="dxa"/>
          </w:tcPr>
          <w:p w14:paraId="7F6BD286">
            <w:pPr>
              <w:spacing w:after="0" w:line="240" w:lineRule="auto"/>
            </w:pPr>
            <w:r>
              <w:t>当前运行结果输出目录。</w:t>
            </w:r>
          </w:p>
        </w:tc>
      </w:tr>
      <w:tr w14:paraId="55E2539A">
        <w:trPr>
          <w:jc w:val="center"/>
        </w:trPr>
        <w:tc>
          <w:tcPr>
            <w:tcW w:w="864" w:type="dxa"/>
          </w:tcPr>
          <w:p w14:paraId="42E3642A">
            <w:pPr>
              <w:spacing w:after="0" w:line="240" w:lineRule="auto"/>
            </w:pPr>
            <w:r>
              <w:t>2</w:t>
            </w:r>
          </w:p>
        </w:tc>
        <w:tc>
          <w:tcPr>
            <w:tcW w:w="3600" w:type="dxa"/>
          </w:tcPr>
          <w:p w14:paraId="7DE35072">
            <w:pPr>
              <w:spacing w:after="0" w:line="240" w:lineRule="auto"/>
            </w:pPr>
            <w:r>
              <w:t xml:space="preserve">    frames/</w:t>
            </w:r>
          </w:p>
        </w:tc>
        <w:tc>
          <w:tcPr>
            <w:tcW w:w="4896" w:type="dxa"/>
          </w:tcPr>
          <w:p w14:paraId="36FAA09E">
            <w:pPr>
              <w:spacing w:after="0" w:line="240" w:lineRule="auto"/>
            </w:pPr>
            <w:r>
              <w:t>frame_table.csv 等帧级中间结果。</w:t>
            </w:r>
          </w:p>
        </w:tc>
      </w:tr>
      <w:tr w14:paraId="0AE4DE84">
        <w:trPr>
          <w:jc w:val="center"/>
        </w:trPr>
        <w:tc>
          <w:tcPr>
            <w:tcW w:w="864" w:type="dxa"/>
          </w:tcPr>
          <w:p w14:paraId="0E51CAFD">
            <w:pPr>
              <w:spacing w:after="0" w:line="240" w:lineRule="auto"/>
            </w:pPr>
            <w:r>
              <w:t>2</w:t>
            </w:r>
          </w:p>
        </w:tc>
        <w:tc>
          <w:tcPr>
            <w:tcW w:w="3600" w:type="dxa"/>
          </w:tcPr>
          <w:p w14:paraId="1EE95804">
            <w:pPr>
              <w:spacing w:after="0" w:line="240" w:lineRule="auto"/>
            </w:pPr>
            <w:r>
              <w:t xml:space="preserve">    detections/</w:t>
            </w:r>
          </w:p>
        </w:tc>
        <w:tc>
          <w:tcPr>
            <w:tcW w:w="4896" w:type="dxa"/>
          </w:tcPr>
          <w:p w14:paraId="2264D962">
            <w:pPr>
              <w:spacing w:after="0" w:line="240" w:lineRule="auto"/>
            </w:pPr>
            <w:r>
              <w:t>2D / 3D / Kalman 轨迹结果 CSV。</w:t>
            </w:r>
          </w:p>
        </w:tc>
      </w:tr>
      <w:tr w14:paraId="6114F144">
        <w:trPr>
          <w:jc w:val="center"/>
        </w:trPr>
        <w:tc>
          <w:tcPr>
            <w:tcW w:w="864" w:type="dxa"/>
          </w:tcPr>
          <w:p w14:paraId="1FB4166C">
            <w:pPr>
              <w:spacing w:after="0" w:line="240" w:lineRule="auto"/>
            </w:pPr>
            <w:r>
              <w:t>2</w:t>
            </w:r>
          </w:p>
        </w:tc>
        <w:tc>
          <w:tcPr>
            <w:tcW w:w="3600" w:type="dxa"/>
          </w:tcPr>
          <w:p w14:paraId="646A91C3">
            <w:pPr>
              <w:spacing w:after="0" w:line="240" w:lineRule="auto"/>
            </w:pPr>
            <w:r>
              <w:t xml:space="preserve">    evaluation/</w:t>
            </w:r>
          </w:p>
        </w:tc>
        <w:tc>
          <w:tcPr>
            <w:tcW w:w="4896" w:type="dxa"/>
          </w:tcPr>
          <w:p w14:paraId="19FB99D3">
            <w:pPr>
              <w:spacing w:after="0" w:line="240" w:lineRule="auto"/>
            </w:pPr>
            <w:r>
              <w:t>评估表、policy.csv、final_case_table.csv、llm_input.json。</w:t>
            </w:r>
          </w:p>
        </w:tc>
      </w:tr>
      <w:tr w14:paraId="475E3D6F">
        <w:trPr>
          <w:jc w:val="center"/>
        </w:trPr>
        <w:tc>
          <w:tcPr>
            <w:tcW w:w="864" w:type="dxa"/>
          </w:tcPr>
          <w:p w14:paraId="6D4508DF">
            <w:pPr>
              <w:spacing w:after="0" w:line="240" w:lineRule="auto"/>
            </w:pPr>
            <w:r>
              <w:t>2</w:t>
            </w:r>
          </w:p>
        </w:tc>
        <w:tc>
          <w:tcPr>
            <w:tcW w:w="3600" w:type="dxa"/>
          </w:tcPr>
          <w:p w14:paraId="7E0380F3">
            <w:pPr>
              <w:spacing w:after="0" w:line="240" w:lineRule="auto"/>
            </w:pPr>
            <w:r>
              <w:t xml:space="preserve">    agent/</w:t>
            </w:r>
          </w:p>
        </w:tc>
        <w:tc>
          <w:tcPr>
            <w:tcW w:w="4896" w:type="dxa"/>
          </w:tcPr>
          <w:p w14:paraId="00933095">
            <w:pPr>
              <w:spacing w:after="0" w:line="240" w:lineRule="auto"/>
            </w:pPr>
            <w:r>
              <w:t>summary.csv、feedback.md、evidence_pack.json 与 figures/。</w:t>
            </w:r>
          </w:p>
        </w:tc>
      </w:tr>
    </w:tbl>
    <w:p w14:paraId="292A4B54">
      <w:pPr>
        <w:jc w:val="left"/>
      </w:pPr>
      <w:r>
        <w:rPr>
          <w:i/>
          <w:sz w:val="18"/>
        </w:rPr>
        <w:t>来源 / Source: README.md; current repository structure under VisualSurgerySystem/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FAD85E"/>
    <w:rsid w:val="1FBBA9ED"/>
    <w:rsid w:val="2ABFACE9"/>
    <w:rsid w:val="377FA143"/>
    <w:rsid w:val="3F5FDA1F"/>
    <w:rsid w:val="3FD77513"/>
    <w:rsid w:val="476DD8D4"/>
    <w:rsid w:val="5F43E773"/>
    <w:rsid w:val="5FFF6E25"/>
    <w:rsid w:val="6F662054"/>
    <w:rsid w:val="72FE3A62"/>
    <w:rsid w:val="75FC4F5F"/>
    <w:rsid w:val="7D6541D5"/>
    <w:rsid w:val="7EECC332"/>
    <w:rsid w:val="AFFE0349"/>
    <w:rsid w:val="B32F0853"/>
    <w:rsid w:val="BFBF0117"/>
    <w:rsid w:val="BFFDC992"/>
    <w:rsid w:val="DABE5047"/>
    <w:rsid w:val="DDBC34EC"/>
    <w:rsid w:val="EFFF7F94"/>
    <w:rsid w:val="F1C39989"/>
    <w:rsid w:val="FB7FBE1F"/>
    <w:rsid w:val="FBE5DCA4"/>
    <w:rsid w:val="FFFD417E"/>
    <w:rsid w:val="FFFF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PingFang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3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OpenAI Codex</dc:creator>
  <dc:description>generated by python-docx</dc:description>
  <cp:lastModifiedBy>付俊杰</cp:lastModifiedBy>
  <dcterms:modified xsi:type="dcterms:W3CDTF">2026-04-18T19:58:27Z</dcterms:modified>
  <dc:subject>VisualSurgerySystem current project summary</dc:subject>
  <dc:title>Report Section 7 and Appendix C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49DEF8A07B16B00603C6E36998E5BFE0_42</vt:lpwstr>
  </property>
</Properties>
</file>