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期货与套利数据分析平台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C6EAA"/>
          <w:sz w:val="44"/>
        </w:rPr>
        <w:t>完整设计方案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4C5D6E"/>
          <w:sz w:val="24"/>
        </w:rPr>
        <w:t>Rust 前后端分离 · 数据导入 · 套利统计 · 持仓分析 · AI 分析</w:t>
      </w:r>
    </w:p>
    <w:p>
      <w:pPr>
        <w:jc w:val="center"/>
      </w:pPr>
      <w:r>
        <w:rPr>
          <w:rFonts w:ascii="Noto Sans CJK SC" w:hAnsi="Noto Sans CJK SC" w:eastAsia="Noto Sans CJK SC"/>
          <w:color w:val="2C6EAA"/>
          <w:sz w:val="20"/>
        </w:rPr>
        <w:t>━━━━━━━━━━━━━━━━━━━━━━━━━━━━━━━━━━━━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color w:val="4C5D6E"/>
          <w:sz w:val="22"/>
        </w:rPr>
        <w:t>版本：V1.0</w:t>
        <w:br/>
      </w:r>
      <w:r>
        <w:rPr>
          <w:rFonts w:ascii="Noto Sans CJK SC" w:hAnsi="Noto Sans CJK SC" w:eastAsia="Noto Sans CJK SC"/>
          <w:color w:val="4C5D6E"/>
          <w:sz w:val="22"/>
        </w:rPr>
        <w:t>日期：2026年7月24日</w:t>
        <w:br/>
      </w:r>
      <w:r>
        <w:rPr>
          <w:rFonts w:ascii="Noto Sans CJK SC" w:hAnsi="Noto Sans CJK SC" w:eastAsia="Noto Sans CJK SC"/>
          <w:color w:val="4C5D6E"/>
          <w:sz w:val="22"/>
        </w:rPr>
        <w:t>适用范围：个人或小团队的期货数据研究与交易复盘平台</w:t>
        <w:br/>
      </w:r>
    </w:p>
    <w:p>
      <w:r>
        <w:br w:type="page"/>
      </w:r>
    </w:p>
    <w:p>
      <w:pPr>
        <w:pStyle w:val="Heading1"/>
        <w:keepNext/>
      </w:pPr>
      <w:r>
        <w:t>文档说明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项目</w:t>
            </w:r>
          </w:p>
        </w:tc>
        <w:tc>
          <w:tcPr>
            <w:tcW w:type="dxa" w:w="765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建设目标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形成一个可持续扩展的期货、套利、持仓和席位数据分析平台。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核心架构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Vue 3 前端 + Rust Axum API + Rust Worker + PostgreSQL。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数据来源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人工录入、TXT/CSV/Excel 导入、网页接口/DOM 提取、必要时 OCR。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AI能力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通过统一 AI Gateway 接入 GPT、Grok、Gemini，并以只读工具查询全站数据。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设计基线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第一版采用模块化单体，不拆微服务；先保证数据结构和可回滚性。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8"/>
            <w:tcBorders>
              <w:top w:val="nil"/>
              <w:left w:val="single" w:sz="24" w:color="2C6EA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关键结论：</w:t>
            </w:r>
            <w:r>
              <w:rPr>
                <w:rFonts w:ascii="Noto Sans CJK SC" w:hAnsi="Noto Sans CJK SC" w:eastAsia="Noto Sans CJK SC"/>
              </w:rPr>
              <w:t>先建设可靠的数据层、导入层和统计口径，再建设网页自动采集与 AI。否则项目会被验证码、页面变化和 OCR 误差拖住。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1. 项目定位与建设目标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2. 设计原则与系统边界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3. 总体技术架构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4. 技术选型与组件职责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5. 项目代码结构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6. 核心业务模块设计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7. 核心数据模型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8. API 与后台任务设计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9. 安全、合规与数据质量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10. 部署、备份与运维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11. 开发阶段与验收标准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12. 后续扩展方向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附录A：核心统计公式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附录B：Axum、Tokio、SQLx、Serde 的差别</w:t>
      </w:r>
    </w:p>
    <w:p>
      <w:r>
        <w:br w:type="page"/>
      </w:r>
    </w:p>
    <w:p>
      <w:pPr>
        <w:pStyle w:val="Heading1"/>
        <w:keepNext/>
      </w:pPr>
      <w:r>
        <w:t>1. 项目定位与建设目标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本项目定位为个人或小团队使用的期货数据研究、交易复盘与 AI 辅助分析平台。平台不直接执行交易，核心价值是统一保存数据、明确统计口径、生成可复核图表，并让 AI 在受控权限下读取全站数据。</w:t>
      </w:r>
    </w:p>
    <w:p>
      <w:pPr>
        <w:pStyle w:val="Heading2"/>
        <w:keepNext/>
      </w:pPr>
      <w:r>
        <w:t>1.1 核心能力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外部网站查询：输入网址后，由服务器浏览器打开页面；需要登录时由用户自行扫码、输入验证码或账号密码。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数据提取：优先读取官方接口、网页 XHR/Fetch、DOM 表格或下载文件，无法结构化提取时再使用 OCR。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人工导入：支持 TXT、CSV、XLS、XLSX，提供字段映射、预览、校验、去重、批次撤销。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套利分析：支持跨期、跨品种、蝶式等多腿套利，提供历史百分位、季节性、极值和收敛/扩大统计。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交易与持仓：录入成交和每日持仓快照，计算胜率、盈亏比、期望收益、最大回撤等。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席位分析：统计席位多空持仓和增减仓，使用“机构倾向/散户倾向/未分类”而非绝对身份判断。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图表中心：生成正值红色、负值绿色、0轴分界、当前值虚线、背景区间等金融图表，并导出 PNG/SVG。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AI分析：统一接入 GPT、Grok、Gemini，通过数据库工具调用查询数据并保留数据来源。</w:t>
      </w:r>
    </w:p>
    <w:p>
      <w:pPr>
        <w:pStyle w:val="Heading2"/>
        <w:keepNext/>
      </w:pPr>
      <w:r>
        <w:t>1.2 第一版不做的内容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不直接连接期货账户自动下单。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不绕过验证码、付费墙或访问控制。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不建设 Kubernetes、Kafka、复杂微服务体系。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不使用 AI 猜测缺失数据或替代确定性统计计算。</w:t>
      </w:r>
    </w:p>
    <w:p>
      <w:pPr>
        <w:pStyle w:val="Heading1"/>
        <w:keepNext/>
      </w:pPr>
      <w:r>
        <w:t>2. 设计原则与系统边界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04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原则</w:t>
            </w:r>
          </w:p>
        </w:tc>
        <w:tc>
          <w:tcPr>
            <w:tcW w:type="dxa" w:w="742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模块化单体</w:t>
            </w:r>
          </w:p>
        </w:tc>
        <w:tc>
          <w:tcPr>
            <w:tcW w:type="dxa" w:w="742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API、领域逻辑和基础设施按模块隔离，但第一版作为一个可部署后端，降低运维和一致性成本。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原始数据优先</w:t>
            </w:r>
          </w:p>
        </w:tc>
        <w:tc>
          <w:tcPr>
            <w:tcW w:type="dxa" w:w="742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保存原始文件、原始腿价格、来源、导入批次和公式版本；图表和统计结果可重新计算。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确定性计算优先</w:t>
            </w:r>
          </w:p>
        </w:tc>
        <w:tc>
          <w:tcPr>
            <w:tcW w:type="dxa" w:w="742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胜率、价差、百分位、回撤由代码和 SQL 计算，AI 只负责解释，不负责创造数值。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可追溯</w:t>
            </w:r>
          </w:p>
        </w:tc>
        <w:tc>
          <w:tcPr>
            <w:tcW w:type="dxa" w:w="742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所有数据都能追溯到文件、网页快照、采集时间或人工录入记录。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可回滚</w:t>
            </w:r>
          </w:p>
        </w:tc>
        <w:tc>
          <w:tcPr>
            <w:tcW w:type="dxa" w:w="742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文件导入、网页采集、批量修改均按批次记录，允许整批撤销。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最小权限</w:t>
            </w:r>
          </w:p>
        </w:tc>
        <w:tc>
          <w:tcPr>
            <w:tcW w:type="dxa" w:w="742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AI 默认只读；浏览器会话、API Key、Cookie 和密码加密存储。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连接器解耦</w:t>
            </w:r>
          </w:p>
        </w:tc>
        <w:tc>
          <w:tcPr>
            <w:tcW w:type="dxa" w:w="742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三禾数据等网站以独立 Connector 实现，页面变更只影响该连接器。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4E8"/>
            <w:tcBorders>
              <w:top w:val="nil"/>
              <w:left w:val="single" w:sz="24" w:color="B46B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边界判断：</w:t>
            </w:r>
            <w:r>
              <w:rPr>
                <w:rFonts w:ascii="Noto Sans CJK SC" w:hAnsi="Noto Sans CJK SC" w:eastAsia="Noto Sans CJK SC"/>
              </w:rPr>
              <w:t>“技术上能抓取”不等于“合同或法律上允许长期保存、批量采集或二次分发”。上线前必须核对目标网站协议或取得授权。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总体技术架构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6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</w:rPr>
        <w:t>图 1  总体架构：前端只负责交互和绘图；Rust API 负责权限、业务接口和确定性计算；Rust Worker 负责耗时任务；Playwright、OCR 和 AI 作为独立辅助服务。</w:t>
      </w:r>
    </w:p>
    <w:p>
      <w:pPr>
        <w:pStyle w:val="Heading2"/>
        <w:keepNext/>
      </w:pPr>
      <w:r>
        <w:t>3.1 请求与数据流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浏览器 / Vue 3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 HTTPS / REST / WebSocket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Rust Axum API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├─ PostgreSQL：结构化数据、任务队列、审计日志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├─ 文件存储：原始文件、截图、图表、报告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└─ Rust Worker：导入解析、统计计算、定时任务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├─ Playwright：人工登录、网页提取、截图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├─ PaddleOCR：图片与表格识别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└─ AI Gateway：GPT / Grok / Gemini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为什么不一开始拆微服务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当前业务的数据一致性强、并发量可控、模块仍在快速调整。微服务会额外引入服务发现、分布式追踪、网络重试、跨服务事务和多套部署流程，没有对应收益。模块化单体保留清晰边界，未来在出现明确瓶颈时再拆分网页采集、OCR 或图表渲染服务。</w:t>
      </w:r>
    </w:p>
    <w:p>
      <w:pPr>
        <w:pStyle w:val="Heading1"/>
        <w:keepNext/>
      </w:pPr>
      <w:r>
        <w:t>4. 技术选型与组件职责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1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层级</w:t>
            </w:r>
          </w:p>
        </w:tc>
        <w:tc>
          <w:tcPr>
            <w:tcW w:type="dxa" w:w="3005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推荐技术</w:t>
            </w:r>
          </w:p>
        </w:tc>
        <w:tc>
          <w:tcPr>
            <w:tcW w:type="dxa" w:w="5046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Vue 3、TypeScript、Vite、Element Plus、Pinia、ECharts</w:t>
            </w:r>
          </w:p>
        </w:tc>
        <w:tc>
          <w:tcPr>
            <w:tcW w:type="dxa" w:w="504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页面、表单、图表、导入预览、WebSocket 进度。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核心API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Rust、Axum、Tokio、SQLx、Serde、Tower、Tracing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HTTP接口、权限、业务逻辑、数据库访问、日志。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504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行情、套利、交易、席位、AI记录、任务队列。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文件解析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calamine、csv、encoding_rs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Excel/TXT/CSV 读取、编码与分隔符处理。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浏览器采集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Playwright + Chromium</w:t>
            </w:r>
          </w:p>
        </w:tc>
        <w:tc>
          <w:tcPr>
            <w:tcW w:type="dxa" w:w="504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人工登录、Cookie会话、接口拦截、DOM提取、截图。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OCR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PaddleOCR 独立服务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结构化方式无法取得数据时识别图片或表格。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图表生成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ECharts + Playwright</w:t>
            </w:r>
          </w:p>
        </w:tc>
        <w:tc>
          <w:tcPr>
            <w:tcW w:type="dxa" w:w="504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交互图表、前端导出、服务端自动截图。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Docker Compose + Nginx/Caddy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单机部署、反向代理、TLS、服务编排。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数据库选择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第一版只使用 PostgreSQL。日线、每日持仓和席位数据量通常远未达到必须使用 TimescaleDB 的规模。通过联合索引和按年份/月份分区即可满足查询。只有数据达到数千万行或引入分钟级行情后，再评估 TimescaleDB。</w:t>
      </w:r>
    </w:p>
    <w:p>
      <w:pPr>
        <w:pStyle w:val="Heading2"/>
        <w:keepNext/>
      </w:pPr>
      <w:r>
        <w:t>4.2 文件存储选择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第一版可以使用服务器本地目录，但业务代码必须通过 ObjectStorage 接口访问，禁止在业务模块里拼接物理路径。后续可替换为 MinIO、S3、OSS 或 COS。</w:t>
      </w:r>
    </w:p>
    <w:p>
      <w:pPr>
        <w:pStyle w:val="Heading1"/>
        <w:keepNext/>
      </w:pPr>
      <w:r>
        <w:t>5. 项目代码结构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futures-platform/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├── frontend/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└── src/modules/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dashboard/        # 总览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imports/          # 文件导入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arbitrage/        # 套利分析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portfolio/        # 交易与持仓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seat-analysis/    # 席位分析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data-sources/     # 网页数据源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charts/           # 图表中心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└── ai/               # AI问答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├── rust/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├── apps/api/             # Axum API 入口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├── apps/worker/          # 后台任务入口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└── crates/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domain/           # 领域模型与规则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application/      # 用例编排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infrastructure/   # 外部服务实现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database/         # SQLx、仓储、迁移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import-engine/    # TXT/Excel解析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data-connectors/  # 网站连接器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chart-engine/     # 图表配置和渲染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├── ai-gateway/       # 多模型统一接口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│       └── common/           # 错误、配置、日志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├── services/browser/         # Playwright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├── services/ocr/             # PaddleOCR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├── migrations/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└── deploy/docker-compose.yml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8"/>
            <w:tcBorders>
              <w:top w:val="nil"/>
              <w:left w:val="single" w:sz="24" w:color="2C6EA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依赖方向：</w:t>
            </w:r>
            <w:r>
              <w:rPr>
                <w:rFonts w:ascii="Noto Sans CJK SC" w:hAnsi="Noto Sans CJK SC" w:eastAsia="Noto Sans CJK SC"/>
              </w:rPr>
              <w:t>domain 不依赖 Axum、SQLx、Playwright 或具体 AI 厂商；application 只编排用例；infrastructure 实现数据库和外部服务适配器。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核心业务模块设计</w:t>
      </w:r>
    </w:p>
    <w:p>
      <w:pPr>
        <w:pStyle w:val="Heading2"/>
        <w:keepNext/>
      </w:pPr>
      <w:r>
        <w:t>6.1 用户、权限与审计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即使第一版只有一个用户，也应保留最小用户体系，避免以后重构所有表和接口。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15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角色</w:t>
            </w:r>
          </w:p>
        </w:tc>
        <w:tc>
          <w:tcPr>
            <w:tcW w:type="dxa" w:w="731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权限范围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管理员</w:t>
            </w:r>
          </w:p>
        </w:tc>
        <w:tc>
          <w:tcPr>
            <w:tcW w:type="dxa" w:w="731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用户、数据源、AI密钥、导入回滚、系统配置。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分析员</w:t>
            </w:r>
          </w:p>
        </w:tc>
        <w:tc>
          <w:tcPr>
            <w:tcW w:type="dxa" w:w="731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录入、导入、计算、生成图表、使用AI。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只读用户</w:t>
            </w:r>
          </w:p>
        </w:tc>
        <w:tc>
          <w:tcPr>
            <w:tcW w:type="dxa" w:w="731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查看数据、图表和报告，不修改。</w:t>
            </w:r>
          </w:p>
        </w:tc>
      </w:tr>
    </w:tbl>
    <w:p>
      <w:pPr>
        <w:spacing w:after="0"/>
      </w:pP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使用用户名和密码登录，密码采用 Argon2id 哈希。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会话使用 Secure、HttpOnly、SameSite Cookie。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所有新增、修改、删除、回滚记录写入 audit_logs。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重要数据采用软删除，并记录原值、新值和操作来源。</w:t>
      </w:r>
    </w:p>
    <w:p>
      <w:pPr>
        <w:pStyle w:val="Heading2"/>
        <w:keepNext/>
      </w:pPr>
      <w:r>
        <w:t>6.2 外部网站查询与数据采集</w:t>
      </w:r>
    </w:p>
    <w:p>
      <w:pPr>
        <w:pStyle w:val="Heading3"/>
        <w:keepNext/>
      </w:pPr>
      <w:r>
        <w:t>6.2.1 用户流程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输入网址 → 创建浏览器会话 → 打开页面 → 用户自行登录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→ 保存加密会话 → 选择页面/区域 → 自动发现数据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→ 预览和人工确认 → 写入数据库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6.2.2 提取优先级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官方授权接口 &gt; 网页 XHR / Fetch &gt; HTML/DOM 表格 &gt; 页面下载文件 &gt; OCR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OCR 对负号、小数点、日期和表格行列关系存在固有误差，因此识别结果必须进入预览与确认流程，不能直接作为最终数据。</w:t>
      </w:r>
    </w:p>
    <w:p>
      <w:pPr>
        <w:pStyle w:val="Heading3"/>
        <w:keepNext/>
      </w:pPr>
      <w:r>
        <w:t>6.2.3 数据源连接器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trait DataConnector {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async fn validate_session(&amp;self, session: &amp;Session) -&gt; Result&lt;bool&gt;;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async fn discover(&amp;self, page: &amp;PageContext) -&gt; Result&lt;Vec&lt;DataResource&gt;&gt;;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async fn extract(&amp;self, req: ExtractRequest) -&gt; Result&lt;ExtractResult&gt;;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三禾数据、交易所网站、自定义网页和文件导入分别实现连接器。页面规则、选择器和接口参数不得散落在业务代码中。</w:t>
      </w:r>
    </w:p>
    <w:p>
      <w:pPr>
        <w:pStyle w:val="Heading2"/>
        <w:keepNext/>
      </w:pPr>
      <w:r>
        <w:t>6.3 数据导入中心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支持 .txt、.csv、.xls、.xlsx。导入中心是平台第一优先级能力，因为它不依赖外部网站页面是否变化。</w:t>
      </w:r>
    </w:p>
    <w:p>
      <w:pPr>
        <w:pStyle w:val="Heading3"/>
        <w:keepNext/>
      </w:pPr>
      <w:r>
        <w:t>6.3.1 完整流程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上传文件 → 计算 SHA-256 → 识别格式/编码/分隔符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→ 选择工作表和表头 → 字段映射 → 预览前50行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→ 校验/去重/冲突处理 → 后台导入 → 生成报告 → 可整批撤销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6.3.2 TXT/CSV能力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检测 UTF-8、GBK 等常见编码。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支持逗号、制表符、空格、分号、竖线等分隔方式。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自动识别失败时由用户手动选择。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设置最大行数、单行长度和解析超时，防止异常文件占满内存。</w:t>
      </w:r>
    </w:p>
    <w:p>
      <w:pPr>
        <w:pStyle w:val="Heading3"/>
        <w:keepNext/>
      </w:pPr>
      <w:r>
        <w:t>6.3.3 Excel能力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使用 calamine 读取 XLS/XLSX。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支持选择工作表、指定表头行、处理日期序列值。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对合并单元格、隐藏行、公式单元格和混合类型给出提示。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导入时保存原始单元格文本，便于错误追溯。</w:t>
      </w:r>
    </w:p>
    <w:p>
      <w:pPr>
        <w:pStyle w:val="Heading3"/>
        <w:keepNext/>
      </w:pPr>
      <w:r>
        <w:t>6.3.4 字段映射与冲突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765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映射模板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将“日期/交易日/date”统一映射为 trade_date，并可保存模板复用。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预览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显示原始值、转换值、错误原因和目标字段。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去重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基于业务唯一键，不只依赖整行文本。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冲突策略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跳过、覆盖、保留并标记、终止整个批次。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批次回滚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记录批次ID，整批撤销新增数据，并恢复被覆盖记录。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套利数据与统计</w:t>
      </w:r>
    </w:p>
    <w:p>
      <w:pPr>
        <w:pStyle w:val="Heading3"/>
        <w:keepNext/>
      </w:pPr>
      <w:r>
        <w:t>6.4.1 通用多腿模型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套利定义不能写死为 A-B，应支持任意多腿和系数：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Spread(t) = Σ [ Price_leg_i(t) × Coefficient_i ] + Constant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示例</w:t>
            </w:r>
          </w:p>
        </w:tc>
        <w:tc>
          <w:tcPr>
            <w:tcW w:type="dxa" w:w="663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公式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焦煤09-01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JM09 × 1 - JM01 × 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豆油-棕榈油</w:t>
            </w:r>
          </w:p>
        </w:tc>
        <w:tc>
          <w:tcPr>
            <w:tcW w:type="dxa" w:w="663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Y × 1 - P × 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蝶式套利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9"/>
              </w:rPr>
              <w:t>A × 1 - B × 2 + C × 1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6.4.2 必须保存的数据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每条腿的原始合约、日期、价格和来源。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计算后的价差。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计算公式版本和系数。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导入批次或网页采集任务。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数据修订版本和人工修正记录。</w:t>
      </w:r>
    </w:p>
    <w:p>
      <w:pPr>
        <w:pStyle w:val="Heading3"/>
        <w:keepNext/>
      </w:pPr>
      <w:r>
        <w:t>6.4.3 统计能力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类别</w:t>
            </w:r>
          </w:p>
        </w:tc>
        <w:tc>
          <w:tcPr>
            <w:tcW w:type="dxa" w:w="748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描述统计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当前值、最大值、最小值、均值、中位数、标准差。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位置统计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历史百分位、Z-Score、距极值距离。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季节性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按年份对齐、指定有效日期窗口、峰谷出现时间。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路径统计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扩大/收敛幅度、最大回撤、达到目标区间所需天数。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交易统计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指定入场规则下的胜率、盈亏比和期望值。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8"/>
            <w:tcBorders>
              <w:top w:val="nil"/>
              <w:left w:val="single" w:sz="24" w:color="2C6EA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统计口径：</w:t>
            </w:r>
            <w:r>
              <w:rPr>
                <w:rFonts w:ascii="Noto Sans CJK SC" w:hAnsi="Noto Sans CJK SC" w:eastAsia="Noto Sans CJK SC"/>
              </w:rPr>
              <w:t>用户必须能够设置每年有效日期范围，例如 1月20日至8月30日。区间外数据不参与该策略的季节性统计，但原始数据不能删除。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图表中心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图表由结构化数据和图表模板生成。图片只是展示产物，不能替代原始数据。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775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3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7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</w:rPr>
        <w:t>图 2  目标价差走势图示例：0轴分色、当前值虚线、右侧标签、背景分区。</w:t>
      </w:r>
    </w:p>
    <w:p>
      <w:pPr>
        <w:pStyle w:val="Heading3"/>
        <w:keepNext/>
      </w:pPr>
      <w:r>
        <w:t>6.5.1 图表要求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X轴为日期，Y轴默认位于右侧。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0轴为明确分界；正值红色、负值绿色。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当前值用虚线和右侧数值标签显示。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支持背景区间、均值线、百分位线、极值标注和水印。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支持鼠标悬停、缩放、时间窗口选择。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前端一键导出 PNG/SVG；后台可自动生成 PNG。</w:t>
      </w:r>
    </w:p>
    <w:p>
      <w:pPr>
        <w:pStyle w:val="Heading3"/>
        <w:keepNext/>
      </w:pPr>
      <w:r>
        <w:t>6.5.2 正负颜色实现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一条折线穿越0轴时，应在交叉位置插值并拆分正值序列和负值序列，不能只给整条折线设置单一颜色。</w:t>
      </w:r>
    </w:p>
    <w:p>
      <w:pPr>
        <w:pStyle w:val="Heading3"/>
        <w:keepNext/>
      </w:pPr>
      <w:r>
        <w:t>6.5.3 图片生成流程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交互查看：Rust返回JSON → Vue/ECharts渲染 → getDataURL导出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自动报告：Rust生成图表配置 → Playwright打开专用页面 → 等待渲染 → 截图入库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6.6 交易与每日持仓统计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FF4E8"/>
            <w:tcBorders>
              <w:top w:val="nil"/>
              <w:left w:val="single" w:sz="24" w:color="B46B28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必要区分：</w:t>
            </w:r>
            <w:r>
              <w:rPr>
                <w:rFonts w:ascii="Noto Sans CJK SC" w:hAnsi="Noto Sans CJK SC" w:eastAsia="Noto Sans CJK SC"/>
              </w:rPr>
              <w:t>只录入每天持仓快照，无法准确计算胜率。胜率必须基于完整成交记录或可确定的开平仓交易组。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6.6.1 交易成交记录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字段包括账户、品种、合约、方向、开平、成交时间、价格、手数、乘数、手续费、策略、理由、止损、止盈和备注。</w:t>
      </w:r>
    </w:p>
    <w:p>
      <w:pPr>
        <w:pStyle w:val="Heading3"/>
        <w:keepNext/>
      </w:pPr>
      <w:r>
        <w:t>6.6.2 每日持仓快照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字段包括交易日、账户、合约、多空方向、持仓手数、持仓均价、结算价、浮动盈亏、保证金和风险度。</w:t>
      </w:r>
    </w:p>
    <w:p>
      <w:pPr>
        <w:pStyle w:val="Heading3"/>
        <w:keepNext/>
      </w:pPr>
      <w:r>
        <w:t>6.6.3 套利交易组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多条腿归入同一 trade_group，保存对冲比例、整体开仓价差、整体平仓价差、腿间滑点、总手续费和组合盈亏。</w:t>
      </w:r>
    </w:p>
    <w:p>
      <w:pPr>
        <w:pStyle w:val="Heading3"/>
        <w:keepNext/>
      </w:pPr>
      <w:r>
        <w:t>6.6.4 统计指标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胜率、平均盈利、平均亏损、盈亏比、期望收益。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已实现盈亏、未实现盈亏、净利润和手续费。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平均持仓时间、最大单笔盈亏、连续盈利/亏损次数。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最大回撤、Profit Factor、按品种/策略/月度分组。</w:t>
      </w:r>
    </w:p>
    <w:p>
      <w:pPr>
        <w:pStyle w:val="Heading2"/>
        <w:keepNext/>
      </w:pPr>
      <w:r>
        <w:t>6.7 主力与散户持仓统计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席位数据可以提供资金倾向信号，但无法直接识别最终投资者身份。平台必须保存原始席位数据和分类规则版本。</w:t>
      </w:r>
    </w:p>
    <w:p>
      <w:pPr>
        <w:pStyle w:val="Heading3"/>
        <w:keepNext/>
      </w:pPr>
      <w:r>
        <w:t>6.7.1 原始字段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交易日、交易所、品种、合约、席位名称、成交量及增减、多单及增减、空单及增减、净持仓、排名和来源。</w:t>
      </w:r>
    </w:p>
    <w:p>
      <w:pPr>
        <w:pStyle w:val="Heading3"/>
        <w:keepNext/>
      </w:pPr>
      <w:r>
        <w:t>6.7.2 分类模型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分类</w:t>
            </w:r>
          </w:p>
        </w:tc>
        <w:tc>
          <w:tcPr>
            <w:tcW w:type="dxa" w:w="748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机构倾向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根据历史行为、公开信息或人工规则判断为机构资金代理倾向。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产业倾向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可能以套保或产业客户为主。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散户倾向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可能承载较多零售客户，但不是最终身份事实。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综合型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客户结构混合，不能明确归类。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未分类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无证据支持分类。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6.7.3 输出指标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前5/10/20席位多空持仓与集中度。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机构倾向、散户倾向的净持仓与每日变化。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连续增仓/减仓、净持仓拐点。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价格与持仓变化背离。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分类可信度和数据截止日期。</w:t>
      </w:r>
    </w:p>
    <w:p>
      <w:pPr>
        <w:pStyle w:val="Heading2"/>
        <w:keepNext/>
      </w:pPr>
      <w:r>
        <w:t>6.8 AI分析模块</w:t>
      </w:r>
    </w:p>
    <w:p>
      <w:pPr>
        <w:pStyle w:val="Heading3"/>
        <w:keepNext/>
      </w:pPr>
      <w:r>
        <w:t>6.8.1 多模型统一网关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trait AiProvider {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async fn chat(&amp;self, request: AiRequest) -&gt; Result&lt;AiResponse&gt;;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实现：OpenAIProvider / GrokProvider / GeminiProvider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用户可配置 API Key、Base URL、模型名、超时和输出长度。API Key 由服务端主密钥加密，前端保存后不再读取明文。</w:t>
      </w:r>
    </w:p>
    <w:p>
      <w:pPr>
        <w:pStyle w:val="Heading3"/>
        <w:keepNext/>
      </w:pPr>
      <w:r>
        <w:t>6.8.2 AI查看全站数据的正确方式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AI 不直接获取数据库账号，也不把整个数据库塞入上下文。系统向模型开放经过权限控制的只读工具。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工具类别</w:t>
            </w:r>
          </w:p>
        </w:tc>
        <w:tc>
          <w:tcPr>
            <w:tcW w:type="dxa" w:w="748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持仓工具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查询当前持仓、账户权益、浮动盈亏。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交易统计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计算胜率、盈亏比、最大回撤、按策略分组。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套利工具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查询时间序列、历史百分位、季节性对比。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席位工具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查询席位增减仓、机构倾向净持仓。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图表工具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生成指定组合和日期范围的图表。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溯源工具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返回原始文件、导入批次、采集时间和数据截止日期。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6.8.3 权限与可追溯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默认只读，不允许 AI 修改、删除数据或执行交易。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每次回答记录模型、提示词、工具调用、查询参数、数据来源、Token消耗。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回答必须展示数据截止日期、样本区间、排除规则和来源。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结构化数据通过 SQL 工具查询；交易笔记和报告可使用 pgvector 检索。</w:t>
      </w:r>
    </w:p>
    <w:p>
      <w:pPr>
        <w:pStyle w:val="Heading1"/>
        <w:keepNext/>
      </w:pPr>
      <w:r>
        <w:t>7. 核心数据模型</w:t>
      </w:r>
    </w:p>
    <w:p>
      <w:pPr>
        <w:pStyle w:val="Heading2"/>
        <w:keepNext/>
      </w:pPr>
      <w:r>
        <w:t>7.1 表分组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分组</w:t>
            </w:r>
          </w:p>
        </w:tc>
        <w:tc>
          <w:tcPr>
            <w:tcW w:type="dxa" w:w="765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主要数据表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系统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users、roles、sessions、audit_logs、system_settings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data_sources、browser_sessions、extraction_jobs、web_snapshots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导入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import_batches、import_files、import_templates、import_mappings、import_errors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行情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exchanges、instruments、contracts、market_prices、trading_calendars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套利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spread_definitions、spread_legs、spread_formula_versions、spread_observations、spread_statistics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交易持仓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accounts、trade_fills、trade_groups、position_snapshots、daily_equity、strategy_tags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席位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seat_entities、seat_aliases、seat_classifications、seat_positions、seat_statistics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ai_providers、ai_models、encrypted_ai_keys、ai_conversations、ai_tool_calls、ai_usage_logs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图表报告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chart_templates、saved_charts、generated_images、report_jobs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任务</w:t>
            </w:r>
          </w:p>
        </w:tc>
        <w:tc>
          <w:tcPr>
            <w:tcW w:type="dxa" w:w="765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job_queue、job_attempts、job_events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关键唯一键与版本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market_prices：数据源 + 合约 + 时间粒度 + 时间。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spread_observations：套利定义 + 交易日 + 公式版本 + 数据源。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seat_positions：交易日 + 合约 + 标准席位 + 排名类型。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导入批次、网页提取任务和人工修正必须保留来源字段。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公式、席位分类和字段映射采用版本化设计，避免历史结果被静默改变。</w:t>
      </w:r>
    </w:p>
    <w:p>
      <w:pPr>
        <w:pStyle w:val="Heading2"/>
        <w:keepNext/>
      </w:pPr>
      <w:r>
        <w:t>7.3 数值类型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价格、盈亏和手续费不得使用二进制浮点数直接持久化。数据库采用 NUMERIC/DECIMAL，Rust 侧使用 rust_decimal::Decimal。百分位和统计中间值可以在明确误差范围内使用 f64。</w:t>
      </w:r>
    </w:p>
    <w:p>
      <w:pPr>
        <w:pStyle w:val="Heading1"/>
        <w:keepNext/>
      </w:pPr>
      <w:r>
        <w:t>8. API 与后台任务设计</w:t>
      </w:r>
    </w:p>
    <w:p>
      <w:pPr>
        <w:pStyle w:val="Heading2"/>
        <w:keepNext/>
      </w:pPr>
      <w:r>
        <w:t>8.1 REST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/api/v1/auth/*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/api/v1/imports/*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/api/v1/spreads/*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/api/v1/trades/*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/api/v1/positions/*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/api/v1/seats/*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/api/v1/data-sources/*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/api/v1/charts/*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/api/v1/ai/*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7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模块</w:t>
            </w:r>
          </w:p>
        </w:tc>
        <w:tc>
          <w:tcPr>
            <w:tcW w:type="dxa" w:w="759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核心接口示例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导入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 /imports/upload；POST /imports/{id}/confirm；POST /imports/{id}/rollback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套利</w:t>
            </w:r>
          </w:p>
        </w:tc>
        <w:tc>
          <w:tcPr>
            <w:tcW w:type="dxa" w:w="759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GET /spreads/{id}/series；GET /statistics；GET /seasonality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交易持仓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 /trade-fills；POST /position-snapshots；GET /portfolio/performance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席位</w:t>
            </w:r>
          </w:p>
        </w:tc>
        <w:tc>
          <w:tcPr>
            <w:tcW w:type="dxa" w:w="759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GET /seat-positions；POST /seat-classifications；GET /seat-statistics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网页采集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 /browser-sessions；POST /extract；GET /jobs/{id}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图表</w:t>
            </w:r>
          </w:p>
        </w:tc>
        <w:tc>
          <w:tcPr>
            <w:tcW w:type="dxa" w:w="759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 /charts/preview；POST /charts/render；GET /charts/{id}/image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 /ai/chat；POST /ai/providers/test；GET /ai/usage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WebSocket/SSE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用于文件导入、OCR、网页提取、重新计算和图片生成的实时进度。普通查询仍使用 REST，避免所有接口都复杂化。</w:t>
      </w:r>
    </w:p>
    <w:p>
      <w:pPr>
        <w:pStyle w:val="Heading2"/>
        <w:keepNext/>
      </w:pPr>
      <w:r>
        <w:t>8.3 后台任务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55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任务类型</w:t>
            </w:r>
          </w:p>
        </w:tc>
        <w:tc>
          <w:tcPr>
            <w:tcW w:type="dxa" w:w="691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IMPORT_FILE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解析文件、转换、校验、写入。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EXTRACT_WEB_DATA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打开网页、恢复会话、提取结构化数据。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RUN_OCR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对指定截图或区域执行 OCR。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RECALCULATE_SPREAD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根据原始腿价格和公式版本重算价差。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REFRESH_STATISTICS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更新百分位、季节性和交易统计。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GENERATE_CHART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服务端渲染静态图。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GENERATE_REPORT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生成每日或专题分析报告。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第一版使用 PostgreSQL job_queue。Worker 通过 SELECT ... FOR UPDATE SKIP LOCKED 抢占任务，并记录重试次数、锁超时和错误。只有出现多服务器吞吐瓶颈后，再迁移 Redis Streams、NATS 或 RabbitMQ。</w:t>
      </w:r>
    </w:p>
    <w:p>
      <w:pPr>
        <w:pStyle w:val="Heading1"/>
        <w:keepNext/>
      </w:pPr>
      <w:r>
        <w:t>9. 安全、合规与数据质量</w:t>
      </w:r>
    </w:p>
    <w:p>
      <w:pPr>
        <w:pStyle w:val="Heading2"/>
        <w:keepNext/>
      </w:pPr>
      <w:r>
        <w:t>9.1 网页打开与 SSRF 防护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只允许 http/https。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禁止 localhost、私网IP、链路本地地址和云元数据地址。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DNS解析前后均检查目标IP，防止DNS Rebinding。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配置允许域名白名单、跳转上限、下载大小和超时。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浏览器运行在隔离容器中，禁止访问宿主机文件和管理端口。</w:t>
      </w:r>
    </w:p>
    <w:p>
      <w:pPr>
        <w:pStyle w:val="Heading2"/>
        <w:keepNext/>
      </w:pPr>
      <w:r>
        <w:t>9.2 凭据与密钥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密码只保存哈希。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网站 Cookie、Storage State、AI Key 使用主密钥加密。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日志、错误信息和前端响应必须脱敏。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主密钥不进入数据库，使用环境变量或密钥管理服务。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支持密钥轮换和会话过期验证。</w:t>
      </w:r>
    </w:p>
    <w:p>
      <w:pPr>
        <w:pStyle w:val="Heading2"/>
        <w:keepNext/>
      </w:pPr>
      <w:r>
        <w:t>9.3 文件安全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同时校验扩展名、MIME和真实文件头。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限制文件大小、工作表数量、最大行列、解析时间。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不执行宏、外部链接或公式代码。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原始文件以随机对象ID保存，禁止按用户文件名直接落盘。</w:t>
      </w:r>
    </w:p>
    <w:p>
      <w:pPr>
        <w:pStyle w:val="Heading2"/>
        <w:keepNext/>
      </w:pPr>
      <w:r>
        <w:t>9.4 数据质量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问题</w:t>
            </w:r>
          </w:p>
        </w:tc>
        <w:tc>
          <w:tcPr>
            <w:tcW w:type="dxa" w:w="7200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负号/小数点 OCR 错误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人工确认；与历史范围、价差公式交叉校验。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重复记录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按业务唯一键检查，并保留冲突报告。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异常价格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使用可配置范围和相邻日期变化阈值标记，不自动删除。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非交易日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根据交易日历提示，由用户决定是否保留。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来源冲突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保留多个来源和优先级，不静默覆盖。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统计口径变化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版本化保存参数并重新计算。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9.5 外部网站授权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无证据表明登录后数据可以被任意自动化批量抓取、长期保存或对外商业分发。系统应提供域名级采集开关、频率限制和来源标识，实际使用前核对用户协议或取得授权。</w:t>
      </w:r>
    </w:p>
    <w:p>
      <w:pPr>
        <w:pStyle w:val="Heading1"/>
        <w:keepNext/>
      </w:pPr>
      <w:r>
        <w:t>10. 部署、备份与运维</w:t>
      </w:r>
    </w:p>
    <w:p>
      <w:pPr>
        <w:pStyle w:val="Heading2"/>
        <w:keepNext/>
      </w:pPr>
      <w:r>
        <w:t>10.1 Docker Compose 拓扑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Internet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Nginx / Caddy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├─ /      → Vue 静态前端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└─ /api   → Rust Axum API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      ├─ PostgreSQL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      ├─ Rust Worker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      ├─ Playwright Browser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             └─ PaddleOCR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环境分层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环境</w:t>
            </w:r>
          </w:p>
        </w:tc>
        <w:tc>
          <w:tcPr>
            <w:tcW w:type="dxa" w:w="7483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development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本地开发，使用测试数据和本地数据库。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staging</w:t>
            </w:r>
          </w:p>
        </w:tc>
        <w:tc>
          <w:tcPr>
            <w:tcW w:type="dxa" w:w="7483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验证迁移、采集规则、AI工具和导入流程。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production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正式数据，写入受审计，定期备份。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备份策略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PostgreSQL 每日逻辑备份，并定期进行物理备份。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原始导入文件、网页截图、图表和报告进行对象存储备份。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建议保留最近7天每日、8周每周、12个月每月备份。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备份必须至少有一份位于另一台服务器或对象存储。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每季度执行一次恢复演练，未验证恢复的备份不可靠。</w:t>
      </w:r>
    </w:p>
    <w:p>
      <w:pPr>
        <w:pStyle w:val="Heading2"/>
        <w:keepNext/>
      </w:pPr>
      <w:r>
        <w:t>10.4 可观测性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Tracing 结构化日志，关联 request_id、user_id、job_id。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记录接口延迟、数据库慢查询、任务失败率、OCR错误率。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AI记录模型、Token、费用、超时和工具调用。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对磁盘空间、数据库连接、备份失败和采集会话过期设置告警。</w:t>
      </w:r>
    </w:p>
    <w:p>
      <w:pPr>
        <w:pStyle w:val="Heading1"/>
        <w:keepNext/>
      </w:pPr>
      <w:r>
        <w:t>11. 开发阶段与验收标准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5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3515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开发内容</w:t>
            </w:r>
          </w:p>
        </w:tc>
        <w:tc>
          <w:tcPr>
            <w:tcW w:type="dxa" w:w="4195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阶段1：基础框架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Rust Workspace、Vue、PostgreSQL、登录权限、审计、Docker。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能登录；API和Worker可独立运行；迁移和备份脚本可执行。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阶段2：交易持仓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成交录入、持仓快照、套利交易组、收益与回撤。</w:t>
            </w:r>
          </w:p>
        </w:tc>
        <w:tc>
          <w:tcPr>
            <w:tcW w:type="dxa" w:w="419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同一交易样本的胜率、盈亏比结果可人工复算一致。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阶段3：导入与套利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TXT/CSV/Excel、字段映射、回滚、多腿套利、季节性。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导入成功/失败/重复行可追溯，错误批次可完整撤销。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阶段4：图表中心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价差图、季节图、收益图、PNG/SVG、自动截图。</w:t>
            </w:r>
          </w:p>
        </w:tc>
        <w:tc>
          <w:tcPr>
            <w:tcW w:type="dxa" w:w="419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可生成与目标样式一致的正红负绿走势图。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阶段5：席位分析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席位导入、别名、分类版本、集中度和背离。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任何汇总值都可下钻到原始席位行。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阶段6：网页采集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浏览器会话、人工登录、接口/DOM提取、OCR。</w:t>
            </w:r>
          </w:p>
        </w:tc>
        <w:tc>
          <w:tcPr>
            <w:tcW w:type="dxa" w:w="419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页面变化只需修改连接器；OCR数据必须经确认。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阶段7：AI模块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三家模型、工具调用、权限、来源、费用统计。</w:t>
            </w:r>
          </w:p>
        </w:tc>
        <w:tc>
          <w:tcPr>
            <w:tcW w:type="dxa" w:w="419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AI回答包含截止日期和来源，不能越权写数据库。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阶段8：自动化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定时更新、日报、异常提醒、区间提醒。</w:t>
            </w:r>
          </w:p>
        </w:tc>
        <w:tc>
          <w:tcPr>
            <w:tcW w:type="dxa" w:w="419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任务失败可重试、可告警、不会重复写入。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推荐最小可用版本（MVP）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MVP 应只包含：用户登录、TXT/Excel 导入、套利定义、价差时间序列、目标样式图表、成交/持仓录入、胜率和盈亏比。完成后再接网页采集和 AI。</w:t>
      </w:r>
    </w:p>
    <w:p>
      <w:pPr>
        <w:pStyle w:val="Heading2"/>
        <w:keepNext/>
      </w:pPr>
      <w:r>
        <w:t>11.2 MVP 完成判定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至少成功导入三种真实文件格式，并可保存映射模板。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同一套利组合能重算历史数据并生成目标图。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错误导入可整批回滚，不残留统计结果。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交易统计对一组人工计算样本完全一致。</w:t>
      </w:r>
    </w:p>
    <w:p>
      <w:pPr>
        <w:pStyle w:val="ListBullet"/>
        <w:spacing w:after="100" w:line="276" w:lineRule="auto"/>
      </w:pPr>
      <w:r>
        <w:rPr>
          <w:rFonts w:ascii="Noto Sans CJK SC" w:hAnsi="Noto Sans CJK SC" w:eastAsia="Noto Sans CJK SC"/>
        </w:rPr>
        <w:t>所有数据均显示来源和截止时间。</w:t>
      </w:r>
    </w:p>
    <w:p>
      <w:pPr>
        <w:pStyle w:val="Heading1"/>
        <w:keepNext/>
      </w:pPr>
      <w:r>
        <w:t>12. 后续扩展方向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55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扩展</w:t>
            </w:r>
          </w:p>
        </w:tc>
        <w:tc>
          <w:tcPr>
            <w:tcW w:type="dxa" w:w="691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前置条件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行情自动更新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取得合规、稳定的数据接口。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价差区间提醒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统计口径和数据更新时间稳定。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策略回测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先定义交易规则、滑点、手续费和换月口径。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移动端/PWA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核心接口稳定后再开发。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分钟级行情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数据量和查询需求证明 PostgreSQL 分区不足后再上 TimescaleDB。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多租户SaaS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先完成租户隔离、计费、配额和合规。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自动交易</w:t>
            </w:r>
          </w:p>
        </w:tc>
        <w:tc>
          <w:tcPr>
            <w:tcW w:type="dxa" w:w="69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需要独立风控、账户隔离、审计和人工确认，不应直接复用分析AI。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8"/>
            <w:tcBorders>
              <w:top w:val="nil"/>
              <w:left w:val="single" w:sz="24" w:color="2C6EAA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</w:rPr>
              <w:t>最终推荐技术组合：</w:t>
            </w:r>
            <w:r>
              <w:rPr>
                <w:rFonts w:ascii="Noto Sans CJK SC" w:hAnsi="Noto Sans CJK SC" w:eastAsia="Noto Sans CJK SC"/>
              </w:rPr>
              <w:t>Vue 3 + TypeScript + ECharts；Rust + Axum + Tokio + SQLx + Serde；PostgreSQL；Rust Worker；calamine/csv；Playwright；PaddleOCR；Docker Compose。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附录A：核心统计公式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8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7087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公式/定义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价差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Σ（每条腿价格 × 系数）+ 常数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胜率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盈利的完整交易组数量 ÷ 已完成交易组数量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盈亏比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平均盈利金额 ÷ 平均亏损绝对金额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期望收益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胜率 × 平均盈利 − 亏损率 × 平均亏损绝对金额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Profit Factor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总盈利 ÷ 总亏损绝对值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最大回撤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权益曲线历史峰值至后续最低点的最大下降幅度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历史百分位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历史样本中小于或等于当前值的样本比例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Z-Score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（当前值 − 样本均值）÷ 样本标准差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胜率统计单位默认应为“完整开平仓交易组”。按天统计或按单腿成交统计会产生不同结果，必须在界面明确显示统计口径。</w:t>
      </w:r>
    </w:p>
    <w:p>
      <w:pPr>
        <w:pStyle w:val="Heading1"/>
        <w:keepNext/>
      </w:pPr>
      <w:r>
        <w:t>附录B：Axum、Tokio、SQLx、Serde 的差别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531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组件</w:t>
            </w:r>
          </w:p>
        </w:tc>
        <w:tc>
          <w:tcPr>
            <w:tcW w:type="dxa" w:w="1984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本质</w:t>
            </w:r>
          </w:p>
        </w:tc>
        <w:tc>
          <w:tcPr>
            <w:tcW w:type="dxa" w:w="4025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在本项目中的职责</w:t>
            </w:r>
          </w:p>
        </w:tc>
        <w:tc>
          <w:tcPr>
            <w:tcW w:type="dxa" w:w="1928"/>
            <w:shd w:fill="DCEA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类比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Axum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Rust Web框架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路由、HTTP请求、登录、文件上传、JSON响应、WebSocket。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后端对外的大门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Tokio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异步运行时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执行 async 任务，调度网络、数据库、AI调用、计时器。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发动机和调度系统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SQLx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异步数据库访问库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连接 PostgreSQL、执行 SQL、事务、编译期查询检查。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Rust与数据库的桥梁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Serde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序列化/反序列化框架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JSON、配置文件与 Rust 结构体相互转换。</w:t>
            </w:r>
          </w:p>
        </w:tc>
        <w:tc>
          <w:tcPr>
            <w:tcW w:type="dxa" w:w="1928"/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数据格式翻译器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Vue发送 JSON/文件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Axum 接收请求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Serde 转成 Rust 结构体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Tokio 调度异步业务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SQLx 查询或写入 PostgreSQL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color w:val="2D3741"/>
                <w:sz w:val="19"/>
              </w:rPr>
              <w:t>Serde 转成 JSON，Axum 返回前端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结论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该平台的核心不是 OCR 或 AI，而是可靠、版本化、可追溯的数据结构。正确实施顺序是：人工导入与数据模型 → 套利和持仓统计 → 图表 → 席位 → 网页采集 → AI → 自动化。按照该顺序建设，可以在后续增加新模块时保持现有数据和业务逻辑稳定。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6E78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E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8"/>
        <w:sz w:val="17"/>
      </w:rPr>
      <w:t>期货与套利数据分析平台 · 完整设计方案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6EA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7D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C5D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期货与套利数据分析平台完整设计方案</dc:title>
  <dc:subject>Rust前后端分离的数据分析平台架构</dc:subject>
  <dc:creator>OpenAI</dc:creator>
  <cp:keywords>Rust, Axum, Vue, 期货, 套利, 持仓, AI, 数据分析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