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5.3 算法验证与评估结果</w:t>
      </w:r>
    </w:p>
    <w:p>
      <w:r>
        <w:rPr>
          <w:rFonts w:ascii="宋体" w:hAnsi="宋体"/>
        </w:rPr>
        <w:t>上一章设计了干扰项生成、拼写模糊评分和自适应难度调节三个算法，这一节对它们做定量评估，验证实际效果。评估分为两部分：先说明用了哪些评价指标，再给出评估结果。</w:t>
      </w:r>
    </w:p>
    <w:p>
      <w:pPr>
        <w:pStyle w:val="Heading2"/>
      </w:pPr>
      <w:r>
        <w:rPr>
          <w:color w:val="000000"/>
        </w:rPr>
        <w:t>5.3.1 评价指标</w:t>
      </w:r>
    </w:p>
    <w:p>
      <w:r>
        <w:rPr>
          <w:rFonts w:ascii="宋体" w:hAnsi="宋体"/>
        </w:rPr>
        <w:t>对三个算法分别定义了评价指标。</w:t>
      </w:r>
    </w:p>
    <w:p>
      <w:r>
        <w:rPr>
          <w:rFonts w:ascii="宋体" w:hAnsi="宋体"/>
        </w:rPr>
        <w:t>干扰项生成算法方面，用了三个指标：语义相关性（SR），衡量干扰项和正确答案之间有没有关联，由人工按1-3分打分，1分是毫无关系、3分是有关联但不算同义词；区分有效性（DV），衡量干扰项能不能把"会"和"不会"的学生区分开，核心要求是干扰项不能是正确答案的同义词，且中文释义的Jaccard系数不能超过0.9，满足条件的干扰项占比即为DV值；选项多样性（OD），看4个选项在词性和语义类别上的覆盖广度，满分8分。</w:t>
      </w:r>
    </w:p>
    <w:p>
      <w:r>
        <w:rPr>
          <w:rFonts w:ascii="宋体" w:hAnsi="宋体"/>
        </w:rPr>
        <w:t>拼写模糊评分算法方面，核心指标是判定一致性（CON），即算法把答案分为exact/near/wrong三档后，跟人工标注的吻合比例。此外关注两个错误率：近误判率（NFPR），指把本该判"错"的答案误放成了"接近正确"；远漏判率（FFNR），指把本该算"接近正确"的误判为"完全错误"。其中NFPR最关键，因为这意味着学生白拿分。</w:t>
      </w:r>
    </w:p>
    <w:p>
      <w:r>
        <w:rPr>
          <w:rFonts w:ascii="宋体" w:hAnsi="宋体"/>
        </w:rPr>
        <w:t>自适应难度算法方面，主要看难度匹配度（DM），即系统推荐的难度下学生正确率是否处于60%-80%的理想区间。另外统计了保护机制的触发情况，验证连错降级和冷启动保护是否正常运作。</w:t>
      </w:r>
    </w:p>
    <w:p>
      <w:pPr>
        <w:pStyle w:val="Heading2"/>
      </w:pPr>
      <w:r>
        <w:rPr>
          <w:color w:val="000000"/>
        </w:rPr>
        <w:t>5.3.2 评估结果与分析</w:t>
      </w:r>
    </w:p>
    <w:p>
      <w:r>
        <w:rPr>
          <w:rFonts w:ascii="宋体" w:hAnsi="宋体"/>
        </w:rPr>
        <w:t>干扰项生成方面，从系统6章30关中随机抽取100道选择题做对照实验，实验组用语义特征融合算法选干扰项，对照组纯随机抽取，由两名英语专业研究生独立打分。结果如表5.5所示。</w:t>
      </w:r>
    </w:p>
    <w:p>
      <w:pPr>
        <w:ind w:firstLine="0"/>
        <w:jc w:val="center"/>
      </w:pPr>
      <w:r>
        <w:rPr>
          <w:rFonts w:ascii="宋体" w:hAnsi="宋体"/>
          <w:b/>
          <w:sz w:val="21"/>
        </w:rPr>
        <w:t>表5.5 干扰项生成算法对照评估结果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1"/>
              </w:rPr>
              <w:t>评估指标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1"/>
              </w:rPr>
              <w:t>实验组（语义融合算法）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1"/>
              </w:rPr>
              <w:t>对照组（随机抽取）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1"/>
              </w:rPr>
              <w:t>提升幅度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语义相关性SR（均值）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2.71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1.35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+100.7%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区分有效性DV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96.3%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63.7%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+51.2%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选项多样性OD（均值）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6.2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4.1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+51.2%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同义干扰项误判率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1.2%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18.5%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-93.5%</w:t>
            </w:r>
          </w:p>
        </w:tc>
      </w:tr>
    </w:tbl>
    <w:p>
      <w:r>
        <w:rPr>
          <w:rFonts w:ascii="宋体" w:hAnsi="宋体"/>
        </w:rPr>
        <w:t>实验组在三项指标上都明显优于对照组。语义相关性从1.35提高到2.71，随机抽出来的干扰项很多跟正确答案没关系，学生一眼就能排除。区分有效性方面对照组将近五分之一（18.5%）的干扰项是同义词，比如正确答案是"achieve"却出现了"accomplish"，而实验组控制在1.2%。多样性6.2分（满分8）说明算法对词性和语义类别的覆盖约束起了作用。</w:t>
      </w:r>
    </w:p>
    <w:p>
      <w:r>
        <w:rPr>
          <w:rFonts w:ascii="宋体" w:hAnsi="宋体"/>
        </w:rPr>
        <w:t>拼写模糊评分方面，手动构造了200组拼写测试样本，覆盖词长3-14字母、编辑距离0-5、以及漏字母、多字母、替换、颠倒等多种错误类型，由两名英语教师独立标注。结果如表5.6所示。</w:t>
      </w:r>
    </w:p>
    <w:p>
      <w:pPr>
        <w:ind w:firstLine="0"/>
        <w:jc w:val="center"/>
      </w:pPr>
      <w:r>
        <w:rPr>
          <w:rFonts w:ascii="宋体" w:hAnsi="宋体"/>
          <w:b/>
          <w:sz w:val="21"/>
        </w:rPr>
        <w:t>表5.6 模糊评分算法一致性评估结果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1"/>
              </w:rPr>
              <w:t>指标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1"/>
              </w:rPr>
              <w:t>数值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总体一致性CON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93.5%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exact判定一致率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100.0%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near判定一致率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88.3%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wrong判定一致率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94.0%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近误判率NFPR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3.2%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远漏判率FFNR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6.7%</w:t>
            </w:r>
          </w:p>
        </w:tc>
      </w:tr>
    </w:tbl>
    <w:p>
      <w:r>
        <w:rPr>
          <w:rFonts w:ascii="宋体" w:hAnsi="宋体"/>
        </w:rPr>
        <w:t>总体一致性93.5%，exact档100%不存在争议，near档88.3%略低主要是因为部分边界case标注者之间也有分歧。近误判率只有3.2%，说明按词长分档的阈值保护机制有效，短词（1-4字母）误判率为0%，长词额外加的相似度门槛（≥0.78）也过滤掉了词形相近但含义不同的干扰。另外用10个测试用户做了对照实验，模糊评分组的任务完成率（93.3% vs 80.0%）和继续意愿（90% vs 60%）都明显高于精确匹配组，挫败感自评从3.4降到2.1，说明near这个中间态确实有助于学生保持学习动力。</w:t>
      </w:r>
    </w:p>
    <w:p>
      <w:r>
        <w:rPr>
          <w:rFonts w:ascii="宋体" w:hAnsi="宋体"/>
        </w:rPr>
        <w:t>自适应难度方面，模拟了优秀型、良好型、波动型、困难型和渐进型五种学生行为模式，每种模拟100次连续答题。结果如表5.7所示。</w:t>
      </w:r>
    </w:p>
    <w:p>
      <w:pPr>
        <w:ind w:firstLine="0"/>
        <w:jc w:val="center"/>
      </w:pPr>
      <w:r>
        <w:rPr>
          <w:rFonts w:ascii="宋体" w:hAnsi="宋体"/>
          <w:b/>
          <w:sz w:val="21"/>
        </w:rPr>
        <w:t>表5.7 各学生行为模式下的难度匹配度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1"/>
              </w:rPr>
              <w:t>学生类型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1"/>
              </w:rPr>
              <w:t>模拟答题数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1"/>
              </w:rPr>
              <w:t>最终稳定难度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1"/>
              </w:rPr>
              <w:t>稳定后平均正确率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1"/>
              </w:rPr>
              <w:t>难度匹配度DM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优秀型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100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4-5级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72.3%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0.89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良好型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100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3级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68.7%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0.94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波动型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100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2-3级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65.1%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0.86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困难型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100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1-2级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71.5%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0.91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渐进型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100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1→3级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70.8%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0.92</w:t>
            </w:r>
          </w:p>
        </w:tc>
      </w:tr>
    </w:tbl>
    <w:p>
      <w:r>
        <w:rPr>
          <w:rFonts w:ascii="宋体" w:hAnsi="宋体"/>
        </w:rPr>
        <w:t>五种模式稳定后正确率都在65%-75%之间，接近理想值70%。困难型学生在降级保护下正确率回到71.5%，没有陷入越做越难的恶性循环。渐进型用户在前30题中难度从1级平稳上升到3级，之后稳定在3级正确率71%左右，轨迹很平滑，说明算法能跟随学生能力变化及时调整。</w:t>
      </w:r>
    </w:p>
    <w:p>
      <w:r>
        <w:rPr>
          <w:rFonts w:ascii="宋体" w:hAnsi="宋体"/>
        </w:rPr>
        <w:t>三项保护机制中，单次升降限制（最多±1级）在100题中触发了23次，完全杜绝了难度跳变；连错降级保护触发了15次，平均连错2.3次后完成降级；冷启动时前10题通过置信度折减将能力值权重从45%线性拉到100%，避免初期波动。</w:t>
      </w:r>
    </w:p>
    <w:p>
      <w:r>
        <w:rPr>
          <w:rFonts w:ascii="宋体" w:hAnsi="宋体"/>
        </w:rPr>
        <w:t>最后测了一下系统性能，三个自研算法的总计算开销不超过60ms（干扰项45ms+评分不到1ms+自适应12ms），远低于AI学伴对话的1.2秒，不会对用户体验造成影响。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40" w:lineRule="exact" w:after="0" w:before="0"/>
      <w:ind w:firstLine="420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440" w:lineRule="exact"/>
      <w:ind w:firstLine="0"/>
      <w:outlineLvl w:val="0"/>
    </w:pPr>
    <w:rPr>
      <w:rFonts w:asciiTheme="majorHAnsi" w:eastAsiaTheme="majorEastAsia" w:hAnsiTheme="majorHAnsi" w:cstheme="majorBidi" w:ascii="黑体" w:hAnsi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40" w:lineRule="exact"/>
      <w:ind w:firstLine="0"/>
      <w:outlineLvl w:val="1"/>
    </w:pPr>
    <w:rPr>
      <w:rFonts w:asciiTheme="majorHAnsi" w:eastAsiaTheme="majorEastAsia" w:hAnsiTheme="majorHAnsi" w:cstheme="majorBidi" w:ascii="黑体" w:hAnsi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40" w:lineRule="exact"/>
      <w:ind w:firstLine="0"/>
      <w:outlineLvl w:val="2"/>
    </w:pPr>
    <w:rPr>
      <w:rFonts w:asciiTheme="majorHAnsi" w:eastAsiaTheme="majorEastAsia" w:hAnsiTheme="majorHAnsi" w:cstheme="majorBidi" w:ascii="黑体" w:hAnsi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440" w:lineRule="exact"/>
      <w:ind w:firstLine="0"/>
      <w:outlineLvl w:val="3"/>
    </w:pPr>
    <w:rPr>
      <w:rFonts w:asciiTheme="majorHAnsi" w:eastAsiaTheme="majorEastAsia" w:hAnsiTheme="majorHAnsi" w:cstheme="majorBidi" w:ascii="黑体" w:hAnsi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