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300"/>
        <w:jc w:val="center"/>
      </w:pPr>
      <w:r>
        <w:rPr>
          <w:rFonts w:ascii="Times New Roman" w:cs="Times New Roman" w:eastAsia="Times New Roman" w:hAnsi="Times New Roman"/>
          <w:b/>
          <w:bCs/>
          <w:sz w:val="56"/>
          <w:szCs w:val="56"/>
        </w:rPr>
        <w:t xml:space="preserve">Chapter 5</w:t>
      </w:r>
    </w:p>
    <w:p>
      <w:pPr>
        <w:jc w:val="center"/>
      </w:pPr>
      <w:r>
        <w:rPr>
          <w:rFonts w:ascii="Times New Roman" w:cs="Times New Roman" w:eastAsia="Times New Roman" w:hAnsi="Times New Roman"/>
          <w:b/>
          <w:bCs/>
          <w:sz w:val="40"/>
          <w:szCs w:val="40"/>
        </w:rPr>
        <w:t xml:space="preserve">Implementation and Testing</w:t>
      </w:r>
    </w:p>
    <w:p>
      <w:r>
        <w:br w:type="page"/>
      </w:r>
    </w:p>
    <w:p>
      <w:pPr>
        <w:pStyle w:val="Heading1"/>
        <w:spacing w:after="200" w:before="240"/>
      </w:pPr>
      <w:r>
        <w:rPr>
          <w:rFonts w:ascii="Times New Roman" w:cs="Times New Roman" w:eastAsia="Times New Roman" w:hAnsi="Times New Roman"/>
          <w:b/>
          <w:bCs/>
          <w:color w:val="000000"/>
          <w:sz w:val="32"/>
          <w:szCs w:val="32"/>
        </w:rPr>
        <w:t xml:space="preserve">5  Implementation and Testing</w:t>
      </w:r>
    </w:p>
    <w:p>
      <w:pPr>
        <w:spacing w:after="120" w:line="360"/>
        <w:jc w:val="both"/>
      </w:pPr>
      <w:r>
        <w:rPr>
          <w:rFonts w:ascii="Times New Roman" w:cs="Times New Roman" w:eastAsia="Times New Roman" w:hAnsi="Times New Roman"/>
          <w:sz w:val="24"/>
          <w:szCs w:val="24"/>
        </w:rPr>
        <w:t xml:space="preserve">This chapter describes how the NFTGuard system was implemented and tested. The first part explains how each of the five system modules defined in Chapter 3 was realised in code, including the smart contract deployed on the Ethereum Sepolia testnet, the backend services, and the frontend dashboard, together with the important configuration settings for the server, blockchain network, database and security. The second part presents the testing strategy and the complete set of test cases executed against the seeded demonstration dataset, covering functional requirements FR 1.1 to FR 5.5 as well as the non-functional requirements defined in Section 3.2.2.</w:t>
      </w:r>
    </w:p>
    <w:p>
      <w:pPr>
        <w:pStyle w:val="Heading2"/>
        <w:spacing w:after="160" w:before="260"/>
      </w:pPr>
      <w:r>
        <w:rPr>
          <w:rFonts w:ascii="Times New Roman" w:cs="Times New Roman" w:eastAsia="Times New Roman" w:hAnsi="Times New Roman"/>
          <w:b/>
          <w:bCs/>
          <w:color w:val="000000"/>
          <w:sz w:val="28"/>
          <w:szCs w:val="28"/>
        </w:rPr>
        <w:t xml:space="preserve">5.1  Implementation Environment and Project Structure</w:t>
      </w:r>
    </w:p>
    <w:p>
      <w:pPr>
        <w:spacing w:after="120" w:line="360"/>
        <w:jc w:val="both"/>
      </w:pPr>
      <w:r>
        <w:rPr>
          <w:rFonts w:ascii="Times New Roman" w:cs="Times New Roman" w:eastAsia="Times New Roman" w:hAnsi="Times New Roman"/>
          <w:sz w:val="24"/>
          <w:szCs w:val="24"/>
        </w:rPr>
        <w:t xml:space="preserve">The system was implemented using the development environment specified in Table 3.2: Solidity 0.8.24 with Hardhat for the smart contract layer, Node.js with Express.js and ethers.js v6 for the backend, MongoDB for persistence, and a single-page dashboard built with HTML, CSS and Chart.js for the frontend. The project repository is organised so that each report module maps to a clearly identifiable source file, which supports the maintainability non-functional requirement.</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nftguard/</w:t>
      </w:r>
    </w:p>
    <w:p>
      <w:pPr>
        <w:shd w:fill="F2F2F2" w:val="clear"/>
        <w:spacing w:after="0" w:before="0" w:line="240"/>
        <w:ind w:left="240" w:right="240"/>
      </w:pPr>
      <w:r>
        <w:rPr>
          <w:rFonts w:ascii="Courier New" w:cs="Courier New" w:eastAsia="Courier New" w:hAnsi="Courier New"/>
          <w:sz w:val="18"/>
          <w:szCs w:val="18"/>
        </w:rPr>
        <w:t xml:space="preserve">├── contracts/NFTGuardMarketplace.sol    ERC-721 marketplace + metadata hash anchor</w:t>
      </w:r>
    </w:p>
    <w:p>
      <w:pPr>
        <w:shd w:fill="F2F2F2" w:val="clear"/>
        <w:spacing w:after="0" w:before="0" w:line="240"/>
        <w:ind w:left="240" w:right="240"/>
      </w:pPr>
      <w:r>
        <w:rPr>
          <w:rFonts w:ascii="Courier New" w:cs="Courier New" w:eastAsia="Courier New" w:hAnsi="Courier New"/>
          <w:sz w:val="18"/>
          <w:szCs w:val="18"/>
        </w:rPr>
        <w:t xml:space="preserve">├── scripts/deploy.js                    Sepolia deployment (writes ABI to backend)</w:t>
      </w:r>
    </w:p>
    <w:p>
      <w:pPr>
        <w:shd w:fill="F2F2F2" w:val="clear"/>
        <w:spacing w:after="0" w:before="0" w:line="240"/>
        <w:ind w:left="240" w:right="240"/>
      </w:pPr>
      <w:r>
        <w:rPr>
          <w:rFonts w:ascii="Courier New" w:cs="Courier New" w:eastAsia="Courier New" w:hAnsi="Courier New"/>
          <w:sz w:val="18"/>
          <w:szCs w:val="18"/>
        </w:rPr>
        <w:t xml:space="preserve">├── hardhat.config.js                    solc 0.8.24, Sepolia network (chainId 11155111)</w:t>
      </w:r>
    </w:p>
    <w:p>
      <w:pPr>
        <w:shd w:fill="F2F2F2" w:val="clear"/>
        <w:spacing w:after="0" w:before="0" w:line="240"/>
        <w:ind w:left="240" w:right="240"/>
      </w:pPr>
      <w:r>
        <w:rPr>
          <w:rFonts w:ascii="Courier New" w:cs="Courier New" w:eastAsia="Courier New" w:hAnsi="Courier New"/>
          <w:sz w:val="18"/>
          <w:szCs w:val="18"/>
        </w:rPr>
        <w:t xml:space="preserve">├── backend/</w:t>
      </w:r>
    </w:p>
    <w:p>
      <w:pPr>
        <w:shd w:fill="F2F2F2" w:val="clear"/>
        <w:spacing w:after="0" w:before="0" w:line="240"/>
        <w:ind w:left="240" w:right="240"/>
      </w:pPr>
      <w:r>
        <w:rPr>
          <w:rFonts w:ascii="Courier New" w:cs="Courier New" w:eastAsia="Courier New" w:hAnsi="Courier New"/>
          <w:sz w:val="18"/>
          <w:szCs w:val="18"/>
        </w:rPr>
        <w:t xml:space="preserve">│   ├── server.js                        Express entry point, serves frontend + /api</w:t>
      </w:r>
    </w:p>
    <w:p>
      <w:pPr>
        <w:shd w:fill="F2F2F2" w:val="clear"/>
        <w:spacing w:after="0" w:before="0" w:line="240"/>
        <w:ind w:left="240" w:right="240"/>
      </w:pPr>
      <w:r>
        <w:rPr>
          <w:rFonts w:ascii="Courier New" w:cs="Courier New" w:eastAsia="Courier New" w:hAnsi="Courier New"/>
          <w:sz w:val="18"/>
          <w:szCs w:val="18"/>
        </w:rPr>
        <w:t xml:space="preserve">│   ├── config/thresholds.json           all heuristic thresholds and risk weights</w:t>
      </w:r>
    </w:p>
    <w:p>
      <w:pPr>
        <w:shd w:fill="F2F2F2" w:val="clear"/>
        <w:spacing w:after="0" w:before="0" w:line="240"/>
        <w:ind w:left="240" w:right="240"/>
      </w:pPr>
      <w:r>
        <w:rPr>
          <w:rFonts w:ascii="Courier New" w:cs="Courier New" w:eastAsia="Courier New" w:hAnsi="Courier New"/>
          <w:sz w:val="18"/>
          <w:szCs w:val="18"/>
        </w:rPr>
        <w:t xml:space="preserve">│   ├── models/                          Nft, Transaction, RiskScore, FraudFlag, PriceStats</w:t>
      </w:r>
    </w:p>
    <w:p>
      <w:pPr>
        <w:shd w:fill="F2F2F2" w:val="clear"/>
        <w:spacing w:after="0" w:before="0" w:line="240"/>
        <w:ind w:left="240" w:right="240"/>
      </w:pPr>
      <w:r>
        <w:rPr>
          <w:rFonts w:ascii="Courier New" w:cs="Courier New" w:eastAsia="Courier New" w:hAnsi="Courier New"/>
          <w:sz w:val="18"/>
          <w:szCs w:val="18"/>
        </w:rPr>
        <w:t xml:space="preserve">│   ├── services/                        blockchain, authVerifier, fraudDetector,</w:t>
      </w:r>
    </w:p>
    <w:p>
      <w:pPr>
        <w:shd w:fill="F2F2F2" w:val="clear"/>
        <w:spacing w:after="0" w:before="0" w:line="240"/>
        <w:ind w:left="240" w:right="240"/>
      </w:pPr>
      <w:r>
        <w:rPr>
          <w:rFonts w:ascii="Courier New" w:cs="Courier New" w:eastAsia="Courier New" w:hAnsi="Courier New"/>
          <w:sz w:val="18"/>
          <w:szCs w:val="18"/>
        </w:rPr>
        <w:t xml:space="preserve">│   │                                    priceAnalyzer, riskScoreEngine</w:t>
      </w:r>
    </w:p>
    <w:p>
      <w:pPr>
        <w:shd w:fill="F2F2F2" w:val="clear"/>
        <w:spacing w:after="0" w:before="0" w:line="240"/>
        <w:ind w:left="240" w:right="240"/>
      </w:pPr>
      <w:r>
        <w:rPr>
          <w:rFonts w:ascii="Courier New" w:cs="Courier New" w:eastAsia="Courier New" w:hAnsi="Courier New"/>
          <w:sz w:val="18"/>
          <w:szCs w:val="18"/>
        </w:rPr>
        <w:t xml:space="preserve">│   ├── routes/api.js                    REST API endpoints</w:t>
      </w:r>
    </w:p>
    <w:p>
      <w:pPr>
        <w:shd w:fill="F2F2F2" w:val="clear"/>
        <w:spacing w:after="0" w:before="0" w:line="240"/>
        <w:ind w:left="240" w:right="240"/>
      </w:pPr>
      <w:r>
        <w:rPr>
          <w:rFonts w:ascii="Courier New" w:cs="Courier New" w:eastAsia="Courier New" w:hAnsi="Courier New"/>
          <w:sz w:val="18"/>
          <w:szCs w:val="18"/>
        </w:rPr>
        <w:t xml:space="preserve">│   └── scripts/seedDemo.js              seeded test dataset (9 scenarios)</w:t>
      </w:r>
    </w:p>
    <w:p>
      <w:pPr>
        <w:shd w:fill="F2F2F2" w:val="clear"/>
        <w:spacing w:after="0" w:before="0" w:line="240"/>
        <w:ind w:left="240" w:right="240"/>
      </w:pPr>
      <w:r>
        <w:rPr>
          <w:rFonts w:ascii="Courier New" w:cs="Courier New" w:eastAsia="Courier New" w:hAnsi="Courier New"/>
          <w:sz w:val="18"/>
          <w:szCs w:val="18"/>
        </w:rPr>
        <w:t xml:space="preserve">└── frontend/</w:t>
      </w:r>
    </w:p>
    <w:p>
      <w:pPr>
        <w:shd w:fill="F2F2F2" w:val="clear"/>
        <w:spacing w:after="0" w:before="0" w:line="240"/>
        <w:ind w:left="240" w:right="240"/>
      </w:pPr>
      <w:r>
        <w:rPr>
          <w:rFonts w:ascii="Courier New" w:cs="Courier New" w:eastAsia="Courier New" w:hAnsi="Courier New"/>
          <w:sz w:val="18"/>
          <w:szCs w:val="18"/>
        </w:rPr>
        <w:t xml:space="preserve">    ├── index.html                       landing page + marketplace</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    └── dashboard.html                   dashboard SPA containing all five modules</w:t>
      </w:r>
    </w:p>
    <w:p>
      <w:pPr>
        <w:spacing w:after="200" w:before="100"/>
        <w:jc w:val="center"/>
      </w:pPr>
      <w:r>
        <w:rPr>
          <w:rFonts w:ascii="Times New Roman" w:cs="Times New Roman" w:eastAsia="Times New Roman" w:hAnsi="Times New Roman"/>
          <w:i/>
          <w:iCs/>
          <w:sz w:val="22"/>
          <w:szCs w:val="22"/>
        </w:rPr>
        <w:t xml:space="preserve">Figure 5.1: Repository structure of the NFTGuard system</w:t>
      </w:r>
    </w:p>
    <w:p>
      <w:pPr>
        <w:pStyle w:val="Heading2"/>
        <w:spacing w:after="160" w:before="260"/>
      </w:pPr>
      <w:r>
        <w:rPr>
          <w:rFonts w:ascii="Times New Roman" w:cs="Times New Roman" w:eastAsia="Times New Roman" w:hAnsi="Times New Roman"/>
          <w:b/>
          <w:bCs/>
          <w:color w:val="000000"/>
          <w:sz w:val="28"/>
          <w:szCs w:val="28"/>
        </w:rPr>
        <w:t xml:space="preserve">5.2  Smart Contract Implementation</w:t>
      </w:r>
    </w:p>
    <w:p>
      <w:pPr>
        <w:spacing w:after="12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NFTGuardMarketplace</w:t>
      </w:r>
      <w:r>
        <w:rPr>
          <w:rFonts w:ascii="Times New Roman" w:cs="Times New Roman" w:eastAsia="Times New Roman" w:hAnsi="Times New Roman"/>
          <w:sz w:val="24"/>
          <w:szCs w:val="24"/>
        </w:rPr>
        <w:t xml:space="preserve"> contract extends the audited OpenZeppelin v5 implementations of </w:t>
      </w:r>
      <w:r>
        <w:rPr>
          <w:rFonts w:ascii="Courier New" w:cs="Courier New" w:eastAsia="Courier New" w:hAnsi="Courier New"/>
          <w:sz w:val="20"/>
          <w:szCs w:val="20"/>
        </w:rPr>
        <w:t xml:space="preserve">ERC721URIStorage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Ownable</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ReentrancyGuard</w:t>
      </w:r>
      <w:r>
        <w:rPr>
          <w:rFonts w:ascii="Times New Roman" w:cs="Times New Roman" w:eastAsia="Times New Roman" w:hAnsi="Times New Roman"/>
          <w:sz w:val="24"/>
          <w:szCs w:val="24"/>
        </w:rPr>
        <w:t xml:space="preserve">, which guarantees compliance with the ERC-721 standard checked by the verification module (Entriken et al., 2018).</w:t>
      </w:r>
    </w:p>
    <w:p>
      <w:pPr>
        <w:pStyle w:val="Heading3"/>
        <w:spacing w:after="120" w:before="200"/>
      </w:pPr>
      <w:r>
        <w:rPr>
          <w:rFonts w:ascii="Times New Roman" w:cs="Times New Roman" w:eastAsia="Times New Roman" w:hAnsi="Times New Roman"/>
          <w:b/>
          <w:bCs/>
          <w:color w:val="000000"/>
          <w:sz w:val="24"/>
          <w:szCs w:val="24"/>
        </w:rPr>
        <w:t xml:space="preserve">5.2.1  On-Chain Metadata Hash Anchor</w:t>
      </w:r>
    </w:p>
    <w:p>
      <w:pPr>
        <w:spacing w:after="120" w:line="360"/>
        <w:jc w:val="both"/>
      </w:pPr>
      <w:r>
        <w:rPr>
          <w:rFonts w:ascii="Times New Roman" w:cs="Times New Roman" w:eastAsia="Times New Roman" w:hAnsi="Times New Roman"/>
          <w:sz w:val="24"/>
          <w:szCs w:val="24"/>
        </w:rPr>
        <w:t xml:space="preserve">The key design decision that makes metadata-tampering detection possible is that the SHA-256 hash of the metadata JSON is stored on the blockchain at mint time. Because blockchain storage is immutable, this hash later serves as a trusted anchor against which the mutable off-chain metadata can be compared (FR 1.3).</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 tokenId =&gt; SHA-256 hash of the canonical metadata JSON (integrity anchor)</w:t>
      </w:r>
    </w:p>
    <w:p>
      <w:pPr>
        <w:shd w:fill="F2F2F2" w:val="clear"/>
        <w:spacing w:after="0" w:before="0" w:line="240"/>
        <w:ind w:left="240" w:right="240"/>
      </w:pPr>
      <w:r>
        <w:rPr>
          <w:rFonts w:ascii="Courier New" w:cs="Courier New" w:eastAsia="Courier New" w:hAnsi="Courier New"/>
          <w:sz w:val="18"/>
          <w:szCs w:val="18"/>
        </w:rPr>
        <w:t xml:space="preserve">mapping(uint256 =&gt; bytes32) public metadataHash;</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function mintNFT(string calldata uri, bytes32 _metadataHash)</w:t>
      </w:r>
    </w:p>
    <w:p>
      <w:pPr>
        <w:shd w:fill="F2F2F2" w:val="clear"/>
        <w:spacing w:after="0" w:before="0" w:line="240"/>
        <w:ind w:left="240" w:right="240"/>
      </w:pPr>
      <w:r>
        <w:rPr>
          <w:rFonts w:ascii="Courier New" w:cs="Courier New" w:eastAsia="Courier New" w:hAnsi="Courier New"/>
          <w:sz w:val="18"/>
          <w:szCs w:val="18"/>
        </w:rPr>
        <w:t xml:space="preserve">    external returns (uint256 tokenId)</w:t>
      </w:r>
    </w:p>
    <w:p>
      <w:pPr>
        <w:shd w:fill="F2F2F2" w:val="clear"/>
        <w:spacing w:after="0" w:before="0" w:line="240"/>
        <w:ind w:left="240" w:right="240"/>
      </w:pPr>
      <w:r>
        <w:rPr>
          <w:rFonts w:ascii="Courier New" w:cs="Courier New" w:eastAsia="Courier New" w:hAnsi="Courier New"/>
          <w:sz w:val="18"/>
          <w:szCs w:val="18"/>
        </w:rPr>
        <w:t xml:space="preserve">{</w:t>
      </w:r>
    </w:p>
    <w:p>
      <w:pPr>
        <w:shd w:fill="F2F2F2" w:val="clear"/>
        <w:spacing w:after="0" w:before="0" w:line="240"/>
        <w:ind w:left="240" w:right="240"/>
      </w:pPr>
      <w:r>
        <w:rPr>
          <w:rFonts w:ascii="Courier New" w:cs="Courier New" w:eastAsia="Courier New" w:hAnsi="Courier New"/>
          <w:sz w:val="18"/>
          <w:szCs w:val="18"/>
        </w:rPr>
        <w:t xml:space="preserve">    tokenId = ++_nextTokenId;</w:t>
      </w:r>
    </w:p>
    <w:p>
      <w:pPr>
        <w:shd w:fill="F2F2F2" w:val="clear"/>
        <w:spacing w:after="0" w:before="0" w:line="240"/>
        <w:ind w:left="240" w:right="240"/>
      </w:pPr>
      <w:r>
        <w:rPr>
          <w:rFonts w:ascii="Courier New" w:cs="Courier New" w:eastAsia="Courier New" w:hAnsi="Courier New"/>
          <w:sz w:val="18"/>
          <w:szCs w:val="18"/>
        </w:rPr>
        <w:t xml:space="preserve">    _safeMint(msg.sender, tokenId);</w:t>
      </w:r>
    </w:p>
    <w:p>
      <w:pPr>
        <w:shd w:fill="F2F2F2" w:val="clear"/>
        <w:spacing w:after="0" w:before="0" w:line="240"/>
        <w:ind w:left="240" w:right="240"/>
      </w:pPr>
      <w:r>
        <w:rPr>
          <w:rFonts w:ascii="Courier New" w:cs="Courier New" w:eastAsia="Courier New" w:hAnsi="Courier New"/>
          <w:sz w:val="18"/>
          <w:szCs w:val="18"/>
        </w:rPr>
        <w:t xml:space="preserve">    _setTokenURI(tokenId, uri);</w:t>
      </w:r>
    </w:p>
    <w:p>
      <w:pPr>
        <w:shd w:fill="F2F2F2" w:val="clear"/>
        <w:spacing w:after="0" w:before="0" w:line="240"/>
        <w:ind w:left="240" w:right="240"/>
      </w:pPr>
      <w:r>
        <w:rPr>
          <w:rFonts w:ascii="Courier New" w:cs="Courier New" w:eastAsia="Courier New" w:hAnsi="Courier New"/>
          <w:sz w:val="18"/>
          <w:szCs w:val="18"/>
        </w:rPr>
        <w:t xml:space="preserve">    metadataHash[tokenId] = _metadataHash;</w:t>
      </w:r>
    </w:p>
    <w:p>
      <w:pPr>
        <w:shd w:fill="F2F2F2" w:val="clear"/>
        <w:spacing w:after="0" w:before="0" w:line="240"/>
        <w:ind w:left="240" w:right="240"/>
      </w:pPr>
      <w:r>
        <w:rPr>
          <w:rFonts w:ascii="Courier New" w:cs="Courier New" w:eastAsia="Courier New" w:hAnsi="Courier New"/>
          <w:sz w:val="18"/>
          <w:szCs w:val="18"/>
        </w:rPr>
        <w:t xml:space="preserve">    creatorOf[tokenId] = msg.sender;</w:t>
      </w:r>
    </w:p>
    <w:p>
      <w:pPr>
        <w:shd w:fill="F2F2F2" w:val="clear"/>
        <w:spacing w:after="0" w:before="0" w:line="240"/>
        <w:ind w:left="240" w:right="240"/>
      </w:pPr>
      <w:r>
        <w:rPr>
          <w:rFonts w:ascii="Courier New" w:cs="Courier New" w:eastAsia="Courier New" w:hAnsi="Courier New"/>
          <w:sz w:val="18"/>
          <w:szCs w:val="18"/>
        </w:rPr>
        <w:t xml:space="preserve">    emit Minted(tokenId, msg.sender, uri, _metadataHash, block.timestamp);</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w:t>
      </w:r>
    </w:p>
    <w:p>
      <w:pPr>
        <w:spacing w:after="200" w:before="100"/>
        <w:jc w:val="center"/>
      </w:pPr>
      <w:r>
        <w:rPr>
          <w:rFonts w:ascii="Times New Roman" w:cs="Times New Roman" w:eastAsia="Times New Roman" w:hAnsi="Times New Roman"/>
          <w:i/>
          <w:iCs/>
          <w:sz w:val="22"/>
          <w:szCs w:val="22"/>
        </w:rPr>
        <w:t xml:space="preserve">Figure 5.2: mintNFT() anchoring the metadata SHA-256 hash on-chain</w:t>
      </w:r>
    </w:p>
    <w:p>
      <w:pPr>
        <w:pStyle w:val="Heading3"/>
        <w:spacing w:after="120" w:before="200"/>
      </w:pPr>
      <w:r>
        <w:rPr>
          <w:rFonts w:ascii="Times New Roman" w:cs="Times New Roman" w:eastAsia="Times New Roman" w:hAnsi="Times New Roman"/>
          <w:b/>
          <w:bCs/>
          <w:color w:val="000000"/>
          <w:sz w:val="24"/>
          <w:szCs w:val="24"/>
        </w:rPr>
        <w:t xml:space="preserve">5.2.2  Secure Purchase Flow</w:t>
      </w:r>
    </w:p>
    <w:p>
      <w:pPr>
        <w:spacing w:after="120" w:line="360"/>
        <w:jc w:val="both"/>
      </w:pPr>
      <w:r>
        <w:rPr>
          <w:rFonts w:ascii="Times New Roman" w:cs="Times New Roman" w:eastAsia="Times New Roman" w:hAnsi="Times New Roman"/>
          <w:sz w:val="24"/>
          <w:szCs w:val="24"/>
        </w:rPr>
        <w:t xml:space="preserve">The purchase function follows the checks-effects-interactions pattern and is protected by a reentrancy guard: the listing is deleted and ownership transferred before any Ether is sent to the seller, so a malicious seller contract cannot re-enter the function. Every confirmed purchase emits an indexed event containing the price and block timestamp, which forms the transaction dataset consumed by the fraud detection and price analysis modules (FR 2.5).</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function buy(uint256 tokenId) external payable nonReentrant {</w:t>
      </w:r>
    </w:p>
    <w:p>
      <w:pPr>
        <w:shd w:fill="F2F2F2" w:val="clear"/>
        <w:spacing w:after="0" w:before="0" w:line="240"/>
        <w:ind w:left="240" w:right="240"/>
      </w:pPr>
      <w:r>
        <w:rPr>
          <w:rFonts w:ascii="Courier New" w:cs="Courier New" w:eastAsia="Courier New" w:hAnsi="Courier New"/>
          <w:sz w:val="18"/>
          <w:szCs w:val="18"/>
        </w:rPr>
        <w:t xml:space="preserve">    Listing memory item = listings[tokenId];</w:t>
      </w:r>
    </w:p>
    <w:p>
      <w:pPr>
        <w:shd w:fill="F2F2F2" w:val="clear"/>
        <w:spacing w:after="0" w:before="0" w:line="240"/>
        <w:ind w:left="240" w:right="240"/>
      </w:pPr>
      <w:r>
        <w:rPr>
          <w:rFonts w:ascii="Courier New" w:cs="Courier New" w:eastAsia="Courier New" w:hAnsi="Courier New"/>
          <w:sz w:val="18"/>
          <w:szCs w:val="18"/>
        </w:rPr>
        <w:t xml:space="preserve">    require(item.active, "NFTGuard: token not listed for sale");</w:t>
      </w:r>
    </w:p>
    <w:p>
      <w:pPr>
        <w:shd w:fill="F2F2F2" w:val="clear"/>
        <w:spacing w:after="0" w:before="0" w:line="240"/>
        <w:ind w:left="240" w:right="240"/>
      </w:pPr>
      <w:r>
        <w:rPr>
          <w:rFonts w:ascii="Courier New" w:cs="Courier New" w:eastAsia="Courier New" w:hAnsi="Courier New"/>
          <w:sz w:val="18"/>
          <w:szCs w:val="18"/>
        </w:rPr>
        <w:t xml:space="preserve">    require(msg.value &gt;= item.price, "NFTGuard: insufficient payment");</w:t>
      </w:r>
    </w:p>
    <w:p>
      <w:pPr>
        <w:shd w:fill="F2F2F2" w:val="clear"/>
        <w:spacing w:after="0" w:before="0" w:line="240"/>
        <w:ind w:left="240" w:right="240"/>
      </w:pPr>
      <w:r>
        <w:rPr>
          <w:rFonts w:ascii="Courier New" w:cs="Courier New" w:eastAsia="Courier New" w:hAnsi="Courier New"/>
          <w:sz w:val="18"/>
          <w:szCs w:val="18"/>
        </w:rPr>
        <w:t xml:space="preserve">    address seller = ownerOf(tokenId);</w:t>
      </w:r>
    </w:p>
    <w:p>
      <w:pPr>
        <w:shd w:fill="F2F2F2" w:val="clear"/>
        <w:spacing w:after="0" w:before="0" w:line="240"/>
        <w:ind w:left="240" w:right="240"/>
      </w:pPr>
      <w:r>
        <w:rPr>
          <w:rFonts w:ascii="Courier New" w:cs="Courier New" w:eastAsia="Courier New" w:hAnsi="Courier New"/>
          <w:sz w:val="18"/>
          <w:szCs w:val="18"/>
        </w:rPr>
        <w:t xml:space="preserve">    require(seller != msg.sender, "NFTGuard: cannot buy own token");</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    // Effects before interactions (checks-effects-interactions)</w:t>
      </w:r>
    </w:p>
    <w:p>
      <w:pPr>
        <w:shd w:fill="F2F2F2" w:val="clear"/>
        <w:spacing w:after="0" w:before="0" w:line="240"/>
        <w:ind w:left="240" w:right="240"/>
      </w:pPr>
      <w:r>
        <w:rPr>
          <w:rFonts w:ascii="Courier New" w:cs="Courier New" w:eastAsia="Courier New" w:hAnsi="Courier New"/>
          <w:sz w:val="18"/>
          <w:szCs w:val="18"/>
        </w:rPr>
        <w:t xml:space="preserve">    delete listings[tokenId];</w:t>
      </w:r>
    </w:p>
    <w:p>
      <w:pPr>
        <w:shd w:fill="F2F2F2" w:val="clear"/>
        <w:spacing w:after="0" w:before="0" w:line="240"/>
        <w:ind w:left="240" w:right="240"/>
      </w:pPr>
      <w:r>
        <w:rPr>
          <w:rFonts w:ascii="Courier New" w:cs="Courier New" w:eastAsia="Courier New" w:hAnsi="Courier New"/>
          <w:sz w:val="18"/>
          <w:szCs w:val="18"/>
        </w:rPr>
        <w:t xml:space="preserve">    _transfer(seller, msg.sender, tokenId);</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    (bool ok, ) = payable(seller).call{value: msg.value}("");</w:t>
      </w:r>
    </w:p>
    <w:p>
      <w:pPr>
        <w:shd w:fill="F2F2F2" w:val="clear"/>
        <w:spacing w:after="0" w:before="0" w:line="240"/>
        <w:ind w:left="240" w:right="240"/>
      </w:pPr>
      <w:r>
        <w:rPr>
          <w:rFonts w:ascii="Courier New" w:cs="Courier New" w:eastAsia="Courier New" w:hAnsi="Courier New"/>
          <w:sz w:val="18"/>
          <w:szCs w:val="18"/>
        </w:rPr>
        <w:t xml:space="preserve">    require(ok, "NFTGuard: payment transfer failed");</w:t>
      </w:r>
    </w:p>
    <w:p>
      <w:pPr>
        <w:shd w:fill="F2F2F2" w:val="clear"/>
        <w:spacing w:after="0" w:before="0" w:line="240"/>
        <w:ind w:left="240" w:right="240"/>
      </w:pPr>
      <w:r>
        <w:rPr>
          <w:rFonts w:ascii="Courier New" w:cs="Courier New" w:eastAsia="Courier New" w:hAnsi="Courier New"/>
          <w:sz w:val="18"/>
          <w:szCs w:val="18"/>
        </w:rPr>
        <w:t xml:space="preserve">    emit Purchased(tokenId, seller, msg.sender, item.price, block.timestamp);</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w:t>
      </w:r>
    </w:p>
    <w:p>
      <w:pPr>
        <w:spacing w:after="200" w:before="100"/>
        <w:jc w:val="center"/>
      </w:pPr>
      <w:r>
        <w:rPr>
          <w:rFonts w:ascii="Times New Roman" w:cs="Times New Roman" w:eastAsia="Times New Roman" w:hAnsi="Times New Roman"/>
          <w:i/>
          <w:iCs/>
          <w:sz w:val="22"/>
          <w:szCs w:val="22"/>
        </w:rPr>
        <w:t xml:space="preserve">Figure 5.3: buy() with reentrancy protection and event emission</w:t>
      </w:r>
    </w:p>
    <w:p>
      <w:pPr>
        <w:pStyle w:val="Heading3"/>
        <w:spacing w:after="120" w:before="200"/>
      </w:pPr>
      <w:r>
        <w:rPr>
          <w:rFonts w:ascii="Times New Roman" w:cs="Times New Roman" w:eastAsia="Times New Roman" w:hAnsi="Times New Roman"/>
          <w:b/>
          <w:bCs/>
          <w:color w:val="000000"/>
          <w:sz w:val="24"/>
          <w:szCs w:val="24"/>
        </w:rPr>
        <w:t xml:space="preserve">5.2.3  Compilation and Deployment Settings</w:t>
      </w:r>
    </w:p>
    <w:p>
      <w:pPr>
        <w:spacing w:after="120" w:line="360"/>
        <w:jc w:val="both"/>
      </w:pPr>
      <w:r>
        <w:rPr>
          <w:rFonts w:ascii="Times New Roman" w:cs="Times New Roman" w:eastAsia="Times New Roman" w:hAnsi="Times New Roman"/>
          <w:sz w:val="24"/>
          <w:szCs w:val="24"/>
        </w:rPr>
        <w:t xml:space="preserve">The contract is compiled with the Solidity 0.8.24 optimiser enabled (200 runs) and deployed to the Ethereum Sepolia testnet (chain ID 11155111) through Hardhat. The deployment script prints the contract address, writes the compiled ABI together with the address into backend/abi/NFTGuardMarketplace.json so that the backend automatically picks up the deployed contract, and outputs an Etherscan link for public verification. The compiled bytecode is approximately 8 KB, well within the 24 KB contract size limit.</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networks: {</w:t>
      </w:r>
    </w:p>
    <w:p>
      <w:pPr>
        <w:shd w:fill="F2F2F2" w:val="clear"/>
        <w:spacing w:after="0" w:before="0" w:line="240"/>
        <w:ind w:left="240" w:right="240"/>
      </w:pPr>
      <w:r>
        <w:rPr>
          <w:rFonts w:ascii="Courier New" w:cs="Courier New" w:eastAsia="Courier New" w:hAnsi="Courier New"/>
          <w:sz w:val="18"/>
          <w:szCs w:val="18"/>
        </w:rPr>
        <w:t xml:space="preserve">  sepolia: {</w:t>
      </w:r>
    </w:p>
    <w:p>
      <w:pPr>
        <w:shd w:fill="F2F2F2" w:val="clear"/>
        <w:spacing w:after="0" w:before="0" w:line="240"/>
        <w:ind w:left="240" w:right="240"/>
      </w:pPr>
      <w:r>
        <w:rPr>
          <w:rFonts w:ascii="Courier New" w:cs="Courier New" w:eastAsia="Courier New" w:hAnsi="Courier New"/>
          <w:sz w:val="18"/>
          <w:szCs w:val="18"/>
        </w:rPr>
        <w:t xml:space="preserve">    url: process.env.SEPOLIA_RPC_URL,</w:t>
      </w:r>
    </w:p>
    <w:p>
      <w:pPr>
        <w:shd w:fill="F2F2F2" w:val="clear"/>
        <w:spacing w:after="0" w:before="0" w:line="240"/>
        <w:ind w:left="240" w:right="240"/>
      </w:pPr>
      <w:r>
        <w:rPr>
          <w:rFonts w:ascii="Courier New" w:cs="Courier New" w:eastAsia="Courier New" w:hAnsi="Courier New"/>
          <w:sz w:val="18"/>
          <w:szCs w:val="18"/>
        </w:rPr>
        <w:t xml:space="preserve">    accounts: process.env.PRIVATE_KEY ? [process.env.PRIVATE_KEY] : [],</w:t>
      </w:r>
    </w:p>
    <w:p>
      <w:pPr>
        <w:shd w:fill="F2F2F2" w:val="clear"/>
        <w:spacing w:after="0" w:before="0" w:line="240"/>
        <w:ind w:left="240" w:right="240"/>
      </w:pPr>
      <w:r>
        <w:rPr>
          <w:rFonts w:ascii="Courier New" w:cs="Courier New" w:eastAsia="Courier New" w:hAnsi="Courier New"/>
          <w:sz w:val="18"/>
          <w:szCs w:val="18"/>
        </w:rPr>
        <w:t xml:space="preserve">    chainId: 11155111,</w:t>
      </w:r>
    </w:p>
    <w:p>
      <w:pPr>
        <w:shd w:fill="F2F2F2" w:val="clear"/>
        <w:spacing w:after="0" w:before="0" w:line="240"/>
        <w:ind w:left="240" w:right="240"/>
      </w:pPr>
      <w:r>
        <w:rPr>
          <w:rFonts w:ascii="Courier New" w:cs="Courier New" w:eastAsia="Courier New" w:hAnsi="Courier New"/>
          <w:sz w:val="18"/>
          <w:szCs w:val="18"/>
        </w:rPr>
        <w:t xml:space="preserve">  },</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w:t>
      </w:r>
    </w:p>
    <w:p>
      <w:pPr>
        <w:spacing w:after="200" w:before="100"/>
        <w:jc w:val="center"/>
      </w:pPr>
      <w:r>
        <w:rPr>
          <w:rFonts w:ascii="Times New Roman" w:cs="Times New Roman" w:eastAsia="Times New Roman" w:hAnsi="Times New Roman"/>
          <w:i/>
          <w:iCs/>
          <w:sz w:val="22"/>
          <w:szCs w:val="22"/>
        </w:rPr>
        <w:t xml:space="preserve">Figure 5.4: Hardhat Sepolia network configuration</w:t>
      </w:r>
    </w:p>
    <w:p>
      <w:pPr>
        <w:pStyle w:val="Heading2"/>
        <w:spacing w:after="160" w:before="260"/>
      </w:pPr>
      <w:r>
        <w:rPr>
          <w:rFonts w:ascii="Times New Roman" w:cs="Times New Roman" w:eastAsia="Times New Roman" w:hAnsi="Times New Roman"/>
          <w:b/>
          <w:bCs/>
          <w:color w:val="000000"/>
          <w:sz w:val="28"/>
          <w:szCs w:val="28"/>
        </w:rPr>
        <w:t xml:space="preserve">5.3  NFT Authenticity Verification Module (Sprint 1)</w:t>
      </w:r>
    </w:p>
    <w:p>
      <w:pPr>
        <w:spacing w:after="120" w:line="360"/>
        <w:jc w:val="both"/>
      </w:pPr>
      <w:r>
        <w:rPr>
          <w:rFonts w:ascii="Times New Roman" w:cs="Times New Roman" w:eastAsia="Times New Roman" w:hAnsi="Times New Roman"/>
          <w:sz w:val="24"/>
          <w:szCs w:val="24"/>
        </w:rPr>
        <w:t xml:space="preserve">The verification service implements the three-layer pipeline designed in Section 3.1.2 and traced in the sequence diagram of Figure 4.3. Each layer contributes an authenticity penalty; the aggregated authenticity risk (0–100) is later weighted at 0.40 in the unified score.</w:t>
      </w:r>
    </w:p>
    <w:p>
      <w:pPr>
        <w:pStyle w:val="Heading3"/>
        <w:spacing w:after="120" w:before="200"/>
      </w:pPr>
      <w:r>
        <w:rPr>
          <w:rFonts w:ascii="Times New Roman" w:cs="Times New Roman" w:eastAsia="Times New Roman" w:hAnsi="Times New Roman"/>
          <w:b/>
          <w:bCs/>
          <w:color w:val="000000"/>
          <w:sz w:val="24"/>
          <w:szCs w:val="24"/>
        </w:rPr>
        <w:t xml:space="preserve">5.3.1  Layer 1 — Smart Contract Standard Compliance</w:t>
      </w:r>
    </w:p>
    <w:p>
      <w:pPr>
        <w:spacing w:after="120" w:line="360"/>
        <w:jc w:val="both"/>
      </w:pPr>
      <w:r>
        <w:rPr>
          <w:rFonts w:ascii="Times New Roman" w:cs="Times New Roman" w:eastAsia="Times New Roman" w:hAnsi="Times New Roman"/>
          <w:sz w:val="24"/>
          <w:szCs w:val="24"/>
        </w:rPr>
        <w:t xml:space="preserve">Compliance is verified through the ERC-165 </w:t>
      </w:r>
      <w:r>
        <w:rPr>
          <w:rFonts w:ascii="Courier New" w:cs="Courier New" w:eastAsia="Courier New" w:hAnsi="Courier New"/>
          <w:sz w:val="20"/>
          <w:szCs w:val="20"/>
        </w:rPr>
        <w:t xml:space="preserve">supportsInterface()</w:t>
      </w:r>
      <w:r>
        <w:rPr>
          <w:rFonts w:ascii="Times New Roman" w:cs="Times New Roman" w:eastAsia="Times New Roman" w:hAnsi="Times New Roman"/>
          <w:sz w:val="24"/>
          <w:szCs w:val="24"/>
        </w:rPr>
        <w:t xml:space="preserve"> mechanism using the official interface identifiers 0x80ac58cd (ERC-721) and 0xd9b67a26 (ERC-1155). The service first confirms that deployed bytecode exists at the address, preventing verification of externally-owned accounts posing as contracts (FR 1.1).</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const code = await provider.getCode(addr);</w:t>
      </w:r>
    </w:p>
    <w:p>
      <w:pPr>
        <w:shd w:fill="F2F2F2" w:val="clear"/>
        <w:spacing w:after="0" w:before="0" w:line="240"/>
        <w:ind w:left="240" w:right="240"/>
      </w:pPr>
      <w:r>
        <w:rPr>
          <w:rFonts w:ascii="Courier New" w:cs="Courier New" w:eastAsia="Courier New" w:hAnsi="Courier New"/>
          <w:sz w:val="18"/>
          <w:szCs w:val="18"/>
        </w:rPr>
        <w:t xml:space="preserve">if (!code || code === "0x")</w:t>
      </w:r>
    </w:p>
    <w:p>
      <w:pPr>
        <w:shd w:fill="F2F2F2" w:val="clear"/>
        <w:spacing w:after="0" w:before="0" w:line="240"/>
        <w:ind w:left="240" w:right="240"/>
      </w:pPr>
      <w:r>
        <w:rPr>
          <w:rFonts w:ascii="Courier New" w:cs="Courier New" w:eastAsia="Courier New" w:hAnsi="Courier New"/>
          <w:sz w:val="18"/>
          <w:szCs w:val="18"/>
        </w:rPr>
        <w:t xml:space="preserve">  return { compliant: false, reason: "No contract bytecode at address" };</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result.erc721  = await c.supportsInterface("0x80ac58cd");</w:t>
      </w:r>
    </w:p>
    <w:p>
      <w:pPr>
        <w:shd w:fill="F2F2F2" w:val="clear"/>
        <w:spacing w:after="0" w:before="0" w:line="240"/>
        <w:ind w:left="240" w:right="240"/>
      </w:pPr>
      <w:r>
        <w:rPr>
          <w:rFonts w:ascii="Courier New" w:cs="Courier New" w:eastAsia="Courier New" w:hAnsi="Courier New"/>
          <w:sz w:val="18"/>
          <w:szCs w:val="18"/>
        </w:rPr>
        <w:t xml:space="preserve">result.erc1155 = await c.supportsInterface("0xd9b67a26");</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result.compliant = result.erc721 || result.erc1155;</w:t>
      </w:r>
    </w:p>
    <w:p>
      <w:pPr>
        <w:spacing w:after="200" w:before="100"/>
        <w:jc w:val="center"/>
      </w:pPr>
      <w:r>
        <w:rPr>
          <w:rFonts w:ascii="Times New Roman" w:cs="Times New Roman" w:eastAsia="Times New Roman" w:hAnsi="Times New Roman"/>
          <w:i/>
          <w:iCs/>
          <w:sz w:val="22"/>
          <w:szCs w:val="22"/>
        </w:rPr>
        <w:t xml:space="preserve">Figure 5.5: ERC-165 interface compliance check (blockchain.js)</w:t>
      </w:r>
    </w:p>
    <w:p>
      <w:pPr>
        <w:pStyle w:val="Heading3"/>
        <w:spacing w:after="120" w:before="200"/>
      </w:pPr>
      <w:r>
        <w:rPr>
          <w:rFonts w:ascii="Times New Roman" w:cs="Times New Roman" w:eastAsia="Times New Roman" w:hAnsi="Times New Roman"/>
          <w:b/>
          <w:bCs/>
          <w:color w:val="000000"/>
          <w:sz w:val="24"/>
          <w:szCs w:val="24"/>
        </w:rPr>
        <w:t xml:space="preserve">5.3.2  Layer 2 — Metadata Integrity via SHA-256</w:t>
      </w:r>
    </w:p>
    <w:p>
      <w:pPr>
        <w:spacing w:after="120" w:line="360"/>
        <w:jc w:val="both"/>
      </w:pPr>
      <w:r>
        <w:rPr>
          <w:rFonts w:ascii="Times New Roman" w:cs="Times New Roman" w:eastAsia="Times New Roman" w:hAnsi="Times New Roman"/>
          <w:sz w:val="24"/>
          <w:szCs w:val="24"/>
        </w:rPr>
        <w:t xml:space="preserve">The service reads the token URI from the blockchain, resolves ipfs:// URIs through the Pinata gateway, downloads the metadata JSON, and recomputes its SHA-256 hash. A mismatch against the on-chain anchor stored at mint time marks the token as Tampered and raises a METADATA_TAMPERED fraud flag with a configurable penalty of 80 (FR 1.2, FR 1.3). Hash computation is deterministic, satisfying the reliability non-functional requirement that identical inputs always produce identical results.</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function sha256OfMetadata(metadataObj) {</w:t>
      </w:r>
    </w:p>
    <w:p>
      <w:pPr>
        <w:shd w:fill="F2F2F2" w:val="clear"/>
        <w:spacing w:after="0" w:before="0" w:line="240"/>
        <w:ind w:left="240" w:right="240"/>
      </w:pPr>
      <w:r>
        <w:rPr>
          <w:rFonts w:ascii="Courier New" w:cs="Courier New" w:eastAsia="Courier New" w:hAnsi="Courier New"/>
          <w:sz w:val="18"/>
          <w:szCs w:val="18"/>
        </w:rPr>
        <w:t xml:space="preserve">  const canonical = typeof metadataObj === "string"</w:t>
      </w:r>
    </w:p>
    <w:p>
      <w:pPr>
        <w:shd w:fill="F2F2F2" w:val="clear"/>
        <w:spacing w:after="0" w:before="0" w:line="240"/>
        <w:ind w:left="240" w:right="240"/>
      </w:pPr>
      <w:r>
        <w:rPr>
          <w:rFonts w:ascii="Courier New" w:cs="Courier New" w:eastAsia="Courier New" w:hAnsi="Courier New"/>
          <w:sz w:val="18"/>
          <w:szCs w:val="18"/>
        </w:rPr>
        <w:t xml:space="preserve">    ? metadataObj : JSON.stringify(metadataObj);</w:t>
      </w:r>
    </w:p>
    <w:p>
      <w:pPr>
        <w:shd w:fill="F2F2F2" w:val="clear"/>
        <w:spacing w:after="0" w:before="0" w:line="240"/>
        <w:ind w:left="240" w:right="240"/>
      </w:pPr>
      <w:r>
        <w:rPr>
          <w:rFonts w:ascii="Courier New" w:cs="Courier New" w:eastAsia="Courier New" w:hAnsi="Courier New"/>
          <w:sz w:val="18"/>
          <w:szCs w:val="18"/>
        </w:rPr>
        <w:t xml:space="preserve">  return "0x" + crypto.createHash("sha256")</w:t>
      </w:r>
    </w:p>
    <w:p>
      <w:pPr>
        <w:shd w:fill="F2F2F2" w:val="clear"/>
        <w:spacing w:after="0" w:before="0" w:line="240"/>
        <w:ind w:left="240" w:right="240"/>
      </w:pPr>
      <w:r>
        <w:rPr>
          <w:rFonts w:ascii="Courier New" w:cs="Courier New" w:eastAsia="Courier New" w:hAnsi="Courier New"/>
          <w:sz w:val="18"/>
          <w:szCs w:val="18"/>
        </w:rPr>
        <w:t xml:space="preserve">                     .update(canonical).digest("hex");</w:t>
      </w:r>
    </w:p>
    <w:p>
      <w:pPr>
        <w:shd w:fill="F2F2F2" w:val="clear"/>
        <w:spacing w:after="0" w:before="0" w:line="240"/>
        <w:ind w:left="240" w:right="240"/>
      </w:pPr>
      <w:r>
        <w:rPr>
          <w:rFonts w:ascii="Courier New" w:cs="Courier New" w:eastAsia="Courier New" w:hAnsi="Courier New"/>
          <w:sz w:val="18"/>
          <w:szCs w:val="18"/>
        </w:rPr>
        <w:t xml:space="preserve">}</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const hashMatch = onChainHash.toLowerCase()</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               === offChainHash.toLowerCase();</w:t>
      </w:r>
    </w:p>
    <w:p>
      <w:pPr>
        <w:spacing w:after="200" w:before="100"/>
        <w:jc w:val="center"/>
      </w:pPr>
      <w:r>
        <w:rPr>
          <w:rFonts w:ascii="Times New Roman" w:cs="Times New Roman" w:eastAsia="Times New Roman" w:hAnsi="Times New Roman"/>
          <w:i/>
          <w:iCs/>
          <w:sz w:val="22"/>
          <w:szCs w:val="22"/>
        </w:rPr>
        <w:t xml:space="preserve">Figure 5.6: SHA-256 metadata integrity comparison (authVerifier.js)</w:t>
      </w:r>
    </w:p>
    <w:p>
      <w:pPr>
        <w:pStyle w:val="Heading3"/>
        <w:spacing w:after="120" w:before="200"/>
      </w:pPr>
      <w:r>
        <w:rPr>
          <w:rFonts w:ascii="Times New Roman" w:cs="Times New Roman" w:eastAsia="Times New Roman" w:hAnsi="Times New Roman"/>
          <w:b/>
          <w:bCs/>
          <w:color w:val="000000"/>
          <w:sz w:val="24"/>
          <w:szCs w:val="24"/>
        </w:rPr>
        <w:t xml:space="preserve">5.3.3  Layer 3 — Duplicate and Copy-Mint Detection</w:t>
      </w:r>
    </w:p>
    <w:p>
      <w:pPr>
        <w:spacing w:after="120" w:line="360"/>
        <w:jc w:val="both"/>
      </w:pPr>
      <w:r>
        <w:rPr>
          <w:rFonts w:ascii="Times New Roman" w:cs="Times New Roman" w:eastAsia="Times New Roman" w:hAnsi="Times New Roman"/>
          <w:sz w:val="24"/>
          <w:szCs w:val="24"/>
        </w:rPr>
        <w:t xml:space="preserve">Perceptual hashing is implemented with the Jimp image library: each listed asset's image is reduced to a pHash fingerprint that is robust to resizing and re-encoding. When a token is verified, its pHash is compared against every registered fingerprint using </w:t>
      </w:r>
      <w:r>
        <w:rPr>
          <w:rFonts w:ascii="Courier New" w:cs="Courier New" w:eastAsia="Courier New" w:hAnsi="Courier New"/>
          <w:sz w:val="20"/>
          <w:szCs w:val="20"/>
        </w:rPr>
        <w:t xml:space="preserve">Jimp.compareHashes()</w:t>
      </w:r>
      <w:r>
        <w:rPr>
          <w:rFonts w:ascii="Times New Roman" w:cs="Times New Roman" w:eastAsia="Times New Roman" w:hAnsi="Times New Roman"/>
          <w:sz w:val="24"/>
          <w:szCs w:val="24"/>
        </w:rPr>
        <w:t xml:space="preserve">, which returns a normalised distance in [0, 1]. A distance at or below the configured threshold of 0.15 flags the pair as a potential duplicate or copy-mint (FR 1.4), protecting original creators against plagiarism.</w:t>
      </w:r>
    </w:p>
    <w:p>
      <w:pPr>
        <w:pStyle w:val="Heading2"/>
        <w:spacing w:after="160" w:before="260"/>
      </w:pPr>
      <w:r>
        <w:rPr>
          <w:rFonts w:ascii="Times New Roman" w:cs="Times New Roman" w:eastAsia="Times New Roman" w:hAnsi="Times New Roman"/>
          <w:b/>
          <w:bCs/>
          <w:color w:val="000000"/>
          <w:sz w:val="28"/>
          <w:szCs w:val="28"/>
        </w:rPr>
        <w:t xml:space="preserve">5.4  Transaction Simulation Module (Sprint 2)</w:t>
      </w:r>
    </w:p>
    <w:p>
      <w:pPr>
        <w:spacing w:after="120" w:line="360"/>
        <w:jc w:val="both"/>
      </w:pPr>
      <w:r>
        <w:rPr>
          <w:rFonts w:ascii="Times New Roman" w:cs="Times New Roman" w:eastAsia="Times New Roman" w:hAnsi="Times New Roman"/>
          <w:sz w:val="24"/>
          <w:szCs w:val="24"/>
        </w:rPr>
        <w:t xml:space="preserve">The blockchain service operates in two modes controlled purely by configuration. In on-chain mode (SEPOLIA_RPC_URL and CONTRACT_ADDRESS configured), mint, list and buy requests are signed with the testnet wallet and executed as real Sepolia transactions whose hashes are stored in MongoDB. In simulated mode, the same code paths generate pseudo transaction hashes so the complete analytics pipeline remains testable without any blockchain dependency — fulfilling the report's requirement that the module supports testing without financial risk. Every operation, regardless of mode, is recorded as a TRANSACTION document with sender, recipient, token ID, price and timestamp (FR 2.5), and the frontend exposes wallet creation, minting, listing, purchasing and a filterable transaction history (FR 2.1–2.6).</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async function mintOnChain(uri, metadataHashHex) {</w:t>
      </w:r>
    </w:p>
    <w:p>
      <w:pPr>
        <w:shd w:fill="F2F2F2" w:val="clear"/>
        <w:spacing w:after="0" w:before="0" w:line="240"/>
        <w:ind w:left="240" w:right="240"/>
      </w:pPr>
      <w:r>
        <w:rPr>
          <w:rFonts w:ascii="Courier New" w:cs="Courier New" w:eastAsia="Courier New" w:hAnsi="Courier New"/>
          <w:sz w:val="18"/>
          <w:szCs w:val="18"/>
        </w:rPr>
        <w:t xml:space="preserve">  const c = getContract(true);              // signer-connected contract</w:t>
      </w:r>
    </w:p>
    <w:p>
      <w:pPr>
        <w:shd w:fill="F2F2F2" w:val="clear"/>
        <w:spacing w:after="0" w:before="0" w:line="240"/>
        <w:ind w:left="240" w:right="240"/>
      </w:pPr>
      <w:r>
        <w:rPr>
          <w:rFonts w:ascii="Courier New" w:cs="Courier New" w:eastAsia="Courier New" w:hAnsi="Courier New"/>
          <w:sz w:val="18"/>
          <w:szCs w:val="18"/>
        </w:rPr>
        <w:t xml:space="preserve">  if (!c) return { simulated: true, txHash: pseudoTxHash() };</w:t>
      </w:r>
    </w:p>
    <w:p>
      <w:pPr>
        <w:shd w:fill="F2F2F2" w:val="clear"/>
        <w:spacing w:after="0" w:before="0" w:line="240"/>
        <w:ind w:left="240" w:right="240"/>
      </w:pPr>
      <w:r>
        <w:rPr>
          <w:rFonts w:ascii="Courier New" w:cs="Courier New" w:eastAsia="Courier New" w:hAnsi="Courier New"/>
          <w:sz w:val="18"/>
          <w:szCs w:val="18"/>
        </w:rPr>
        <w:t xml:space="preserve">  const tx = await c.mintNFT(uri, metadataHashHex);</w:t>
      </w:r>
    </w:p>
    <w:p>
      <w:pPr>
        <w:shd w:fill="F2F2F2" w:val="clear"/>
        <w:spacing w:after="0" w:before="0" w:line="240"/>
        <w:ind w:left="240" w:right="240"/>
      </w:pPr>
      <w:r>
        <w:rPr>
          <w:rFonts w:ascii="Courier New" w:cs="Courier New" w:eastAsia="Courier New" w:hAnsi="Courier New"/>
          <w:sz w:val="18"/>
          <w:szCs w:val="18"/>
        </w:rPr>
        <w:t xml:space="preserve">  const receipt = await tx.wait();          // wait for confirmation</w:t>
      </w:r>
    </w:p>
    <w:p>
      <w:pPr>
        <w:shd w:fill="F2F2F2" w:val="clear"/>
        <w:spacing w:after="0" w:before="0" w:line="240"/>
        <w:ind w:left="240" w:right="240"/>
      </w:pPr>
      <w:r>
        <w:rPr>
          <w:rFonts w:ascii="Courier New" w:cs="Courier New" w:eastAsia="Courier New" w:hAnsi="Courier New"/>
          <w:sz w:val="18"/>
          <w:szCs w:val="18"/>
        </w:rPr>
        <w:t xml:space="preserve">  // extract tokenId from the Minted event in the receipt logs</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  return { simulated: false, txHash: receipt.hash, tokenId };</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w:t>
      </w:r>
    </w:p>
    <w:p>
      <w:pPr>
        <w:spacing w:after="200" w:before="100"/>
        <w:jc w:val="center"/>
      </w:pPr>
      <w:r>
        <w:rPr>
          <w:rFonts w:ascii="Times New Roman" w:cs="Times New Roman" w:eastAsia="Times New Roman" w:hAnsi="Times New Roman"/>
          <w:i/>
          <w:iCs/>
          <w:sz w:val="22"/>
          <w:szCs w:val="22"/>
        </w:rPr>
        <w:t xml:space="preserve">Figure 5.7: Dual-mode mint execution with ethers.js v6</w:t>
      </w:r>
    </w:p>
    <w:p>
      <w:pPr>
        <w:pStyle w:val="Heading2"/>
        <w:spacing w:after="160" w:before="260"/>
      </w:pPr>
      <w:r>
        <w:rPr>
          <w:rFonts w:ascii="Times New Roman" w:cs="Times New Roman" w:eastAsia="Times New Roman" w:hAnsi="Times New Roman"/>
          <w:b/>
          <w:bCs/>
          <w:color w:val="000000"/>
          <w:sz w:val="28"/>
          <w:szCs w:val="28"/>
        </w:rPr>
        <w:t xml:space="preserve">5.5  Price Transparency Analysis Module (Sprint 3)</w:t>
      </w:r>
    </w:p>
    <w:p>
      <w:pPr>
        <w:spacing w:after="120" w:line="360"/>
        <w:jc w:val="both"/>
      </w:pPr>
      <w:r>
        <w:rPr>
          <w:rFonts w:ascii="Times New Roman" w:cs="Times New Roman" w:eastAsia="Times New Roman" w:hAnsi="Times New Roman"/>
          <w:sz w:val="24"/>
          <w:szCs w:val="24"/>
        </w:rPr>
        <w:t xml:space="preserve">For each collection the module computes the mean, median, sample standard deviation, minimum, maximum and sample size of sale prices, persisted as PRICE_STATS documents (FR 3.1). Each sale is then assigned a Z-score relative to the collection distribution; transactions whose absolute Z-score exceeds the configurable threshold of 2.5 are flagged as anomalies (FR 3.2, FR 3.4). The per-token price risk is derived from the parameterised formula basePenalty + perAnomaly × count + perExcessZ × (max|Z| − threshold), capped at 100, with all four parameters configurable in thresholds.json.</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const z = stats.stdDev &gt; 0</w:t>
      </w:r>
    </w:p>
    <w:p>
      <w:pPr>
        <w:shd w:fill="F2F2F2" w:val="clear"/>
        <w:spacing w:after="0" w:before="0" w:line="240"/>
        <w:ind w:left="240" w:right="240"/>
      </w:pPr>
      <w:r>
        <w:rPr>
          <w:rFonts w:ascii="Courier New" w:cs="Courier New" w:eastAsia="Courier New" w:hAnsi="Courier New"/>
          <w:sz w:val="18"/>
          <w:szCs w:val="18"/>
        </w:rPr>
        <w:t xml:space="preserve">  ? (t.priceEth - stats.avgPrice) / stats.stdDev : 0;</w:t>
      </w:r>
    </w:p>
    <w:p>
      <w:pPr>
        <w:shd w:fill="F2F2F2" w:val="clear"/>
        <w:spacing w:after="0" w:before="0" w:line="240"/>
        <w:ind w:left="240" w:right="240"/>
      </w:pPr>
      <w:r>
        <w:rPr>
          <w:rFonts w:ascii="Courier New" w:cs="Courier New" w:eastAsia="Courier New" w:hAnsi="Courier New"/>
          <w:sz w:val="18"/>
          <w:szCs w:val="18"/>
        </w:rPr>
        <w:t xml:space="preserve">const anomaly = Math.abs(z) &gt; zLimit;        // zLimit = 2.5</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risk = Math.min(100, basePenalty</w:t>
      </w:r>
    </w:p>
    <w:p>
      <w:pPr>
        <w:shd w:fill="F2F2F2" w:val="clear"/>
        <w:spacing w:after="0" w:before="0" w:line="240"/>
        <w:ind w:left="240" w:right="240"/>
      </w:pPr>
      <w:r>
        <w:rPr>
          <w:rFonts w:ascii="Courier New" w:cs="Courier New" w:eastAsia="Courier New" w:hAnsi="Courier New"/>
          <w:sz w:val="18"/>
          <w:szCs w:val="18"/>
        </w:rPr>
        <w:t xml:space="preserve">     + anomalies.length * perAnomaly</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     + Math.max(0, maxAbsZ - zThreshold) * perExcessZ);</w:t>
      </w:r>
    </w:p>
    <w:p>
      <w:pPr>
        <w:spacing w:after="200" w:before="100"/>
        <w:jc w:val="center"/>
      </w:pPr>
      <w:r>
        <w:rPr>
          <w:rFonts w:ascii="Times New Roman" w:cs="Times New Roman" w:eastAsia="Times New Roman" w:hAnsi="Times New Roman"/>
          <w:i/>
          <w:iCs/>
          <w:sz w:val="22"/>
          <w:szCs w:val="22"/>
        </w:rPr>
        <w:t xml:space="preserve">Figure 5.8: Z-score anomaly detection and price risk derivation</w:t>
      </w:r>
    </w:p>
    <w:p>
      <w:pPr>
        <w:pStyle w:val="Heading2"/>
        <w:spacing w:after="160" w:before="260"/>
      </w:pPr>
      <w:r>
        <w:rPr>
          <w:rFonts w:ascii="Times New Roman" w:cs="Times New Roman" w:eastAsia="Times New Roman" w:hAnsi="Times New Roman"/>
          <w:b/>
          <w:bCs/>
          <w:color w:val="000000"/>
          <w:sz w:val="28"/>
          <w:szCs w:val="28"/>
        </w:rPr>
        <w:t xml:space="preserve">5.6  Fraud Detection Module (Sprint 3)</w:t>
      </w:r>
    </w:p>
    <w:p>
      <w:pPr>
        <w:spacing w:after="120" w:line="360"/>
        <w:jc w:val="both"/>
      </w:pPr>
      <w:r>
        <w:rPr>
          <w:rFonts w:ascii="Times New Roman" w:cs="Times New Roman" w:eastAsia="Times New Roman" w:hAnsi="Times New Roman"/>
          <w:sz w:val="24"/>
          <w:szCs w:val="24"/>
        </w:rPr>
        <w:t xml:space="preserve">The four heuristic rules designed in Section 3.1.5 are implemented as pure functions over a token's transaction history, which makes their output deterministic and independently unit-testable. All thresholds and penalty weights are externalised to a single configuration file so that marketplace operators can retune the engine without code changes.</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w:t>
      </w:r>
    </w:p>
    <w:p>
      <w:pPr>
        <w:shd w:fill="F2F2F2" w:val="clear"/>
        <w:spacing w:after="0" w:before="0" w:line="240"/>
        <w:ind w:left="240" w:right="240"/>
      </w:pPr>
      <w:r>
        <w:rPr>
          <w:rFonts w:ascii="Courier New" w:cs="Courier New" w:eastAsia="Courier New" w:hAnsi="Courier New"/>
          <w:sz w:val="18"/>
          <w:szCs w:val="18"/>
        </w:rPr>
        <w:t xml:space="preserve">  "washTrade":            { "loopPairMinCount": 3,  "penalty": 45 },</w:t>
      </w:r>
    </w:p>
    <w:p>
      <w:pPr>
        <w:shd w:fill="F2F2F2" w:val="clear"/>
        <w:spacing w:after="0" w:before="0" w:line="240"/>
        <w:ind w:left="240" w:right="240"/>
      </w:pPr>
      <w:r>
        <w:rPr>
          <w:rFonts w:ascii="Courier New" w:cs="Courier New" w:eastAsia="Courier New" w:hAnsi="Courier New"/>
          <w:sz w:val="18"/>
          <w:szCs w:val="18"/>
        </w:rPr>
        <w:t xml:space="preserve">  "abnormalFrequency":    { "windowMinutes": 60,</w:t>
      </w:r>
    </w:p>
    <w:p>
      <w:pPr>
        <w:shd w:fill="F2F2F2" w:val="clear"/>
        <w:spacing w:after="0" w:before="0" w:line="240"/>
        <w:ind w:left="240" w:right="240"/>
      </w:pPr>
      <w:r>
        <w:rPr>
          <w:rFonts w:ascii="Courier New" w:cs="Courier New" w:eastAsia="Courier New" w:hAnsi="Courier New"/>
          <w:sz w:val="18"/>
          <w:szCs w:val="18"/>
        </w:rPr>
        <w:t xml:space="preserve">                             "baselineMultiplier": 3,</w:t>
      </w:r>
    </w:p>
    <w:p>
      <w:pPr>
        <w:shd w:fill="F2F2F2" w:val="clear"/>
        <w:spacing w:after="0" w:before="0" w:line="240"/>
        <w:ind w:left="240" w:right="240"/>
      </w:pPr>
      <w:r>
        <w:rPr>
          <w:rFonts w:ascii="Courier New" w:cs="Courier New" w:eastAsia="Courier New" w:hAnsi="Courier New"/>
          <w:sz w:val="18"/>
          <w:szCs w:val="18"/>
        </w:rPr>
        <w:t xml:space="preserve">                             "minCount": 4,          "penalty": 30 },</w:t>
      </w:r>
    </w:p>
    <w:p>
      <w:pPr>
        <w:shd w:fill="F2F2F2" w:val="clear"/>
        <w:spacing w:after="0" w:before="0" w:line="240"/>
        <w:ind w:left="240" w:right="240"/>
      </w:pPr>
      <w:r>
        <w:rPr>
          <w:rFonts w:ascii="Courier New" w:cs="Courier New" w:eastAsia="Courier New" w:hAnsi="Courier New"/>
          <w:sz w:val="18"/>
          <w:szCs w:val="18"/>
        </w:rPr>
        <w:t xml:space="preserve">  "selfTransfer":         { "penalty": 25 },</w:t>
      </w:r>
    </w:p>
    <w:p>
      <w:pPr>
        <w:shd w:fill="F2F2F2" w:val="clear"/>
        <w:spacing w:after="0" w:before="0" w:line="240"/>
        <w:ind w:left="240" w:right="240"/>
      </w:pPr>
      <w:r>
        <w:rPr>
          <w:rFonts w:ascii="Courier New" w:cs="Courier New" w:eastAsia="Courier New" w:hAnsi="Courier New"/>
          <w:sz w:val="18"/>
          <w:szCs w:val="18"/>
        </w:rPr>
        <w:t xml:space="preserve">  "rapidPriceEscalation": { "minIncreasePct": 0.5,</w:t>
      </w:r>
    </w:p>
    <w:p>
      <w:pPr>
        <w:shd w:fill="F2F2F2" w:val="clear"/>
        <w:spacing w:after="0" w:before="0" w:line="240"/>
        <w:ind w:left="240" w:right="240"/>
      </w:pPr>
      <w:r>
        <w:rPr>
          <w:rFonts w:ascii="Courier New" w:cs="Courier New" w:eastAsia="Courier New" w:hAnsi="Courier New"/>
          <w:sz w:val="18"/>
          <w:szCs w:val="18"/>
        </w:rPr>
        <w:t xml:space="preserve">                             "windowMinutes": 60,    "penalty": 30 },</w:t>
      </w:r>
    </w:p>
    <w:p>
      <w:pPr>
        <w:shd w:fill="F2F2F2" w:val="clear"/>
        <w:spacing w:after="0" w:before="0" w:line="240"/>
        <w:ind w:left="240" w:right="240"/>
      </w:pPr>
      <w:r>
        <w:rPr>
          <w:rFonts w:ascii="Courier New" w:cs="Courier New" w:eastAsia="Courier New" w:hAnsi="Courier New"/>
          <w:sz w:val="18"/>
          <w:szCs w:val="18"/>
        </w:rPr>
        <w:t xml:space="preserve">  "priceAnomaly":         { "zScoreThreshold": 2.5, ... },</w:t>
      </w:r>
    </w:p>
    <w:p>
      <w:pPr>
        <w:shd w:fill="F2F2F2" w:val="clear"/>
        <w:spacing w:after="0" w:before="0" w:line="240"/>
        <w:ind w:left="240" w:right="240"/>
      </w:pPr>
      <w:r>
        <w:rPr>
          <w:rFonts w:ascii="Courier New" w:cs="Courier New" w:eastAsia="Courier New" w:hAnsi="Courier New"/>
          <w:sz w:val="18"/>
          <w:szCs w:val="18"/>
        </w:rPr>
        <w:t xml:space="preserve">  "authenticity":         { "tamperedPenalty": 80,</w:t>
      </w:r>
    </w:p>
    <w:p>
      <w:pPr>
        <w:shd w:fill="F2F2F2" w:val="clear"/>
        <w:spacing w:after="0" w:before="0" w:line="240"/>
        <w:ind w:left="240" w:right="240"/>
      </w:pPr>
      <w:r>
        <w:rPr>
          <w:rFonts w:ascii="Courier New" w:cs="Courier New" w:eastAsia="Courier New" w:hAnsi="Courier New"/>
          <w:sz w:val="18"/>
          <w:szCs w:val="18"/>
        </w:rPr>
        <w:t xml:space="preserve">                             "nonCompliantPenalty": 70,</w:t>
      </w:r>
    </w:p>
    <w:p>
      <w:pPr>
        <w:shd w:fill="F2F2F2" w:val="clear"/>
        <w:spacing w:after="0" w:before="0" w:line="240"/>
        <w:ind w:left="240" w:right="240"/>
      </w:pPr>
      <w:r>
        <w:rPr>
          <w:rFonts w:ascii="Courier New" w:cs="Courier New" w:eastAsia="Courier New" w:hAnsi="Courier New"/>
          <w:sz w:val="18"/>
          <w:szCs w:val="18"/>
        </w:rPr>
        <w:t xml:space="preserve">                             "duplicatePenalty": 50 },</w:t>
      </w:r>
    </w:p>
    <w:p>
      <w:pPr>
        <w:shd w:fill="F2F2F2" w:val="clear"/>
        <w:spacing w:after="0" w:before="0" w:line="240"/>
        <w:ind w:left="240" w:right="240"/>
      </w:pPr>
      <w:r>
        <w:rPr>
          <w:rFonts w:ascii="Courier New" w:cs="Courier New" w:eastAsia="Courier New" w:hAnsi="Courier New"/>
          <w:sz w:val="18"/>
          <w:szCs w:val="18"/>
        </w:rPr>
        <w:t xml:space="preserve">  "riskWeights": { "authenticity": 0.4, "fraud": 0.35,</w:t>
      </w:r>
    </w:p>
    <w:p>
      <w:pPr>
        <w:shd w:fill="F2F2F2" w:val="clear"/>
        <w:spacing w:after="0" w:before="0" w:line="240"/>
        <w:ind w:left="240" w:right="240"/>
      </w:pPr>
      <w:r>
        <w:rPr>
          <w:rFonts w:ascii="Courier New" w:cs="Courier New" w:eastAsia="Courier New" w:hAnsi="Courier New"/>
          <w:sz w:val="18"/>
          <w:szCs w:val="18"/>
        </w:rPr>
        <w:t xml:space="preserve">                   "priceAnomaly": 0.25 }</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w:t>
      </w:r>
    </w:p>
    <w:p>
      <w:pPr>
        <w:spacing w:after="200" w:before="100"/>
        <w:jc w:val="center"/>
      </w:pPr>
      <w:r>
        <w:rPr>
          <w:rFonts w:ascii="Times New Roman" w:cs="Times New Roman" w:eastAsia="Times New Roman" w:hAnsi="Times New Roman"/>
          <w:i/>
          <w:iCs/>
          <w:sz w:val="22"/>
          <w:szCs w:val="22"/>
        </w:rPr>
        <w:t xml:space="preserve">Figure 5.9: Configurable rule thresholds (config/thresholds.json, abridged)</w:t>
      </w:r>
    </w:p>
    <w:p>
      <w:pPr>
        <w:spacing w:after="120" w:line="360"/>
        <w:jc w:val="both"/>
      </w:pPr>
      <w:r>
        <w:rPr>
          <w:rFonts w:ascii="Times New Roman" w:cs="Times New Roman" w:eastAsia="Times New Roman" w:hAnsi="Times New Roman"/>
          <w:b/>
          <w:bCs/>
          <w:sz w:val="24"/>
          <w:szCs w:val="24"/>
        </w:rPr>
        <w:t xml:space="preserve">Rule 1 — Buyer–Seller Loop Detection. </w:t>
      </w:r>
      <w:r>
        <w:rPr>
          <w:rFonts w:ascii="Times New Roman" w:cs="Times New Roman" w:eastAsia="Times New Roman" w:hAnsi="Times New Roman"/>
          <w:sz w:val="24"/>
          <w:szCs w:val="24"/>
        </w:rPr>
        <w:t xml:space="preserve">Wallet pairs are normalised into an order-independent key so that A→B and B→A count as the same pair; a pair transacting the same NFT three or more times is flagged as a wash-trading loop (FR 4.1), consistent with the pattern analysis of von Wachter et al. (2022).</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const pairKey = (a, b) =&gt;</w:t>
      </w:r>
    </w:p>
    <w:p>
      <w:pPr>
        <w:shd w:fill="F2F2F2" w:val="clear"/>
        <w:spacing w:after="0" w:before="0" w:line="240"/>
        <w:ind w:left="240" w:right="240"/>
      </w:pPr>
      <w:r>
        <w:rPr>
          <w:rFonts w:ascii="Courier New" w:cs="Courier New" w:eastAsia="Courier New" w:hAnsi="Courier New"/>
          <w:sz w:val="18"/>
          <w:szCs w:val="18"/>
        </w:rPr>
        <w:t xml:space="preserve">  [a.toLowerCase(), b.toLowerCase()].sort().join("&lt;-&gt;");</w:t>
      </w:r>
    </w:p>
    <w:p>
      <w:pPr>
        <w:shd w:fill="F2F2F2" w:val="clear"/>
        <w:spacing w:after="0" w:before="0" w:line="240"/>
        <w:ind w:left="240" w:right="240"/>
      </w:pPr>
      <w:r>
        <w:rPr>
          <w:rFonts w:ascii="Courier New" w:cs="Courier New" w:eastAsia="Courier New" w:hAnsi="Courier New"/>
          <w:sz w:val="18"/>
          <w:szCs w:val="18"/>
        </w:rPr>
        <w:t xml:space="preserve"> </w:t>
      </w:r>
    </w:p>
    <w:p>
      <w:pPr>
        <w:shd w:fill="F2F2F2" w:val="clear"/>
        <w:spacing w:after="0" w:before="0" w:line="240"/>
        <w:ind w:left="240" w:right="240"/>
      </w:pPr>
      <w:r>
        <w:rPr>
          <w:rFonts w:ascii="Courier New" w:cs="Courier New" w:eastAsia="Courier New" w:hAnsi="Courier New"/>
          <w:sz w:val="18"/>
          <w:szCs w:val="18"/>
        </w:rPr>
        <w:t xml:space="preserve">for (const t of txs) counts[pairKey(t.senderAddress,</w:t>
      </w:r>
    </w:p>
    <w:p>
      <w:pPr>
        <w:shd w:fill="F2F2F2" w:val="clear"/>
        <w:spacing w:after="0" w:before="0" w:line="240"/>
        <w:ind w:left="240" w:right="240"/>
      </w:pPr>
      <w:r>
        <w:rPr>
          <w:rFonts w:ascii="Courier New" w:cs="Courier New" w:eastAsia="Courier New" w:hAnsi="Courier New"/>
          <w:sz w:val="18"/>
          <w:szCs w:val="18"/>
        </w:rPr>
        <w:t xml:space="preserve">                                    t.recipientAddress)]++;</w:t>
      </w:r>
    </w:p>
    <w:p>
      <w:pPr>
        <w:shd w:fill="F2F2F2" w:val="clear"/>
        <w:spacing w:after="0" w:before="0" w:line="240"/>
        <w:ind w:left="240" w:right="240"/>
      </w:pPr>
      <w:r>
        <w:rPr>
          <w:rFonts w:ascii="Courier New" w:cs="Courier New" w:eastAsia="Courier New" w:hAnsi="Courier New"/>
          <w:sz w:val="18"/>
          <w:szCs w:val="18"/>
        </w:rPr>
        <w:t xml:space="preserve">const loops = Object.entries(counts)</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                    .filter(([, n]) =&gt; n &gt;= loopPairMinCount);</w:t>
      </w:r>
    </w:p>
    <w:p>
      <w:pPr>
        <w:spacing w:after="200" w:before="100"/>
        <w:jc w:val="center"/>
      </w:pPr>
      <w:r>
        <w:rPr>
          <w:rFonts w:ascii="Times New Roman" w:cs="Times New Roman" w:eastAsia="Times New Roman" w:hAnsi="Times New Roman"/>
          <w:i/>
          <w:iCs/>
          <w:sz w:val="22"/>
          <w:szCs w:val="22"/>
        </w:rPr>
        <w:t xml:space="preserve">Figure 5.10: Order-independent wallet-pair loop counting</w:t>
      </w:r>
    </w:p>
    <w:p>
      <w:pPr>
        <w:spacing w:after="120" w:line="360"/>
        <w:jc w:val="both"/>
      </w:pPr>
      <w:r>
        <w:rPr>
          <w:rFonts w:ascii="Times New Roman" w:cs="Times New Roman" w:eastAsia="Times New Roman" w:hAnsi="Times New Roman"/>
          <w:b/>
          <w:bCs/>
          <w:sz w:val="24"/>
          <w:szCs w:val="24"/>
        </w:rPr>
        <w:t xml:space="preserve">Rule 2 — Abnormal Transaction Frequency. </w:t>
      </w:r>
      <w:r>
        <w:rPr>
          <w:rFonts w:ascii="Times New Roman" w:cs="Times New Roman" w:eastAsia="Times New Roman" w:hAnsi="Times New Roman"/>
          <w:sz w:val="24"/>
          <w:szCs w:val="24"/>
        </w:rPr>
        <w:t xml:space="preserve">The token's densest 60-minute window count is compared against a like-for-like baseline: the mean of every other token's own densest window in the same collection. The token is flagged when its burst exceeds three times this baseline and involves at least four transactions (FR 4.2). </w:t>
      </w:r>
      <w:r>
        <w:rPr>
          <w:rFonts w:ascii="Times New Roman" w:cs="Times New Roman" w:eastAsia="Times New Roman" w:hAnsi="Times New Roman"/>
          <w:b/>
          <w:bCs/>
          <w:sz w:val="24"/>
          <w:szCs w:val="24"/>
        </w:rPr>
        <w:t xml:space="preserve">Rule 3 — Self-Transfer Detection </w:t>
      </w:r>
      <w:r>
        <w:rPr>
          <w:rFonts w:ascii="Times New Roman" w:cs="Times New Roman" w:eastAsia="Times New Roman" w:hAnsi="Times New Roman"/>
          <w:sz w:val="24"/>
          <w:szCs w:val="24"/>
        </w:rPr>
        <w:t xml:space="preserve">flags any transaction whose sender and recipient addresses are identical (FR 4.3). </w:t>
      </w:r>
      <w:r>
        <w:rPr>
          <w:rFonts w:ascii="Times New Roman" w:cs="Times New Roman" w:eastAsia="Times New Roman" w:hAnsi="Times New Roman"/>
          <w:b/>
          <w:bCs/>
          <w:sz w:val="24"/>
          <w:szCs w:val="24"/>
        </w:rPr>
        <w:t xml:space="preserve">Rule 4 — Rapid Price Escalation </w:t>
      </w:r>
      <w:r>
        <w:rPr>
          <w:rFonts w:ascii="Times New Roman" w:cs="Times New Roman" w:eastAsia="Times New Roman" w:hAnsi="Times New Roman"/>
          <w:sz w:val="24"/>
          <w:szCs w:val="24"/>
        </w:rPr>
        <w:t xml:space="preserve">flags consecutive sales whose price increases by 50% or more within 60 minutes (FR 4.4). Each triggered rule persists a FRAUD_FLAG document with its evidence, and the fraud risk is the capped sum of the triggered penalties (FR 4.5).</w:t>
      </w:r>
    </w:p>
    <w:p>
      <w:pPr>
        <w:pStyle w:val="Heading2"/>
        <w:spacing w:after="160" w:before="260"/>
      </w:pPr>
      <w:r>
        <w:rPr>
          <w:rFonts w:ascii="Times New Roman" w:cs="Times New Roman" w:eastAsia="Times New Roman" w:hAnsi="Times New Roman"/>
          <w:b/>
          <w:bCs/>
          <w:color w:val="000000"/>
          <w:sz w:val="28"/>
          <w:szCs w:val="28"/>
        </w:rPr>
        <w:t xml:space="preserve">5.7  Risk Analytics and Visualization Module (Sprint 4)</w:t>
      </w:r>
    </w:p>
    <w:p>
      <w:pPr>
        <w:spacing w:after="120" w:line="360"/>
        <w:jc w:val="both"/>
      </w:pPr>
      <w:r>
        <w:rPr>
          <w:rFonts w:ascii="Times New Roman" w:cs="Times New Roman" w:eastAsia="Times New Roman" w:hAnsi="Times New Roman"/>
          <w:sz w:val="24"/>
          <w:szCs w:val="24"/>
        </w:rPr>
        <w:t xml:space="preserve">The risk score engine aggregates the three indicators using the weighted formula defined in Section 3.1.6 and maps the result to a colour-coded level (FR 5.1, FR 5.2). No model training is required: the Z-score is a closed-form statistical measure and the weights are expert-configured rather than learned, which keeps every score fully explainable — the dashboard displays the exact arithmetic (for example 0.40×100 + 0.35×100 + 0.25×0 = 75) as an audit trail for each NFT.</w:t>
      </w:r>
    </w:p>
    <w:p>
      <w:pPr>
        <w:pBdr>
          <w:top w:val="single" w:color="BFBFBF" w:sz="4"/>
        </w:pBdr>
        <w:shd w:fill="F2F2F2" w:val="clear"/>
        <w:spacing w:after="0" w:before="0" w:line="240"/>
        <w:ind w:left="240" w:right="240"/>
      </w:pPr>
      <w:r>
        <w:rPr>
          <w:rFonts w:ascii="Courier New" w:cs="Courier New" w:eastAsia="Courier New" w:hAnsi="Courier New"/>
          <w:sz w:val="18"/>
          <w:szCs w:val="18"/>
        </w:rPr>
        <w:t xml:space="preserve">const unified = Math.round(</w:t>
      </w:r>
    </w:p>
    <w:p>
      <w:pPr>
        <w:shd w:fill="F2F2F2" w:val="clear"/>
        <w:spacing w:after="0" w:before="0" w:line="240"/>
        <w:ind w:left="240" w:right="240"/>
      </w:pPr>
      <w:r>
        <w:rPr>
          <w:rFonts w:ascii="Courier New" w:cs="Courier New" w:eastAsia="Courier New" w:hAnsi="Courier New"/>
          <w:sz w:val="18"/>
          <w:szCs w:val="18"/>
        </w:rPr>
        <w:t xml:space="preserve">  w.authenticity  * auth.authRisk  +   // 0.40</w:t>
      </w:r>
    </w:p>
    <w:p>
      <w:pPr>
        <w:shd w:fill="F2F2F2" w:val="clear"/>
        <w:spacing w:after="0" w:before="0" w:line="240"/>
        <w:ind w:left="240" w:right="240"/>
      </w:pPr>
      <w:r>
        <w:rPr>
          <w:rFonts w:ascii="Courier New" w:cs="Courier New" w:eastAsia="Courier New" w:hAnsi="Courier New"/>
          <w:sz w:val="18"/>
          <w:szCs w:val="18"/>
        </w:rPr>
        <w:t xml:space="preserve">  w.fraud         * fraud.fraudRisk +  // 0.35</w:t>
      </w:r>
    </w:p>
    <w:p>
      <w:pPr>
        <w:shd w:fill="F2F2F2" w:val="clear"/>
        <w:spacing w:after="0" w:before="0" w:line="240"/>
        <w:ind w:left="240" w:right="240"/>
      </w:pPr>
      <w:r>
        <w:rPr>
          <w:rFonts w:ascii="Courier New" w:cs="Courier New" w:eastAsia="Courier New" w:hAnsi="Courier New"/>
          <w:sz w:val="18"/>
          <w:szCs w:val="18"/>
        </w:rPr>
        <w:t xml:space="preserve">  w.priceAnomaly  * price.priceRisk    // 0.25</w:t>
      </w:r>
    </w:p>
    <w:p>
      <w:pPr>
        <w:shd w:fill="F2F2F2" w:val="clear"/>
        <w:spacing w:after="0" w:before="0" w:line="240"/>
        <w:ind w:left="240" w:right="240"/>
      </w:pPr>
      <w:r>
        <w:rPr>
          <w:rFonts w:ascii="Courier New" w:cs="Courier New" w:eastAsia="Courier New" w:hAnsi="Courier New"/>
          <w:sz w:val="18"/>
          <w:szCs w:val="18"/>
        </w:rPr>
        <w:t xml:space="preserve">);</w:t>
      </w:r>
    </w:p>
    <w:p>
      <w:pPr>
        <w:shd w:fill="F2F2F2" w:val="clear"/>
        <w:spacing w:after="0" w:before="0" w:line="240"/>
        <w:ind w:left="240" w:right="240"/>
      </w:pPr>
      <w:r>
        <w:rPr>
          <w:rFonts w:ascii="Courier New" w:cs="Courier New" w:eastAsia="Courier New" w:hAnsi="Courier New"/>
          <w:sz w:val="18"/>
          <w:szCs w:val="18"/>
        </w:rPr>
        <w:t xml:space="preserve">const riskLevel = unified &gt;= 70 ? "High"</w:t>
      </w:r>
    </w:p>
    <w:p>
      <w:pPr>
        <w:pBdr>
          <w:bottom w:val="single" w:color="BFBFBF" w:sz="4"/>
        </w:pBdr>
        <w:shd w:fill="F2F2F2" w:val="clear"/>
        <w:spacing w:after="0" w:before="0" w:line="240"/>
        <w:ind w:left="240" w:right="240"/>
      </w:pPr>
      <w:r>
        <w:rPr>
          <w:rFonts w:ascii="Courier New" w:cs="Courier New" w:eastAsia="Courier New" w:hAnsi="Courier New"/>
          <w:sz w:val="18"/>
          <w:szCs w:val="18"/>
        </w:rPr>
        <w:t xml:space="preserve">                : unified &gt;= 40 ? "Medium" : "Low";</w:t>
      </w:r>
    </w:p>
    <w:p>
      <w:pPr>
        <w:spacing w:after="200" w:before="100"/>
        <w:jc w:val="center"/>
      </w:pPr>
      <w:r>
        <w:rPr>
          <w:rFonts w:ascii="Times New Roman" w:cs="Times New Roman" w:eastAsia="Times New Roman" w:hAnsi="Times New Roman"/>
          <w:i/>
          <w:iCs/>
          <w:sz w:val="22"/>
          <w:szCs w:val="22"/>
        </w:rPr>
        <w:t xml:space="preserve">Figure 5.11: Unified risk score computation (riskScoreEngine.js)</w:t>
      </w:r>
    </w:p>
    <w:p>
      <w:pPr>
        <w:spacing w:after="120" w:line="360"/>
        <w:jc w:val="both"/>
      </w:pPr>
      <w:r>
        <w:rPr>
          <w:rFonts w:ascii="Times New Roman" w:cs="Times New Roman" w:eastAsia="Times New Roman" w:hAnsi="Times New Roman"/>
          <w:sz w:val="24"/>
          <w:szCs w:val="24"/>
        </w:rPr>
        <w:t xml:space="preserve">The frontend dashboard is a single-page application whose sidebar exposes all five modules as operable views: (1) an animated three-layer verification pipeline; (2) wallet management, minting, listing, buying and transaction history; (3) collection statistics, per-token price history charts with red anomaly markers and an anomaly table; (4) four rule cards that execute the fraud analysis and display each rule's evidence and penalty; and (5) a risk gauge with the weighted breakdown bars and a collection-wide stacked composition chart. An Overview page provides KPI cards, the risk-level distribution, a ranked score chart, a red high-risk alert banner (FR 5.3) and a searchable, filterable watchlist (FR 5.5). Risk levels use the colour coding required by the usability non-functional requirement: green (Low), amber (Medium) and red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dashboard.html Overview view showing the alert banner for token #9 Dark Mint ]</w:t>
            </w:r>
          </w:p>
        </w:tc>
      </w:tr>
    </w:tbl>
    <w:p>
      <w:pPr>
        <w:spacing w:after="240" w:before="120"/>
        <w:jc w:val="center"/>
      </w:pPr>
      <w:r>
        <w:rPr>
          <w:rFonts w:ascii="Times New Roman" w:cs="Times New Roman" w:eastAsia="Times New Roman" w:hAnsi="Times New Roman"/>
          <w:i/>
          <w:iCs/>
          <w:sz w:val="22"/>
          <w:szCs w:val="22"/>
        </w:rPr>
        <w:t xml:space="preserve">Figure 5.12: Dashboard Overview page with KPI cards, risk distribution and high-risk alert banner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Authenticity Verification view with Layer 2 shown as failed ]</w:t>
            </w:r>
          </w:p>
        </w:tc>
      </w:tr>
    </w:tbl>
    <w:p>
      <w:pPr>
        <w:spacing w:after="240" w:before="120"/>
        <w:jc w:val="center"/>
      </w:pPr>
      <w:r>
        <w:rPr>
          <w:rFonts w:ascii="Times New Roman" w:cs="Times New Roman" w:eastAsia="Times New Roman" w:hAnsi="Times New Roman"/>
          <w:i/>
          <w:iCs/>
          <w:sz w:val="22"/>
          <w:szCs w:val="22"/>
        </w:rPr>
        <w:t xml:space="preserve">Figure 5.13: Module 1 verification pipeline after verifying token #6 (Tampered)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Fraud Detection view with Rules 1 and 4 TRIGGERED ]</w:t>
            </w:r>
          </w:p>
        </w:tc>
      </w:tr>
    </w:tbl>
    <w:p>
      <w:pPr>
        <w:spacing w:after="240" w:before="120"/>
        <w:jc w:val="center"/>
      </w:pPr>
      <w:r>
        <w:rPr>
          <w:rFonts w:ascii="Times New Roman" w:cs="Times New Roman" w:eastAsia="Times New Roman" w:hAnsi="Times New Roman"/>
          <w:i/>
          <w:iCs/>
          <w:sz w:val="22"/>
          <w:szCs w:val="22"/>
        </w:rPr>
        <w:t xml:space="preserve">Figure 5.14: Module 4 rule cards after running fraud analysis on token #3 (Wash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Risk Analytics view for token #9 ]</w:t>
            </w:r>
          </w:p>
        </w:tc>
      </w:tr>
    </w:tbl>
    <w:p>
      <w:pPr>
        <w:spacing w:after="240" w:before="120"/>
        <w:jc w:val="center"/>
      </w:pPr>
      <w:r>
        <w:rPr>
          <w:rFonts w:ascii="Times New Roman" w:cs="Times New Roman" w:eastAsia="Times New Roman" w:hAnsi="Times New Roman"/>
          <w:i/>
          <w:iCs/>
          <w:sz w:val="22"/>
          <w:szCs w:val="22"/>
        </w:rPr>
        <w:t xml:space="preserve">Figure 5.15: Module 5 risk gauge and weighted breakdown for token #9 (score 75, High)</w:t>
      </w:r>
    </w:p>
    <w:p>
      <w:pPr>
        <w:pStyle w:val="Heading2"/>
        <w:spacing w:after="160" w:before="260"/>
      </w:pPr>
      <w:r>
        <w:rPr>
          <w:rFonts w:ascii="Times New Roman" w:cs="Times New Roman" w:eastAsia="Times New Roman" w:hAnsi="Times New Roman"/>
          <w:b/>
          <w:bCs/>
          <w:color w:val="000000"/>
          <w:sz w:val="28"/>
          <w:szCs w:val="28"/>
        </w:rPr>
        <w:t xml:space="preserve">5.8  Important Configuration Settings</w:t>
      </w:r>
    </w:p>
    <w:p>
      <w:pPr>
        <w:spacing w:after="120" w:line="360"/>
        <w:jc w:val="both"/>
      </w:pPr>
      <w:r>
        <w:rPr>
          <w:rFonts w:ascii="Times New Roman" w:cs="Times New Roman" w:eastAsia="Times New Roman" w:hAnsi="Times New Roman"/>
          <w:sz w:val="24"/>
          <w:szCs w:val="24"/>
        </w:rPr>
        <w:t xml:space="preserve">Table 5.1 summarises the environment configuration. The backend refuses to expose the wallet private key to any frontend response or log, all blockchain writes are funnelled through validated backend endpoints only, and CORS is enabled for the dashboard origin — implementing the security non-functional requirements of Section 3.2.2.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tblHeader/>
        </w:trPr>
        <w:tc>
          <w:tcPr>
            <w:tcW w:type="dxa" w:w="23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Setting</w:t>
            </w:r>
          </w:p>
        </w:tc>
        <w:tc>
          <w:tcPr>
            <w:tcW w:type="dxa" w:w="43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Purpose</w:t>
            </w:r>
          </w:p>
        </w:tc>
        <w:tc>
          <w:tcPr>
            <w:tcW w:type="dxa" w:w="24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Example / Value</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SEPOLIA_RPC_URL</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JSON-RPC endpoint used by ethers.js to reach the Sepolia testnet</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Alchemy or Infura HTTPS URL</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PRIVATE_KEY</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Testnet-only wallet key used to sign mint/list/buy transactions; never exposed to the frontend</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0x… (git-ignored .env)</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CONTRACT_ADDRESS</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Deployed NFTGuardMarketplace address; written by the deploy script</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0x… (from deployment)</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PINATA_GATEWAY</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IPFS gateway used to resolve ipfs:// token URIs during metadata verification</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https://gateway.pinata.cloud/ipfs/</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MONGODB_URI</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 connection string; collections: nfts, transactions, riskscores, fraudflags, pricestats</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mongodb://127.0.0.1:27017/nftguard</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PORT</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Express server port; serves both the REST API (/api) and the frontend</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5000</w:t>
            </w:r>
          </w:p>
        </w:tc>
      </w:tr>
      <w:tr>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config/thresholds.json</w:t>
            </w:r>
          </w:p>
        </w:tc>
        <w:tc>
          <w:tcPr>
            <w:tcW w:type="dxa" w:w="43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All heuristic thresholds, penalties and risk weights (Maintainability NFR)</w:t>
            </w:r>
          </w:p>
        </w:tc>
        <w:tc>
          <w:tcPr>
            <w:tcW w:type="dxa" w:w="2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see Figure 5.9</w:t>
            </w:r>
          </w:p>
        </w:tc>
      </w:tr>
    </w:tbl>
    <w:p>
      <w:pPr>
        <w:spacing w:after="240" w:before="120"/>
        <w:jc w:val="center"/>
      </w:pPr>
      <w:r>
        <w:rPr>
          <w:rFonts w:ascii="Times New Roman" w:cs="Times New Roman" w:eastAsia="Times New Roman" w:hAnsi="Times New Roman"/>
          <w:i/>
          <w:iCs/>
          <w:sz w:val="22"/>
          <w:szCs w:val="22"/>
        </w:rPr>
        <w:t xml:space="preserve">Table 5.1: Important server, network, database and security settings</w:t>
      </w:r>
    </w:p>
    <w:p>
      <w:pPr>
        <w:pStyle w:val="Heading2"/>
        <w:spacing w:after="160" w:before="260"/>
      </w:pPr>
      <w:r>
        <w:rPr>
          <w:rFonts w:ascii="Times New Roman" w:cs="Times New Roman" w:eastAsia="Times New Roman" w:hAnsi="Times New Roman"/>
          <w:b/>
          <w:bCs/>
          <w:color w:val="000000"/>
          <w:sz w:val="28"/>
          <w:szCs w:val="28"/>
        </w:rPr>
        <w:t xml:space="preserve">5.9  Testing</w:t>
      </w:r>
    </w:p>
    <w:p>
      <w:pPr>
        <w:pStyle w:val="Heading3"/>
        <w:spacing w:after="120" w:before="200"/>
      </w:pPr>
      <w:r>
        <w:rPr>
          <w:rFonts w:ascii="Times New Roman" w:cs="Times New Roman" w:eastAsia="Times New Roman" w:hAnsi="Times New Roman"/>
          <w:b/>
          <w:bCs/>
          <w:color w:val="000000"/>
          <w:sz w:val="24"/>
          <w:szCs w:val="24"/>
        </w:rPr>
        <w:t xml:space="preserve">5.9.1  Testing Strategy</w:t>
      </w:r>
    </w:p>
    <w:p>
      <w:pPr>
        <w:spacing w:after="120" w:line="360"/>
        <w:jc w:val="both"/>
      </w:pPr>
      <w:r>
        <w:rPr>
          <w:rFonts w:ascii="Times New Roman" w:cs="Times New Roman" w:eastAsia="Times New Roman" w:hAnsi="Times New Roman"/>
          <w:sz w:val="24"/>
          <w:szCs w:val="24"/>
        </w:rPr>
        <w:t xml:space="preserve">Testing followed four levels aligned with the Agile sprint reviews: unit testing of the pure heuristic functions (each of the four fraud rules was executed against synthetic transaction lists to confirm correct triggering and non-triggering); integration testing of the full pipelines through the REST API; system testing through the dashboard against the seeded dataset; and configurability testing to confirm the Maintainability requirement. Because the detectors are deterministic, every test is exactly repeatable — running the same analysis twice on the same data always yields identical flags and scores (Reliability NFR).</w:t>
      </w:r>
    </w:p>
    <w:p>
      <w:pPr>
        <w:pStyle w:val="Heading3"/>
        <w:spacing w:after="120" w:before="200"/>
      </w:pPr>
      <w:r>
        <w:rPr>
          <w:rFonts w:ascii="Times New Roman" w:cs="Times New Roman" w:eastAsia="Times New Roman" w:hAnsi="Times New Roman"/>
          <w:b/>
          <w:bCs/>
          <w:color w:val="000000"/>
          <w:sz w:val="24"/>
          <w:szCs w:val="24"/>
        </w:rPr>
        <w:t xml:space="preserve">5.9.2  Seeded Test Dataset</w:t>
      </w:r>
    </w:p>
    <w:p>
      <w:pPr>
        <w:spacing w:after="120" w:line="360"/>
        <w:jc w:val="both"/>
      </w:pPr>
      <w:r>
        <w:rPr>
          <w:rFonts w:ascii="Times New Roman" w:cs="Times New Roman" w:eastAsia="Times New Roman" w:hAnsi="Times New Roman"/>
          <w:sz w:val="24"/>
          <w:szCs w:val="24"/>
        </w:rPr>
        <w:t xml:space="preserve">The seed script (backend/scripts/seedDemo.js) creates nine NFTs whose transaction histories deliberately exercise every detection mechanism exactly once or in combination. Table 5.2 lists each scenario together with the indicator values and unified score produced by the pipeline; these values constitute the expected results for the functional test cases that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500"/>
        <w:gridCol w:w="3900"/>
        <w:gridCol w:w="1700"/>
        <w:gridCol w:w="149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w:t>
            </w:r>
          </w:p>
        </w:tc>
        <w:tc>
          <w:tcPr>
            <w:tcW w:type="dxa" w:w="15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NFT</w:t>
            </w:r>
          </w:p>
        </w:tc>
        <w:tc>
          <w:tcPr>
            <w:tcW w:type="dxa" w:w="39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Scenario engineered in the seed data</w:t>
            </w:r>
          </w:p>
        </w:tc>
        <w:tc>
          <w:tcPr>
            <w:tcW w:type="dxa" w:w="17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Auth / Fraud / Price</w:t>
            </w:r>
          </w:p>
        </w:tc>
        <w:tc>
          <w:tcPr>
            <w:tcW w:type="dxa" w:w="149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Score → Level</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1</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Genesis Orb</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Organic history, all layers pass</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0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Low</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2</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Neon Circuit</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Organic history, all layers pass</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0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Low</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3</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Wash Cycle</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Wallet pair A↔B trades 6×, 12 min apart, +60% per hop; sale exceeds |Z| &gt; 2.5</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75 / 58</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41 → Medium</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4</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Mirror Mint</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Two self-transfers (sender = recipient)</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25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9 → Low</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5</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Flash Flip</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8 transactions within a 30-minute burst</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30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11 → Low</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6</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Phantom Ape</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Off-chain metadata hash mismatch + shared pHash</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100 / 0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40 → Medium</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7</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Phantom Ape Copy</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pHash identical to #6 (copy-mint)</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50 / 0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20 → Low</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8</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Moon Spike</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Single sale at 5.5 ETH, |Z| ≈ 3.1</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 / 0 / 60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15 → Low</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9</w:t>
            </w:r>
          </w:p>
        </w:tc>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Dark Mint</w:t>
            </w:r>
          </w:p>
        </w:tc>
        <w:tc>
          <w:tcPr>
            <w:tcW w:type="dxa" w:w="3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Combined scam: tampered + duplicate + loop + self-transfer + escalation</w:t>
            </w:r>
          </w:p>
        </w:tc>
        <w:tc>
          <w:tcPr>
            <w:tcW w:type="dxa" w:w="17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100 / 100 / 0</w:t>
            </w:r>
          </w:p>
        </w:tc>
        <w:tc>
          <w:tcPr>
            <w:tcW w:type="dxa" w:w="149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75 → High</w:t>
            </w:r>
          </w:p>
        </w:tc>
      </w:tr>
    </w:tbl>
    <w:p>
      <w:pPr>
        <w:spacing w:after="240" w:before="120"/>
        <w:jc w:val="center"/>
      </w:pPr>
      <w:r>
        <w:rPr>
          <w:rFonts w:ascii="Times New Roman" w:cs="Times New Roman" w:eastAsia="Times New Roman" w:hAnsi="Times New Roman"/>
          <w:i/>
          <w:iCs/>
          <w:sz w:val="22"/>
          <w:szCs w:val="22"/>
        </w:rPr>
        <w:t xml:space="preserve">Table 5.2: Seeded test scenarios and pipeline-computed expected results</w:t>
      </w:r>
    </w:p>
    <w:p>
      <w:pPr>
        <w:pStyle w:val="Heading3"/>
        <w:spacing w:after="120" w:before="200"/>
      </w:pPr>
      <w:r>
        <w:rPr>
          <w:rFonts w:ascii="Times New Roman" w:cs="Times New Roman" w:eastAsia="Times New Roman" w:hAnsi="Times New Roman"/>
          <w:b/>
          <w:bCs/>
          <w:color w:val="000000"/>
          <w:sz w:val="24"/>
          <w:szCs w:val="24"/>
        </w:rPr>
        <w:t xml:space="preserve">5.9.3  Module 1 — Authenticity Verification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450"/>
        <w:gridCol w:w="2050"/>
        <w:gridCol w:w="2820"/>
        <w:gridCol w:w="1330"/>
        <w:gridCol w:w="94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ID</w:t>
            </w:r>
          </w:p>
        </w:tc>
        <w:tc>
          <w:tcPr>
            <w:tcW w:type="dxa" w:w="14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Case</w:t>
            </w:r>
          </w:p>
        </w:tc>
        <w:tc>
          <w:tcPr>
            <w:tcW w:type="dxa" w:w="20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Steps</w:t>
            </w:r>
          </w:p>
        </w:tc>
        <w:tc>
          <w:tcPr>
            <w:tcW w:type="dxa" w:w="282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Expected Result</w:t>
            </w:r>
          </w:p>
        </w:tc>
        <w:tc>
          <w:tcPr>
            <w:tcW w:type="dxa" w:w="13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Actual Result</w:t>
            </w:r>
          </w:p>
        </w:tc>
        <w:tc>
          <w:tcPr>
            <w:tcW w:type="dxa" w:w="94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A1</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ERC-721 compliance pass</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/api/verify/1 in on-chain mode</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Layer 1 pass; supportsInterface(0x80ac58cd) = true (FR 1.1)</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A2</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Metadata integrity pass</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/api/verify/1</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SHA-256 of off-chain metadata equals on-chain anchor; status Verified (FR 1.2, 1.3, 1.5)</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A3</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Tampered metadata detected</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/api/verify/6 (seeded mismatch)</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Hash mismatch; status Tampered; authRisk +80; METADATA_TAMPERED flag (FR 1.3)</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A4</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Duplicate NFT detected</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/api/verify/7 (same pHash as #6)</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Layer 3 fail; status Duplicate; DUPLICATE_ASSET flag (FR 1.4)</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bl>
    <w:p>
      <w:pPr>
        <w:spacing w:after="240" w:before="120"/>
        <w:jc w:val="center"/>
      </w:pPr>
      <w:r>
        <w:rPr>
          <w:rFonts w:ascii="Times New Roman" w:cs="Times New Roman" w:eastAsia="Times New Roman" w:hAnsi="Times New Roman"/>
          <w:i/>
          <w:iCs/>
          <w:sz w:val="22"/>
          <w:szCs w:val="22"/>
        </w:rPr>
        <w:t xml:space="preserve">Table 5.3: Authenticity verification test cases</w:t>
      </w:r>
    </w:p>
    <w:p>
      <w:pPr>
        <w:pStyle w:val="Heading3"/>
        <w:spacing w:after="120" w:before="200"/>
      </w:pPr>
      <w:r>
        <w:rPr>
          <w:rFonts w:ascii="Times New Roman" w:cs="Times New Roman" w:eastAsia="Times New Roman" w:hAnsi="Times New Roman"/>
          <w:b/>
          <w:bCs/>
          <w:color w:val="000000"/>
          <w:sz w:val="24"/>
          <w:szCs w:val="24"/>
        </w:rPr>
        <w:t xml:space="preserve">5.9.4  Module 2 — Transaction Simulation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450"/>
        <w:gridCol w:w="2050"/>
        <w:gridCol w:w="2820"/>
        <w:gridCol w:w="1330"/>
        <w:gridCol w:w="94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ID</w:t>
            </w:r>
          </w:p>
        </w:tc>
        <w:tc>
          <w:tcPr>
            <w:tcW w:type="dxa" w:w="14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Case</w:t>
            </w:r>
          </w:p>
        </w:tc>
        <w:tc>
          <w:tcPr>
            <w:tcW w:type="dxa" w:w="20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Steps</w:t>
            </w:r>
          </w:p>
        </w:tc>
        <w:tc>
          <w:tcPr>
            <w:tcW w:type="dxa" w:w="282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Expected Result</w:t>
            </w:r>
          </w:p>
        </w:tc>
        <w:tc>
          <w:tcPr>
            <w:tcW w:type="dxa" w:w="13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Actual Result</w:t>
            </w:r>
          </w:p>
        </w:tc>
        <w:tc>
          <w:tcPr>
            <w:tcW w:type="dxa" w:w="94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T1</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Mint NFT</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Dashboard Module 2 → mint form with wallet connected</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New token in grid; MINT transaction recorded; tx hash returned (Sepolia hash in on-chain mode) (FR 2.1, 2.2)</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T2</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List for sale</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/api/list {tokenId, priceEth: 0.8}</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listed = true; LIST transaction recorded (FR 2.3)</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T3</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Purchase</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Dashboard → Buy on a listed token</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Ownership transfers; SALE record with price and timestamp stored (FR 2.4, 2.5)</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T4</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History view</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Module 2 transaction table; filter by token</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Chronological history displayed and filterable (FR 2.6)</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T5</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Buy unlisted token</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/api/buy on an unlisted token</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HTTP 400 “NFT is not listed for sale”</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bl>
    <w:p>
      <w:pPr>
        <w:spacing w:after="240" w:before="120"/>
        <w:jc w:val="center"/>
      </w:pPr>
      <w:r>
        <w:rPr>
          <w:rFonts w:ascii="Times New Roman" w:cs="Times New Roman" w:eastAsia="Times New Roman" w:hAnsi="Times New Roman"/>
          <w:i/>
          <w:iCs/>
          <w:sz w:val="22"/>
          <w:szCs w:val="22"/>
        </w:rPr>
        <w:t xml:space="preserve">Table 5.4: Transaction simulation test cases</w:t>
      </w:r>
    </w:p>
    <w:p>
      <w:pPr>
        <w:pStyle w:val="Heading3"/>
        <w:spacing w:after="120" w:before="200"/>
      </w:pPr>
      <w:r>
        <w:rPr>
          <w:rFonts w:ascii="Times New Roman" w:cs="Times New Roman" w:eastAsia="Times New Roman" w:hAnsi="Times New Roman"/>
          <w:b/>
          <w:bCs/>
          <w:color w:val="000000"/>
          <w:sz w:val="24"/>
          <w:szCs w:val="24"/>
        </w:rPr>
        <w:t xml:space="preserve">5.9.5  Module 3 — Price Transparency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450"/>
        <w:gridCol w:w="2050"/>
        <w:gridCol w:w="2820"/>
        <w:gridCol w:w="1330"/>
        <w:gridCol w:w="94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ID</w:t>
            </w:r>
          </w:p>
        </w:tc>
        <w:tc>
          <w:tcPr>
            <w:tcW w:type="dxa" w:w="14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Case</w:t>
            </w:r>
          </w:p>
        </w:tc>
        <w:tc>
          <w:tcPr>
            <w:tcW w:type="dxa" w:w="20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Steps</w:t>
            </w:r>
          </w:p>
        </w:tc>
        <w:tc>
          <w:tcPr>
            <w:tcW w:type="dxa" w:w="282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Expected Result</w:t>
            </w:r>
          </w:p>
        </w:tc>
        <w:tc>
          <w:tcPr>
            <w:tcW w:type="dxa" w:w="13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Actual Result</w:t>
            </w:r>
          </w:p>
        </w:tc>
        <w:tc>
          <w:tcPr>
            <w:tcW w:type="dxa" w:w="94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P1</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Collection statistics</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 /api/price/CyberGuard%20Genesis</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avg, median, stdDev, min, max, sampleSize returned (FR 3.1)</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P2</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Z-score anomaly</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Same call; inspect token #8 sale of 5.5 ETH</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Point flagged anomaly: true with |Z| &gt; 2.5 (FR 3.2, 3.4)</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P3</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Price history chart</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Dashboard Module 3 → select token #8</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Line chart rendered with red anomaly marker (FR 3.3)</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bl>
    <w:p>
      <w:pPr>
        <w:spacing w:after="240" w:before="120"/>
        <w:jc w:val="center"/>
      </w:pPr>
      <w:r>
        <w:rPr>
          <w:rFonts w:ascii="Times New Roman" w:cs="Times New Roman" w:eastAsia="Times New Roman" w:hAnsi="Times New Roman"/>
          <w:i/>
          <w:iCs/>
          <w:sz w:val="22"/>
          <w:szCs w:val="22"/>
        </w:rPr>
        <w:t xml:space="preserve">Table 5.5: Price transparency test cases</w:t>
      </w:r>
    </w:p>
    <w:p>
      <w:pPr>
        <w:pStyle w:val="Heading3"/>
        <w:spacing w:after="120" w:before="200"/>
      </w:pPr>
      <w:r>
        <w:rPr>
          <w:rFonts w:ascii="Times New Roman" w:cs="Times New Roman" w:eastAsia="Times New Roman" w:hAnsi="Times New Roman"/>
          <w:b/>
          <w:bCs/>
          <w:color w:val="000000"/>
          <w:sz w:val="24"/>
          <w:szCs w:val="24"/>
        </w:rPr>
        <w:t xml:space="preserve">5.9.6  Module 4 — Fraud Detection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450"/>
        <w:gridCol w:w="2050"/>
        <w:gridCol w:w="2820"/>
        <w:gridCol w:w="1330"/>
        <w:gridCol w:w="94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ID</w:t>
            </w:r>
          </w:p>
        </w:tc>
        <w:tc>
          <w:tcPr>
            <w:tcW w:type="dxa" w:w="14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Case</w:t>
            </w:r>
          </w:p>
        </w:tc>
        <w:tc>
          <w:tcPr>
            <w:tcW w:type="dxa" w:w="20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Steps</w:t>
            </w:r>
          </w:p>
        </w:tc>
        <w:tc>
          <w:tcPr>
            <w:tcW w:type="dxa" w:w="282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Expected Result</w:t>
            </w:r>
          </w:p>
        </w:tc>
        <w:tc>
          <w:tcPr>
            <w:tcW w:type="dxa" w:w="13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Actual Result</w:t>
            </w:r>
          </w:p>
        </w:tc>
        <w:tc>
          <w:tcPr>
            <w:tcW w:type="dxa" w:w="94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F1</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Buyer–seller loop</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/api/fraud/3</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BUYER_SELLER_LOOP triggered (pair ×6 ≥ 3); penalty 45 (FR 4.1)</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F2</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Abnormal frequency</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/api/fraud/5</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ABNORMAL_FREQUENCY triggered (8 tx in 60-min window vs baseline); penalty 30 (FR 4.2)</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F3</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Self-transfer</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/api/fraud/4</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SELF_TRANSFER triggered (2 identical sender/recipient); penalty 25 (FR 4.3)</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F4</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Rapid escalation</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/api/fraud/3</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RAPID_PRICE_ESCALATION triggered (+60% hops within 12 min); penalty 30 (FR 4.4)</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F5</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Clean token</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 /api/fraud/1</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rulesTriggered = []; fraudRisk = 0 (FR 4.5)</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F6</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Determinism (Reliability NFR)</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Run F1 twice on unchanged data</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Identical flags and score on both runs</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bl>
    <w:p>
      <w:pPr>
        <w:spacing w:after="240" w:before="120"/>
        <w:jc w:val="center"/>
      </w:pPr>
      <w:r>
        <w:rPr>
          <w:rFonts w:ascii="Times New Roman" w:cs="Times New Roman" w:eastAsia="Times New Roman" w:hAnsi="Times New Roman"/>
          <w:i/>
          <w:iCs/>
          <w:sz w:val="22"/>
          <w:szCs w:val="22"/>
        </w:rPr>
        <w:t xml:space="preserve">Table 5.6: Fraud detection test cases</w:t>
      </w:r>
    </w:p>
    <w:p>
      <w:pPr>
        <w:pStyle w:val="Heading3"/>
        <w:spacing w:after="120" w:before="200"/>
      </w:pPr>
      <w:r>
        <w:rPr>
          <w:rFonts w:ascii="Times New Roman" w:cs="Times New Roman" w:eastAsia="Times New Roman" w:hAnsi="Times New Roman"/>
          <w:b/>
          <w:bCs/>
          <w:color w:val="000000"/>
          <w:sz w:val="24"/>
          <w:szCs w:val="24"/>
        </w:rPr>
        <w:t xml:space="preserve">5.9.7  Module 5 — Risk Analytics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450"/>
        <w:gridCol w:w="2050"/>
        <w:gridCol w:w="2820"/>
        <w:gridCol w:w="1330"/>
        <w:gridCol w:w="94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ID</w:t>
            </w:r>
          </w:p>
        </w:tc>
        <w:tc>
          <w:tcPr>
            <w:tcW w:type="dxa" w:w="14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Case</w:t>
            </w:r>
          </w:p>
        </w:tc>
        <w:tc>
          <w:tcPr>
            <w:tcW w:type="dxa" w:w="205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Steps</w:t>
            </w:r>
          </w:p>
        </w:tc>
        <w:tc>
          <w:tcPr>
            <w:tcW w:type="dxa" w:w="282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Expected Result</w:t>
            </w:r>
          </w:p>
        </w:tc>
        <w:tc>
          <w:tcPr>
            <w:tcW w:type="dxa" w:w="13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Actual Result</w:t>
            </w:r>
          </w:p>
        </w:tc>
        <w:tc>
          <w:tcPr>
            <w:tcW w:type="dxa" w:w="94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R1</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Weighted formula</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 /api/risk/3</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unifiedScore = round(0.40·auth + 0.35·fraud + 0.25·price) = 41; breakdown shows each contribution (FR 5.1)</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R2</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Level mapping</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Compare tokens #1 / #3 / #9</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Low (&lt;40) / Medium (40–69) / High (≥70), colour-coded green / amber / red (FR 5.2)</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R3</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High-risk alert</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 /api/risk/9 (Dark Mint)</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Score 75; highRiskAlert = true; red alert banner on the dashboard Overview (FR 5.3)</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R4</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Dashboard rendering</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Open http://localhost:5000/dashboard.html</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KPI strip, charts and watchlist render in under 5 s (FR 5.4; Performance NFR)</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R5</w:t>
            </w:r>
          </w:p>
        </w:tc>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Search and filter</w:t>
            </w:r>
          </w:p>
        </w:tc>
        <w:tc>
          <w:tcPr>
            <w:tcW w:type="dxa" w:w="20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Overview watchlist / marketplace filters: riskLevel = High, search “dark”</w:t>
            </w:r>
          </w:p>
        </w:tc>
        <w:tc>
          <w:tcPr>
            <w:tcW w:type="dxa" w:w="282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Only matching NFTs displayed (FR 5.5)</w:t>
            </w:r>
          </w:p>
        </w:tc>
        <w:tc>
          <w:tcPr>
            <w:tcW w:type="dxa" w:w="13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bl>
    <w:p>
      <w:pPr>
        <w:spacing w:after="240" w:before="120"/>
        <w:jc w:val="center"/>
      </w:pPr>
      <w:r>
        <w:rPr>
          <w:rFonts w:ascii="Times New Roman" w:cs="Times New Roman" w:eastAsia="Times New Roman" w:hAnsi="Times New Roman"/>
          <w:i/>
          <w:iCs/>
          <w:sz w:val="22"/>
          <w:szCs w:val="22"/>
        </w:rPr>
        <w:t xml:space="preserve">Table 5.7: Risk analytics and visualisation test cases</w:t>
      </w:r>
    </w:p>
    <w:p>
      <w:pPr>
        <w:pStyle w:val="Heading3"/>
        <w:spacing w:after="120" w:before="200"/>
      </w:pPr>
      <w:r>
        <w:rPr>
          <w:rFonts w:ascii="Times New Roman" w:cs="Times New Roman" w:eastAsia="Times New Roman" w:hAnsi="Times New Roman"/>
          <w:b/>
          <w:bCs/>
          <w:color w:val="000000"/>
          <w:sz w:val="24"/>
          <w:szCs w:val="24"/>
        </w:rPr>
        <w:t xml:space="preserve">5.9.8  Configurability and Non-Functional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600"/>
        <w:gridCol w:w="2200"/>
        <w:gridCol w:w="2570"/>
        <w:gridCol w:w="1280"/>
        <w:gridCol w:w="946"/>
      </w:tblGrid>
      <w:tr>
        <w:trPr>
          <w:tblHeader/>
        </w:trPr>
        <w:tc>
          <w:tcPr>
            <w:tcW w:type="dxa" w:w="43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ID</w:t>
            </w:r>
          </w:p>
        </w:tc>
        <w:tc>
          <w:tcPr>
            <w:tcW w:type="dxa" w:w="16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Case</w:t>
            </w:r>
          </w:p>
        </w:tc>
        <w:tc>
          <w:tcPr>
            <w:tcW w:type="dxa" w:w="22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Test Steps</w:t>
            </w:r>
          </w:p>
        </w:tc>
        <w:tc>
          <w:tcPr>
            <w:tcW w:type="dxa" w:w="257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Expected Result</w:t>
            </w:r>
          </w:p>
        </w:tc>
        <w:tc>
          <w:tcPr>
            <w:tcW w:type="dxa" w:w="128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Actual Result</w:t>
            </w:r>
          </w:p>
        </w:tc>
        <w:tc>
          <w:tcPr>
            <w:tcW w:type="dxa" w:w="94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C1</w:t>
            </w:r>
          </w:p>
        </w:tc>
        <w:tc>
          <w:tcPr>
            <w:tcW w:type="dxa" w:w="1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Threshold change without code change</w:t>
            </w:r>
          </w:p>
        </w:tc>
        <w:tc>
          <w:tcPr>
            <w:tcW w:type="dxa" w:w="22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Set washTrade.loopPairMinCount = 7 in thresholds.json; restart; re-run F1</w:t>
            </w:r>
          </w:p>
        </w:tc>
        <w:tc>
          <w:tcPr>
            <w:tcW w:type="dxa" w:w="257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Loop rule no longer triggers for token #3 (6 &lt; 7) (Maintainability)</w:t>
            </w:r>
          </w:p>
        </w:tc>
        <w:tc>
          <w:tcPr>
            <w:tcW w:type="dxa" w:w="128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C2</w:t>
            </w:r>
          </w:p>
        </w:tc>
        <w:tc>
          <w:tcPr>
            <w:tcW w:type="dxa" w:w="1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Weight reconfiguration</w:t>
            </w:r>
          </w:p>
        </w:tc>
        <w:tc>
          <w:tcPr>
            <w:tcW w:type="dxa" w:w="22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Set weights to 0.5 / 0.3 / 0.2; re-run R1</w:t>
            </w:r>
          </w:p>
        </w:tc>
        <w:tc>
          <w:tcPr>
            <w:tcW w:type="dxa" w:w="257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Unified score recomputed with the new weights</w:t>
            </w:r>
          </w:p>
        </w:tc>
        <w:tc>
          <w:tcPr>
            <w:tcW w:type="dxa" w:w="128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C3</w:t>
            </w:r>
          </w:p>
        </w:tc>
        <w:tc>
          <w:tcPr>
            <w:tcW w:type="dxa" w:w="1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Seed reproducibility</w:t>
            </w:r>
          </w:p>
        </w:tc>
        <w:tc>
          <w:tcPr>
            <w:tcW w:type="dxa" w:w="22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Run npm run seed twice; compare console score table</w:t>
            </w:r>
          </w:p>
        </w:tc>
        <w:tc>
          <w:tcPr>
            <w:tcW w:type="dxa" w:w="257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Identical scores: #3 = 41, #6 = 40, #9 = 75, etc.</w:t>
            </w:r>
          </w:p>
        </w:tc>
        <w:tc>
          <w:tcPr>
            <w:tcW w:type="dxa" w:w="128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N1</w:t>
            </w:r>
          </w:p>
        </w:tc>
        <w:tc>
          <w:tcPr>
            <w:tcW w:type="dxa" w:w="1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Verification latency</w:t>
            </w:r>
          </w:p>
        </w:tc>
        <w:tc>
          <w:tcPr>
            <w:tcW w:type="dxa" w:w="22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Time POST /api/verify/1</w:t>
            </w:r>
          </w:p>
        </w:tc>
        <w:tc>
          <w:tcPr>
            <w:tcW w:type="dxa" w:w="257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Completes within 10 s per NFT (Performance)</w:t>
            </w:r>
          </w:p>
        </w:tc>
        <w:tc>
          <w:tcPr>
            <w:tcW w:type="dxa" w:w="128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N2</w:t>
            </w:r>
          </w:p>
        </w:tc>
        <w:tc>
          <w:tcPr>
            <w:tcW w:type="dxa" w:w="1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Fraud analysis latency</w:t>
            </w:r>
          </w:p>
        </w:tc>
        <w:tc>
          <w:tcPr>
            <w:tcW w:type="dxa" w:w="22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Time POST /api/fraud/3</w:t>
            </w:r>
          </w:p>
        </w:tc>
        <w:tc>
          <w:tcPr>
            <w:tcW w:type="dxa" w:w="257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Completes within 5 s (Performance)</w:t>
            </w:r>
          </w:p>
        </w:tc>
        <w:tc>
          <w:tcPr>
            <w:tcW w:type="dxa" w:w="128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r>
        <w:tc>
          <w:tcPr>
            <w:tcW w:type="dxa" w:w="43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N3</w:t>
            </w:r>
          </w:p>
        </w:tc>
        <w:tc>
          <w:tcPr>
            <w:tcW w:type="dxa" w:w="1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Offline resilience</w:t>
            </w:r>
          </w:p>
        </w:tc>
        <w:tc>
          <w:tcPr>
            <w:tcW w:type="dxa" w:w="22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Open dashboard.html with the backend stopped</w:t>
            </w:r>
          </w:p>
        </w:tc>
        <w:tc>
          <w:tcPr>
            <w:tcW w:type="dxa" w:w="257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Dashboard switches to demo mode; all analyses still computed client-side with identical thresholds</w:t>
            </w:r>
          </w:p>
        </w:tc>
        <w:tc>
          <w:tcPr>
            <w:tcW w:type="dxa" w:w="128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As expected</w:t>
            </w:r>
          </w:p>
        </w:tc>
        <w:tc>
          <w:tcPr>
            <w:tcW w:type="dxa" w:w="94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Pass</w:t>
            </w:r>
          </w:p>
        </w:tc>
      </w:tr>
    </w:tbl>
    <w:p>
      <w:pPr>
        <w:spacing w:after="240" w:before="120"/>
        <w:jc w:val="center"/>
      </w:pPr>
      <w:r>
        <w:rPr>
          <w:rFonts w:ascii="Times New Roman" w:cs="Times New Roman" w:eastAsia="Times New Roman" w:hAnsi="Times New Roman"/>
          <w:i/>
          <w:iCs/>
          <w:sz w:val="22"/>
          <w:szCs w:val="22"/>
        </w:rPr>
        <w:t xml:space="preserve">Table 5.8: Configurability and non-functional test cases</w:t>
      </w:r>
    </w:p>
    <w:p>
      <w:pPr>
        <w:pStyle w:val="Heading2"/>
        <w:spacing w:after="160" w:before="260"/>
      </w:pPr>
      <w:r>
        <w:rPr>
          <w:rFonts w:ascii="Times New Roman" w:cs="Times New Roman" w:eastAsia="Times New Roman" w:hAnsi="Times New Roman"/>
          <w:b/>
          <w:bCs/>
          <w:color w:val="000000"/>
          <w:sz w:val="28"/>
          <w:szCs w:val="28"/>
        </w:rPr>
        <w:t xml:space="preserve">5.10  Chapter Summary and Evaluation</w:t>
      </w:r>
    </w:p>
    <w:p>
      <w:pPr>
        <w:spacing w:after="120" w:line="360"/>
        <w:jc w:val="both"/>
      </w:pPr>
      <w:r>
        <w:rPr>
          <w:rFonts w:ascii="Times New Roman" w:cs="Times New Roman" w:eastAsia="Times New Roman" w:hAnsi="Times New Roman"/>
          <w:sz w:val="24"/>
          <w:szCs w:val="24"/>
        </w:rPr>
        <w:t xml:space="preserve">This chapter presented the implementation of all five NFTGuard modules and the smart contract that supports them, showing how each design decision from Chapters 3 and 4 was realised in code: the on-chain SHA-256 anchor that enables tamper detection, the ERC-165 compliance check, the pHash duplicate registry, the dual-mode transaction layer, the Z-score price analytics, the four externally-configurable heuristic fraud rules, and the weighted risk score with its explainable breakdown. The testing section demonstrated, through 26 documented test cases executed against a purpose-built nine-scenario dataset, that every functional requirement from FR 1.1 to FR 5.5 is satisfied and that the key non-functional requirements — performance, reliability (determinism), security, usability and maintainability — are met. A notable outcome of testing was the refinement of the abnormal-frequency baseline and the calibration of penalty weights, both of which are discussed further in Chapter 7.</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before="3200"/>
      </w:pPr>
    </w:p>
    <w:p>
      <w:pPr>
        <w:spacing w:after="300"/>
        <w:jc w:val="center"/>
      </w:pPr>
      <w:r>
        <w:rPr>
          <w:rFonts w:ascii="Times New Roman" w:cs="Times New Roman" w:eastAsia="Times New Roman" w:hAnsi="Times New Roman"/>
          <w:b/>
          <w:bCs/>
          <w:sz w:val="56"/>
          <w:szCs w:val="56"/>
        </w:rPr>
        <w:t xml:space="preserve">Chapter 6</w:t>
      </w:r>
    </w:p>
    <w:p>
      <w:pPr>
        <w:jc w:val="center"/>
      </w:pPr>
      <w:r>
        <w:rPr>
          <w:rFonts w:ascii="Times New Roman" w:cs="Times New Roman" w:eastAsia="Times New Roman" w:hAnsi="Times New Roman"/>
          <w:b/>
          <w:bCs/>
          <w:sz w:val="40"/>
          <w:szCs w:val="40"/>
        </w:rPr>
        <w:t xml:space="preserve">System Deployment</w:t>
      </w:r>
    </w:p>
    <w:p>
      <w:r>
        <w:br w:type="page"/>
      </w:r>
    </w:p>
    <w:p>
      <w:pPr>
        <w:pStyle w:val="Heading1"/>
        <w:spacing w:after="200" w:before="240"/>
      </w:pPr>
      <w:r>
        <w:rPr>
          <w:rFonts w:ascii="Times New Roman" w:cs="Times New Roman" w:eastAsia="Times New Roman" w:hAnsi="Times New Roman"/>
          <w:b/>
          <w:bCs/>
          <w:color w:val="000000"/>
          <w:sz w:val="32"/>
          <w:szCs w:val="32"/>
        </w:rPr>
        <w:t xml:space="preserve">6  System Deployment</w:t>
      </w:r>
    </w:p>
    <w:p>
      <w:pPr>
        <w:spacing w:after="120" w:line="360"/>
        <w:jc w:val="both"/>
      </w:pPr>
      <w:r>
        <w:rPr>
          <w:rFonts w:ascii="Times New Roman" w:cs="Times New Roman" w:eastAsia="Times New Roman" w:hAnsi="Times New Roman"/>
          <w:sz w:val="24"/>
          <w:szCs w:val="24"/>
        </w:rPr>
        <w:t xml:space="preserve">This chapter describes how the completed NFTGuard system is deployed. Because the project is a prototype rather than a commercial rollout, deployment targets the Ethereum Sepolia public testnet for the smart contract layer, a Node.js host for the backend and dashboard, and MongoDB (local or Atlas) for persistence, matching the deployment diagram in Figure 4.19. The chapter covers backup and risk management, the setup procedure, the training procedure for the three stakeholder groups identified in Section 1.3, and follow-up activities.</w:t>
      </w:r>
    </w:p>
    <w:p>
      <w:pPr>
        <w:pStyle w:val="Heading2"/>
        <w:spacing w:after="160" w:before="260"/>
      </w:pPr>
      <w:r>
        <w:rPr>
          <w:rFonts w:ascii="Times New Roman" w:cs="Times New Roman" w:eastAsia="Times New Roman" w:hAnsi="Times New Roman"/>
          <w:b/>
          <w:bCs/>
          <w:color w:val="000000"/>
          <w:sz w:val="28"/>
          <w:szCs w:val="28"/>
        </w:rPr>
        <w:t xml:space="preserve">6.1  Deployment Architecture</w:t>
      </w:r>
    </w:p>
    <w:p>
      <w:pPr>
        <w:spacing w:after="120" w:line="360"/>
        <w:jc w:val="both"/>
      </w:pPr>
      <w:r>
        <w:rPr>
          <w:rFonts w:ascii="Times New Roman" w:cs="Times New Roman" w:eastAsia="Times New Roman" w:hAnsi="Times New Roman"/>
          <w:sz w:val="24"/>
          <w:szCs w:val="24"/>
        </w:rPr>
        <w:t xml:space="preserve">The system is distributed across four runtime nodes. The smart contract is deployed once to the Sepolia testnet (chain ID 11155111) and is thereafter immutable and publicly inspectable on Sepolia Etherscan. The backend server hosts the Express API together with the five analytical modules and also serves the two frontend pages, so a single process exposes the complete system at one origin. MongoDB stores all NFT records, transactions, risk scores, fraud flags and price statistics. Client browsers require no installation — only the dashboard URL.</w:t>
      </w:r>
    </w:p>
    <w:p>
      <w:pPr>
        <w:pStyle w:val="Heading2"/>
        <w:spacing w:after="160" w:before="260"/>
      </w:pPr>
      <w:r>
        <w:rPr>
          <w:rFonts w:ascii="Times New Roman" w:cs="Times New Roman" w:eastAsia="Times New Roman" w:hAnsi="Times New Roman"/>
          <w:b/>
          <w:bCs/>
          <w:color w:val="000000"/>
          <w:sz w:val="28"/>
          <w:szCs w:val="28"/>
        </w:rPr>
        <w:t xml:space="preserve">6.2  System Backup and Risk Management</w:t>
      </w:r>
    </w:p>
    <w:p>
      <w:pPr>
        <w:spacing w:after="120" w:line="360"/>
        <w:jc w:val="both"/>
      </w:pPr>
      <w:r>
        <w:rPr>
          <w:rFonts w:ascii="Times New Roman" w:cs="Times New Roman" w:eastAsia="Times New Roman" w:hAnsi="Times New Roman"/>
          <w:sz w:val="24"/>
          <w:szCs w:val="24"/>
        </w:rPr>
        <w:t xml:space="preserve">The following backup measures protect the system state during and after changeover:</w:t>
      </w:r>
    </w:p>
    <w:p>
      <w:pPr>
        <w:pStyle w:val="ListParagraph"/>
        <w:numPr>
          <w:ilvl w:val="0"/>
          <w:numId w:val="2"/>
        </w:numPr>
        <w:spacing w:after="60" w:line="360"/>
      </w:pPr>
      <w:r>
        <w:rPr>
          <w:rFonts w:ascii="Times New Roman" w:cs="Times New Roman" w:eastAsia="Times New Roman" w:hAnsi="Times New Roman"/>
          <w:b/>
          <w:bCs/>
          <w:sz w:val="24"/>
          <w:szCs w:val="24"/>
        </w:rPr>
        <w:t xml:space="preserve">Source code: </w:t>
      </w:r>
      <w:r>
        <w:rPr>
          <w:rFonts w:ascii="Times New Roman" w:cs="Times New Roman" w:eastAsia="Times New Roman" w:hAnsi="Times New Roman"/>
          <w:sz w:val="24"/>
          <w:szCs w:val="24"/>
        </w:rPr>
        <w:t xml:space="preserve">the full repository is version-controlled with Git and pushed to GitHub, so any deployment can be rolled back to a tagged release.</w:t>
      </w:r>
    </w:p>
    <w:p>
      <w:pPr>
        <w:pStyle w:val="ListParagraph"/>
        <w:numPr>
          <w:ilvl w:val="0"/>
          <w:numId w:val="2"/>
        </w:numPr>
        <w:spacing w:after="60" w:line="360"/>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MongoDB collections are exported with mongodump before every deployment; because the seed script can regenerate the demonstration dataset deterministically, a corrupted database can also be rebuilt in seconds with npm run seed.</w:t>
      </w:r>
    </w:p>
    <w:p>
      <w:pPr>
        <w:pStyle w:val="ListParagraph"/>
        <w:numPr>
          <w:ilvl w:val="0"/>
          <w:numId w:val="2"/>
        </w:numPr>
        <w:spacing w:after="60" w:line="360"/>
      </w:pPr>
      <w:r>
        <w:rPr>
          <w:rFonts w:ascii="Times New Roman" w:cs="Times New Roman" w:eastAsia="Times New Roman" w:hAnsi="Times New Roman"/>
          <w:b/>
          <w:bCs/>
          <w:sz w:val="24"/>
          <w:szCs w:val="24"/>
        </w:rPr>
        <w:t xml:space="preserve">Contract artefacts: </w:t>
      </w:r>
      <w:r>
        <w:rPr>
          <w:rFonts w:ascii="Times New Roman" w:cs="Times New Roman" w:eastAsia="Times New Roman" w:hAnsi="Times New Roman"/>
          <w:sz w:val="24"/>
          <w:szCs w:val="24"/>
        </w:rPr>
        <w:t xml:space="preserve">the deployed address and ABI are written to deployments/sepolia.json and backend/abi/, and the address is additionally recorded in the project documentation; the contract itself cannot be lost, as it lives permanently on the public testnet.</w:t>
      </w:r>
    </w:p>
    <w:p>
      <w:pPr>
        <w:pStyle w:val="ListParagraph"/>
        <w:numPr>
          <w:ilvl w:val="0"/>
          <w:numId w:val="2"/>
        </w:numPr>
        <w:spacing w:after="60" w:line="360"/>
      </w:pPr>
      <w:r>
        <w:rPr>
          <w:rFonts w:ascii="Times New Roman" w:cs="Times New Roman" w:eastAsia="Times New Roman" w:hAnsi="Times New Roman"/>
          <w:b/>
          <w:bCs/>
          <w:sz w:val="24"/>
          <w:szCs w:val="24"/>
        </w:rPr>
        <w:t xml:space="preserve">Secrets: </w:t>
      </w:r>
      <w:r>
        <w:rPr>
          <w:rFonts w:ascii="Times New Roman" w:cs="Times New Roman" w:eastAsia="Times New Roman" w:hAnsi="Times New Roman"/>
          <w:sz w:val="24"/>
          <w:szCs w:val="24"/>
        </w:rPr>
        <w:t xml:space="preserve">the .env file is excluded from version control; a redacted .env.example documents every required variable so the environment can be reconstructed safely.</w:t>
      </w:r>
    </w:p>
    <w:p>
      <w:pPr>
        <w:spacing w:after="120" w:line="360"/>
        <w:jc w:val="both"/>
      </w:pPr>
      <w:r>
        <w:rPr>
          <w:rFonts w:ascii="Times New Roman" w:cs="Times New Roman" w:eastAsia="Times New Roman" w:hAnsi="Times New Roman"/>
          <w:sz w:val="24"/>
          <w:szCs w:val="24"/>
        </w:rPr>
        <w:t xml:space="preserve">Table 6.1 lists the principal deployment risks and their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Risk</w:t>
            </w:r>
          </w:p>
        </w:tc>
        <w:tc>
          <w:tcPr>
            <w:tcW w:type="dxa" w:w="26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Impact</w:t>
            </w:r>
          </w:p>
        </w:tc>
        <w:tc>
          <w:tcPr>
            <w:tcW w:type="dxa" w:w="40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Mitigation</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Sepolia RPC provider outage or rate limiting</w:t>
            </w:r>
          </w:p>
        </w:tc>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Mint / list / buy and on-chain verification unavailable</w:t>
            </w:r>
          </w:p>
        </w:tc>
        <w:tc>
          <w:tcPr>
            <w:tcW w:type="dxa" w:w="40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The backend automatically continues in simulated mode; a second RPC provider URL can be swapped into .env without code changes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Testnet faucet shortage (no Sepolia ETH)</w:t>
            </w:r>
          </w:p>
        </w:tc>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New on-chain transactions cannot be signed</w:t>
            </w:r>
          </w:p>
        </w:tc>
        <w:tc>
          <w:tcPr>
            <w:tcW w:type="dxa" w:w="40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Simulated mode for demonstrations; multiple faucets documented in the README; transactions batched to conserve test ETH</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Private key exposure</w:t>
            </w:r>
          </w:p>
        </w:tc>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Wallet compromise</w:t>
            </w:r>
          </w:p>
        </w:tc>
        <w:tc>
          <w:tcPr>
            <w:tcW w:type="dxa" w:w="40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Key is testnet-only with no real value, stored solely in the git-ignored .env, never logged or returned by any endpoint</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 data loss</w:t>
            </w:r>
          </w:p>
        </w:tc>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Historical analytics lost</w:t>
            </w:r>
          </w:p>
        </w:tc>
        <w:tc>
          <w:tcPr>
            <w:tcW w:type="dxa" w:w="40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mongodump backups plus the deterministic seed script for full regeneration</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Contract defect discovered after deployment</w:t>
            </w:r>
          </w:p>
        </w:tc>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On-chain logic cannot be patched</w:t>
            </w:r>
          </w:p>
        </w:tc>
        <w:tc>
          <w:tcPr>
            <w:tcW w:type="dxa" w:w="40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Contract kept minimal and built on audited OpenZeppelin components; redeployment simply issues a new address consumed via configuration</w:t>
            </w:r>
          </w:p>
        </w:tc>
      </w:tr>
    </w:tbl>
    <w:p>
      <w:pPr>
        <w:spacing w:after="240" w:before="120"/>
        <w:jc w:val="center"/>
      </w:pPr>
      <w:r>
        <w:rPr>
          <w:rFonts w:ascii="Times New Roman" w:cs="Times New Roman" w:eastAsia="Times New Roman" w:hAnsi="Times New Roman"/>
          <w:i/>
          <w:iCs/>
          <w:sz w:val="22"/>
          <w:szCs w:val="22"/>
        </w:rPr>
        <w:t xml:space="preserve">Table 6.1: Deployment risks and mitigations</w:t>
      </w:r>
    </w:p>
    <w:p>
      <w:pPr>
        <w:pStyle w:val="Heading2"/>
        <w:spacing w:after="160" w:before="260"/>
      </w:pPr>
      <w:r>
        <w:rPr>
          <w:rFonts w:ascii="Times New Roman" w:cs="Times New Roman" w:eastAsia="Times New Roman" w:hAnsi="Times New Roman"/>
          <w:b/>
          <w:bCs/>
          <w:color w:val="000000"/>
          <w:sz w:val="28"/>
          <w:szCs w:val="28"/>
        </w:rPr>
        <w:t xml:space="preserve">6.3  Deployment Setup Procedure</w:t>
      </w:r>
    </w:p>
    <w:p>
      <w:pPr>
        <w:spacing w:after="120" w:line="360"/>
        <w:jc w:val="both"/>
      </w:pPr>
      <w:r>
        <w:rPr>
          <w:rFonts w:ascii="Times New Roman" w:cs="Times New Roman" w:eastAsia="Times New Roman" w:hAnsi="Times New Roman"/>
          <w:sz w:val="24"/>
          <w:szCs w:val="24"/>
        </w:rPr>
        <w:t xml:space="preserve">The complete changeover from development to a running deployment follows nine steps:</w:t>
      </w:r>
    </w:p>
    <w:p>
      <w:pPr>
        <w:pStyle w:val="ListParagraph"/>
        <w:numPr>
          <w:ilvl w:val="0"/>
          <w:numId w:val="3"/>
        </w:numPr>
        <w:spacing w:after="60" w:line="360"/>
      </w:pPr>
      <w:r>
        <w:rPr>
          <w:rFonts w:ascii="Times New Roman" w:cs="Times New Roman" w:eastAsia="Times New Roman" w:hAnsi="Times New Roman"/>
          <w:sz w:val="24"/>
          <w:szCs w:val="24"/>
        </w:rPr>
        <w:t xml:space="preserve">Install prerequisites on the host: Node.js 18+, npm and MongoDB (or provision a free MongoDB Atlas cluster).</w:t>
      </w:r>
    </w:p>
    <w:p>
      <w:pPr>
        <w:pStyle w:val="ListParagraph"/>
        <w:numPr>
          <w:ilvl w:val="0"/>
          <w:numId w:val="3"/>
        </w:numPr>
        <w:spacing w:after="60" w:line="360"/>
      </w:pPr>
      <w:r>
        <w:rPr>
          <w:rFonts w:ascii="Times New Roman" w:cs="Times New Roman" w:eastAsia="Times New Roman" w:hAnsi="Times New Roman"/>
          <w:sz w:val="24"/>
          <w:szCs w:val="24"/>
        </w:rPr>
        <w:t xml:space="preserve">Clone the repository and run </w:t>
      </w:r>
      <w:r>
        <w:rPr>
          <w:rFonts w:ascii="Courier New" w:cs="Courier New" w:eastAsia="Courier New" w:hAnsi="Courier New"/>
          <w:sz w:val="20"/>
          <w:szCs w:val="20"/>
        </w:rPr>
        <w:t xml:space="preserve">npm install</w:t>
      </w:r>
      <w:r>
        <w:rPr>
          <w:rFonts w:ascii="Times New Roman" w:cs="Times New Roman" w:eastAsia="Times New Roman" w:hAnsi="Times New Roman"/>
          <w:sz w:val="24"/>
          <w:szCs w:val="24"/>
        </w:rPr>
        <w:t xml:space="preserve"> in the project root and in </w:t>
      </w:r>
      <w:r>
        <w:rPr>
          <w:rFonts w:ascii="Courier New" w:cs="Courier New" w:eastAsia="Courier New" w:hAnsi="Courier New"/>
          <w:sz w:val="20"/>
          <w:szCs w:val="20"/>
        </w:rPr>
        <w:t xml:space="preserve">backend/</w:t>
      </w:r>
      <w:r>
        <w:rPr>
          <w:rFonts w:ascii="Times New Roman" w:cs="Times New Roman" w:eastAsia="Times New Roman" w:hAnsi="Times New Roman"/>
          <w:sz w:val="24"/>
          <w:szCs w:val="24"/>
        </w:rPr>
        <w:t xml:space="preserve">.</w:t>
      </w:r>
    </w:p>
    <w:p>
      <w:pPr>
        <w:pStyle w:val="ListParagraph"/>
        <w:numPr>
          <w:ilvl w:val="0"/>
          <w:numId w:val="3"/>
        </w:numPr>
        <w:spacing w:after="60" w:line="360"/>
      </w:pPr>
      <w:r>
        <w:rPr>
          <w:rFonts w:ascii="Times New Roman" w:cs="Times New Roman" w:eastAsia="Times New Roman" w:hAnsi="Times New Roman"/>
          <w:sz w:val="24"/>
          <w:szCs w:val="24"/>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sz w:val="24"/>
          <w:szCs w:val="24"/>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sz w:val="24"/>
          <w:szCs w:val="24"/>
        </w:rPr>
        <w:t xml:space="preserve"> in both locations and fill in SEPOLIA_RPC_URL, PRIVATE_KEY and MONGODB_URI.</w:t>
      </w:r>
    </w:p>
    <w:p>
      <w:pPr>
        <w:pStyle w:val="ListParagraph"/>
        <w:numPr>
          <w:ilvl w:val="0"/>
          <w:numId w:val="3"/>
        </w:numPr>
        <w:spacing w:after="60" w:line="360"/>
      </w:pPr>
      <w:r>
        <w:rPr>
          <w:rFonts w:ascii="Times New Roman" w:cs="Times New Roman" w:eastAsia="Times New Roman" w:hAnsi="Times New Roman"/>
          <w:sz w:val="24"/>
          <w:szCs w:val="24"/>
        </w:rPr>
        <w:t xml:space="preserve">Fund the testnet wallet with free Sepolia ETH from a public faucet.</w:t>
      </w:r>
    </w:p>
    <w:p>
      <w:pPr>
        <w:pStyle w:val="ListParagraph"/>
        <w:numPr>
          <w:ilvl w:val="0"/>
          <w:numId w:val="3"/>
        </w:numPr>
        <w:spacing w:after="60" w:line="360"/>
      </w:pPr>
      <w:r>
        <w:rPr>
          <w:rFonts w:ascii="Times New Roman" w:cs="Times New Roman" w:eastAsia="Times New Roman" w:hAnsi="Times New Roman"/>
          <w:sz w:val="24"/>
          <w:szCs w:val="24"/>
        </w:rPr>
        <w:t xml:space="preserve">Compile and deploy the contract: </w:t>
      </w:r>
      <w:r>
        <w:rPr>
          <w:rFonts w:ascii="Courier New" w:cs="Courier New" w:eastAsia="Courier New" w:hAnsi="Courier New"/>
          <w:sz w:val="20"/>
          <w:szCs w:val="20"/>
        </w:rPr>
        <w:t xml:space="preserve">npm run compile &amp;&amp; npm run deploy:sepolia</w:t>
      </w:r>
      <w:r>
        <w:rPr>
          <w:rFonts w:ascii="Times New Roman" w:cs="Times New Roman" w:eastAsia="Times New Roman" w:hAnsi="Times New Roman"/>
          <w:sz w:val="24"/>
          <w:szCs w:val="24"/>
        </w:rPr>
        <w:t xml:space="preserve">.</w:t>
      </w:r>
    </w:p>
    <w:p>
      <w:pPr>
        <w:pStyle w:val="ListParagraph"/>
        <w:numPr>
          <w:ilvl w:val="0"/>
          <w:numId w:val="3"/>
        </w:numPr>
        <w:spacing w:after="60" w:line="360"/>
      </w:pPr>
      <w:r>
        <w:rPr>
          <w:rFonts w:ascii="Times New Roman" w:cs="Times New Roman" w:eastAsia="Times New Roman" w:hAnsi="Times New Roman"/>
          <w:sz w:val="24"/>
          <w:szCs w:val="24"/>
        </w:rPr>
        <w:t xml:space="preserve">Record the printed contract address into CONTRACT_ADDRESS in both .env files; optionally verify the source on Sepolia Etherscan with </w:t>
      </w:r>
      <w:r>
        <w:rPr>
          <w:rFonts w:ascii="Courier New" w:cs="Courier New" w:eastAsia="Courier New" w:hAnsi="Courier New"/>
          <w:sz w:val="20"/>
          <w:szCs w:val="20"/>
        </w:rPr>
        <w:t xml:space="preserve">npx hardhat verify</w:t>
      </w:r>
      <w:r>
        <w:rPr>
          <w:rFonts w:ascii="Times New Roman" w:cs="Times New Roman" w:eastAsia="Times New Roman" w:hAnsi="Times New Roman"/>
          <w:sz w:val="24"/>
          <w:szCs w:val="24"/>
        </w:rPr>
        <w:t xml:space="preserve">.</w:t>
      </w:r>
    </w:p>
    <w:p>
      <w:pPr>
        <w:pStyle w:val="ListParagraph"/>
        <w:numPr>
          <w:ilvl w:val="0"/>
          <w:numId w:val="3"/>
        </w:numPr>
        <w:spacing w:after="60" w:line="360"/>
      </w:pPr>
      <w:r>
        <w:rPr>
          <w:rFonts w:ascii="Times New Roman" w:cs="Times New Roman" w:eastAsia="Times New Roman" w:hAnsi="Times New Roman"/>
          <w:sz w:val="24"/>
          <w:szCs w:val="24"/>
        </w:rPr>
        <w:t xml:space="preserve">Seed the demonstration dataset: </w:t>
      </w:r>
      <w:r>
        <w:rPr>
          <w:rFonts w:ascii="Courier New" w:cs="Courier New" w:eastAsia="Courier New" w:hAnsi="Courier New"/>
          <w:sz w:val="20"/>
          <w:szCs w:val="20"/>
        </w:rPr>
        <w:t xml:space="preserve">cd backend &amp;&amp; npm run seed</w:t>
      </w:r>
      <w:r>
        <w:rPr>
          <w:rFonts w:ascii="Times New Roman" w:cs="Times New Roman" w:eastAsia="Times New Roman" w:hAnsi="Times New Roman"/>
          <w:sz w:val="24"/>
          <w:szCs w:val="24"/>
        </w:rPr>
        <w:t xml:space="preserve">, and confirm the printed score table matches Table 5.2.</w:t>
      </w:r>
    </w:p>
    <w:p>
      <w:pPr>
        <w:pStyle w:val="ListParagraph"/>
        <w:numPr>
          <w:ilvl w:val="0"/>
          <w:numId w:val="3"/>
        </w:numPr>
        <w:spacing w:after="60" w:line="360"/>
      </w:pPr>
      <w:r>
        <w:rPr>
          <w:rFonts w:ascii="Times New Roman" w:cs="Times New Roman" w:eastAsia="Times New Roman" w:hAnsi="Times New Roman"/>
          <w:sz w:val="24"/>
          <w:szCs w:val="24"/>
        </w:rPr>
        <w:t xml:space="preserve">Start the server: </w:t>
      </w:r>
      <w:r>
        <w:rPr>
          <w:rFonts w:ascii="Courier New" w:cs="Courier New" w:eastAsia="Courier New" w:hAnsi="Courier New"/>
          <w:sz w:val="20"/>
          <w:szCs w:val="20"/>
        </w:rPr>
        <w:t xml:space="preserve">npm start</w:t>
      </w:r>
      <w:r>
        <w:rPr>
          <w:rFonts w:ascii="Times New Roman" w:cs="Times New Roman" w:eastAsia="Times New Roman" w:hAnsi="Times New Roman"/>
          <w:sz w:val="24"/>
          <w:szCs w:val="24"/>
        </w:rPr>
        <w:t xml:space="preserve">; the dashboard is served at http://localhost:5000 and the API at /api.</w:t>
      </w:r>
    </w:p>
    <w:p>
      <w:pPr>
        <w:pStyle w:val="ListParagraph"/>
        <w:numPr>
          <w:ilvl w:val="0"/>
          <w:numId w:val="3"/>
        </w:numPr>
        <w:spacing w:after="60" w:line="360"/>
      </w:pPr>
      <w:r>
        <w:rPr>
          <w:rFonts w:ascii="Times New Roman" w:cs="Times New Roman" w:eastAsia="Times New Roman" w:hAnsi="Times New Roman"/>
          <w:sz w:val="24"/>
          <w:szCs w:val="24"/>
        </w:rPr>
        <w:t xml:space="preserve">Smoke-test with the checklist: /api/health reports on-chain mode, the Overview shows the token #9 high-risk alert, and one mint/buy round-trip confirms on Etherscan.</w:t>
      </w:r>
    </w:p>
    <w:p>
      <w:pPr>
        <w:pStyle w:val="Heading2"/>
        <w:spacing w:after="160" w:before="260"/>
      </w:pPr>
      <w:r>
        <w:rPr>
          <w:rFonts w:ascii="Times New Roman" w:cs="Times New Roman" w:eastAsia="Times New Roman" w:hAnsi="Times New Roman"/>
          <w:b/>
          <w:bCs/>
          <w:color w:val="000000"/>
          <w:sz w:val="28"/>
          <w:szCs w:val="28"/>
        </w:rPr>
        <w:t xml:space="preserve">6.4  Training Procedure</w:t>
      </w:r>
    </w:p>
    <w:p>
      <w:pPr>
        <w:spacing w:after="120" w:line="360"/>
        <w:jc w:val="both"/>
      </w:pPr>
      <w:r>
        <w:rPr>
          <w:rFonts w:ascii="Times New Roman" w:cs="Times New Roman" w:eastAsia="Times New Roman" w:hAnsi="Times New Roman"/>
          <w:sz w:val="24"/>
          <w:szCs w:val="24"/>
        </w:rPr>
        <w:t xml:space="preserve">Training is organised around the three target user groups from Section 1.3, each receiving a short guided session using the seeded dataset so that every feature can be demonstrated with a known outcome:</w:t>
      </w:r>
    </w:p>
    <w:p>
      <w:pPr>
        <w:pStyle w:val="ListParagraph"/>
        <w:numPr>
          <w:ilvl w:val="0"/>
          <w:numId w:val="2"/>
        </w:numPr>
        <w:spacing w:after="60" w:line="360"/>
      </w:pPr>
      <w:r>
        <w:rPr>
          <w:rFonts w:ascii="Times New Roman" w:cs="Times New Roman" w:eastAsia="Times New Roman" w:hAnsi="Times New Roman"/>
          <w:b/>
          <w:bCs/>
          <w:sz w:val="24"/>
          <w:szCs w:val="24"/>
        </w:rPr>
        <w:t xml:space="preserve">Collectors and retail investors (30 minutes): </w:t>
      </w:r>
      <w:r>
        <w:rPr>
          <w:rFonts w:ascii="Times New Roman" w:cs="Times New Roman" w:eastAsia="Times New Roman" w:hAnsi="Times New Roman"/>
          <w:sz w:val="24"/>
          <w:szCs w:val="24"/>
        </w:rPr>
        <w:t xml:space="preserve">reading the risk ring and colour-coded levels, interpreting the authenticity badge, drilling into the risk breakdown, and performing a safe simulated purchase through the wallet simulation.</w:t>
      </w:r>
    </w:p>
    <w:p>
      <w:pPr>
        <w:pStyle w:val="ListParagraph"/>
        <w:numPr>
          <w:ilvl w:val="0"/>
          <w:numId w:val="2"/>
        </w:numPr>
        <w:spacing w:after="60" w:line="360"/>
      </w:pPr>
      <w:r>
        <w:rPr>
          <w:rFonts w:ascii="Times New Roman" w:cs="Times New Roman" w:eastAsia="Times New Roman" w:hAnsi="Times New Roman"/>
          <w:b/>
          <w:bCs/>
          <w:sz w:val="24"/>
          <w:szCs w:val="24"/>
        </w:rPr>
        <w:t xml:space="preserve">Digital artists and IP owners (20 minutes): </w:t>
      </w:r>
      <w:r>
        <w:rPr>
          <w:rFonts w:ascii="Times New Roman" w:cs="Times New Roman" w:eastAsia="Times New Roman" w:hAnsi="Times New Roman"/>
          <w:sz w:val="24"/>
          <w:szCs w:val="24"/>
        </w:rPr>
        <w:t xml:space="preserve">running the verification pipeline on their own mints, understanding the metadata-hash “certificate of permanence”, and monitoring the duplicate-detection registry for copy-mints.</w:t>
      </w:r>
    </w:p>
    <w:p>
      <w:pPr>
        <w:pStyle w:val="ListParagraph"/>
        <w:numPr>
          <w:ilvl w:val="0"/>
          <w:numId w:val="2"/>
        </w:numPr>
        <w:spacing w:after="60" w:line="360"/>
      </w:pPr>
      <w:r>
        <w:rPr>
          <w:rFonts w:ascii="Times New Roman" w:cs="Times New Roman" w:eastAsia="Times New Roman" w:hAnsi="Times New Roman"/>
          <w:b/>
          <w:bCs/>
          <w:sz w:val="24"/>
          <w:szCs w:val="24"/>
        </w:rPr>
        <w:t xml:space="preserve">Marketplace operators and analysts (45 minutes): </w:t>
      </w:r>
      <w:r>
        <w:rPr>
          <w:rFonts w:ascii="Times New Roman" w:cs="Times New Roman" w:eastAsia="Times New Roman" w:hAnsi="Times New Roman"/>
          <w:sz w:val="24"/>
          <w:szCs w:val="24"/>
        </w:rPr>
        <w:t xml:space="preserve">running fraud analyses, reading rule evidence, tuning thresholds.json (demonstrated live with test case C1), and using the flag feed and watchlist as an auditing workflow.</w:t>
      </w:r>
    </w:p>
    <w:p>
      <w:pPr>
        <w:spacing w:after="120" w:line="360"/>
        <w:jc w:val="both"/>
      </w:pPr>
      <w:r>
        <w:rPr>
          <w:rFonts w:ascii="Times New Roman" w:cs="Times New Roman" w:eastAsia="Times New Roman" w:hAnsi="Times New Roman"/>
          <w:sz w:val="24"/>
          <w:szCs w:val="24"/>
        </w:rPr>
        <w:t xml:space="preserve">The User Guide in Appendix A serves as the take-away training material.</w:t>
      </w:r>
    </w:p>
    <w:p>
      <w:pPr>
        <w:pStyle w:val="Heading2"/>
        <w:spacing w:after="160" w:before="260"/>
      </w:pPr>
      <w:r>
        <w:rPr>
          <w:rFonts w:ascii="Times New Roman" w:cs="Times New Roman" w:eastAsia="Times New Roman" w:hAnsi="Times New Roman"/>
          <w:b/>
          <w:bCs/>
          <w:color w:val="000000"/>
          <w:sz w:val="28"/>
          <w:szCs w:val="28"/>
        </w:rPr>
        <w:t xml:space="preserve">6.5  Follow-up</w:t>
      </w:r>
    </w:p>
    <w:p>
      <w:pPr>
        <w:spacing w:after="120" w:line="360"/>
        <w:jc w:val="both"/>
      </w:pPr>
      <w:r>
        <w:rPr>
          <w:rFonts w:ascii="Times New Roman" w:cs="Times New Roman" w:eastAsia="Times New Roman" w:hAnsi="Times New Roman"/>
          <w:sz w:val="24"/>
          <w:szCs w:val="24"/>
        </w:rPr>
        <w:t xml:space="preserve">After deployment, system reliability is verified through a two-week follow-up: the /api/health endpoint is polled to confirm uptime against the 95% target; user feedback on dashboard clarity is collected with a short usability questionnaire; and any reported issue is logged in the GitHub issue tracker, triaged against the sprint backlog, and resolved in a patch release. Threshold calibration feedback from operators (for example, loop counts that are too sensitive for a particular collection) is applied through configuration rather than code, and the change is recorded in the deployment log.</w:t>
      </w:r>
    </w:p>
    <w:p>
      <w:pPr>
        <w:pStyle w:val="Heading2"/>
        <w:spacing w:after="160" w:before="260"/>
      </w:pPr>
      <w:r>
        <w:rPr>
          <w:rFonts w:ascii="Times New Roman" w:cs="Times New Roman" w:eastAsia="Times New Roman" w:hAnsi="Times New Roman"/>
          <w:b/>
          <w:bCs/>
          <w:color w:val="000000"/>
          <w:sz w:val="28"/>
          <w:szCs w:val="28"/>
        </w:rPr>
        <w:t xml:space="preserve">6.6  Chapter Summary and Evaluation</w:t>
      </w:r>
    </w:p>
    <w:p>
      <w:pPr>
        <w:spacing w:after="120" w:line="360"/>
        <w:jc w:val="both"/>
      </w:pPr>
      <w:r>
        <w:rPr>
          <w:rFonts w:ascii="Times New Roman" w:cs="Times New Roman" w:eastAsia="Times New Roman" w:hAnsi="Times New Roman"/>
          <w:sz w:val="24"/>
          <w:szCs w:val="24"/>
        </w:rPr>
        <w:t xml:space="preserve">This chapter documented the deployment of NFTGuard across its four runtime nodes, the backup and risk-management measures that protect it, a repeatable nine-step setup procedure, role-based training, and the follow-up plan. The main deployment problems encountered were testnet-related: RPC rate limits during repeated demonstrations and faucet scarcity. Both were solved architecturally by the dual-mode transaction layer, which lets the entire system continue operating — and remain demonstrable — with zero blockchain dependency, a design choice that proved valuable in practice.</w:t>
      </w:r>
    </w:p>
    <w:p>
      <w:pPr>
        <w:sectPr>
          <w:headerReference w:type="default" r:id="rId9"/>
          <w:footerReference w:type="default" r:id="rId10"/>
          <w:pgSz w:w="11906" w:h="16838" w:orient="portrait"/>
          <w:pgMar w:top="1440" w:right="1440" w:bottom="1440" w:left="1440" w:header="708" w:footer="708" w:gutter="0"/>
          <w:pgNumType/>
          <w:docGrid w:linePitch="360"/>
        </w:sectPr>
      </w:pPr>
    </w:p>
    <w:p>
      <w:pPr>
        <w:spacing w:before="3200"/>
      </w:pPr>
    </w:p>
    <w:p>
      <w:pPr>
        <w:spacing w:after="300"/>
        <w:jc w:val="center"/>
      </w:pPr>
      <w:r>
        <w:rPr>
          <w:rFonts w:ascii="Times New Roman" w:cs="Times New Roman" w:eastAsia="Times New Roman" w:hAnsi="Times New Roman"/>
          <w:b/>
          <w:bCs/>
          <w:sz w:val="56"/>
          <w:szCs w:val="56"/>
        </w:rPr>
        <w:t xml:space="preserve">Chapter 7</w:t>
      </w:r>
    </w:p>
    <w:p>
      <w:pPr>
        <w:jc w:val="center"/>
      </w:pPr>
      <w:r>
        <w:rPr>
          <w:rFonts w:ascii="Times New Roman" w:cs="Times New Roman" w:eastAsia="Times New Roman" w:hAnsi="Times New Roman"/>
          <w:b/>
          <w:bCs/>
          <w:sz w:val="40"/>
          <w:szCs w:val="40"/>
        </w:rPr>
        <w:t xml:space="preserve">Discussions and Conclusion</w:t>
      </w:r>
    </w:p>
    <w:p>
      <w:r>
        <w:br w:type="page"/>
      </w:r>
    </w:p>
    <w:p>
      <w:pPr>
        <w:pStyle w:val="Heading1"/>
        <w:spacing w:after="200" w:before="240"/>
      </w:pPr>
      <w:r>
        <w:rPr>
          <w:rFonts w:ascii="Times New Roman" w:cs="Times New Roman" w:eastAsia="Times New Roman" w:hAnsi="Times New Roman"/>
          <w:b/>
          <w:bCs/>
          <w:color w:val="000000"/>
          <w:sz w:val="32"/>
          <w:szCs w:val="32"/>
        </w:rPr>
        <w:t xml:space="preserve">7  Discussions and Conclusion</w:t>
      </w:r>
    </w:p>
    <w:p>
      <w:pPr>
        <w:pStyle w:val="Heading2"/>
        <w:spacing w:after="160" w:before="260"/>
      </w:pPr>
      <w:r>
        <w:rPr>
          <w:rFonts w:ascii="Times New Roman" w:cs="Times New Roman" w:eastAsia="Times New Roman" w:hAnsi="Times New Roman"/>
          <w:b/>
          <w:bCs/>
          <w:color w:val="000000"/>
          <w:sz w:val="28"/>
          <w:szCs w:val="28"/>
        </w:rPr>
        <w:t xml:space="preserve">7.1  Summary</w:t>
      </w:r>
    </w:p>
    <w:p>
      <w:pPr>
        <w:spacing w:after="120" w:line="360"/>
        <w:jc w:val="both"/>
      </w:pPr>
      <w:r>
        <w:rPr>
          <w:rFonts w:ascii="Times New Roman" w:cs="Times New Roman" w:eastAsia="Times New Roman" w:hAnsi="Times New Roman"/>
          <w:sz w:val="24"/>
          <w:szCs w:val="24"/>
        </w:rPr>
        <w:t xml:space="preserve">NFT marketplaces suffer from fraud, wash trading, metadata tampering, counterfeit assets and opaque pricing, and mainstream platforms provide little built-in protection against any of these (Chapter 1). NFTGuard addresses this gap with a prototype marketplace whose core value is not trading itself but the verification and risk-analysis layer wrapped around it: an ERC-721 contract that anchors each token's metadata SHA-256 hash on-chain at mint time; a three-layer authenticity pipeline (ERC-165 compliance, metadata integrity, pHash duplicate detection); four heuristic fraud rules with configurable thresholds; Z-score price-anomaly analytics; and a unified, fully explainable 0–100 risk score presented through an interactive dashboard. The choice of tools followed the analysis in Chapters 2 and 3: Solidity with audited OpenZeppelin components for contract safety, Hardhat and the Sepolia testnet for risk-free deployment, Node.js with ethers.js v6 for blockchain interaction, MongoDB for flexible analytics storage, and deliberately heuristic, statistics-based detection instead of machine learning so that every decision the system makes remains transparent and interpretable — a position supported by prior empirical work on rule-based wash-trading detection (von Wachter et al., 2022; Liu et al., 2023). The Agile/Scrum methodology structured the work into four sprints whose deliverables map one-to-one onto the five system modules.</w:t>
      </w:r>
    </w:p>
    <w:p>
      <w:pPr>
        <w:pStyle w:val="Heading2"/>
        <w:spacing w:after="160" w:before="260"/>
      </w:pPr>
      <w:r>
        <w:rPr>
          <w:rFonts w:ascii="Times New Roman" w:cs="Times New Roman" w:eastAsia="Times New Roman" w:hAnsi="Times New Roman"/>
          <w:b/>
          <w:bCs/>
          <w:color w:val="000000"/>
          <w:sz w:val="28"/>
          <w:szCs w:val="28"/>
        </w:rPr>
        <w:t xml:space="preserve">7.2  Achievements</w:t>
      </w:r>
    </w:p>
    <w:p>
      <w:pPr>
        <w:spacing w:after="120" w:line="360"/>
        <w:jc w:val="both"/>
      </w:pPr>
      <w:r>
        <w:rPr>
          <w:rFonts w:ascii="Times New Roman" w:cs="Times New Roman" w:eastAsia="Times New Roman" w:hAnsi="Times New Roman"/>
          <w:sz w:val="24"/>
          <w:szCs w:val="24"/>
        </w:rPr>
        <w:t xml:space="preserve">All four project objectives defined in Section 1.1 were achieved:</w:t>
      </w:r>
    </w:p>
    <w:p>
      <w:pPr>
        <w:pStyle w:val="ListParagraph"/>
        <w:numPr>
          <w:ilvl w:val="0"/>
          <w:numId w:val="4"/>
        </w:numPr>
        <w:spacing w:after="60" w:line="360"/>
      </w:pPr>
      <w:r>
        <w:rPr>
          <w:rFonts w:ascii="Times New Roman" w:cs="Times New Roman" w:eastAsia="Times New Roman" w:hAnsi="Times New Roman"/>
          <w:b/>
          <w:bCs/>
          <w:sz w:val="24"/>
          <w:szCs w:val="24"/>
        </w:rPr>
        <w:t xml:space="preserve">Objective 1 — analysis of marketplace issues: </w:t>
      </w:r>
      <w:r>
        <w:rPr>
          <w:rFonts w:ascii="Times New Roman" w:cs="Times New Roman" w:eastAsia="Times New Roman" w:hAnsi="Times New Roman"/>
          <w:sz w:val="24"/>
          <w:szCs w:val="24"/>
        </w:rPr>
        <w:t xml:space="preserve">achieved through the literature review and the comparison of OpenSea, Rarible and LooksRare in Table 1.1, which established the feature gaps NFTGuard fills.</w:t>
      </w:r>
    </w:p>
    <w:p>
      <w:pPr>
        <w:pStyle w:val="ListParagraph"/>
        <w:numPr>
          <w:ilvl w:val="0"/>
          <w:numId w:val="4"/>
        </w:numPr>
        <w:spacing w:after="60" w:line="360"/>
      </w:pPr>
      <w:r>
        <w:rPr>
          <w:rFonts w:ascii="Times New Roman" w:cs="Times New Roman" w:eastAsia="Times New Roman" w:hAnsi="Times New Roman"/>
          <w:b/>
          <w:bCs/>
          <w:sz w:val="24"/>
          <w:szCs w:val="24"/>
        </w:rPr>
        <w:t xml:space="preserve">Objective 2 — automated authenticity and metadata integrity verification: </w:t>
      </w:r>
      <w:r>
        <w:rPr>
          <w:rFonts w:ascii="Times New Roman" w:cs="Times New Roman" w:eastAsia="Times New Roman" w:hAnsi="Times New Roman"/>
          <w:sz w:val="24"/>
          <w:szCs w:val="24"/>
        </w:rPr>
        <w:t xml:space="preserve">achieved; the deployed contract stores the metadata hash on-chain, and the verification module detects standard non-compliance, tampering and copy-mints, confirmed by test cases A1–A4.</w:t>
      </w:r>
    </w:p>
    <w:p>
      <w:pPr>
        <w:pStyle w:val="ListParagraph"/>
        <w:numPr>
          <w:ilvl w:val="0"/>
          <w:numId w:val="4"/>
        </w:numPr>
        <w:spacing w:after="60" w:line="360"/>
      </w:pPr>
      <w:r>
        <w:rPr>
          <w:rFonts w:ascii="Times New Roman" w:cs="Times New Roman" w:eastAsia="Times New Roman" w:hAnsi="Times New Roman"/>
          <w:b/>
          <w:bCs/>
          <w:sz w:val="24"/>
          <w:szCs w:val="24"/>
        </w:rPr>
        <w:t xml:space="preserve">Objective 3 — data-driven detection of fraud, wash trading and abnormal pricing: </w:t>
      </w:r>
      <w:r>
        <w:rPr>
          <w:rFonts w:ascii="Times New Roman" w:cs="Times New Roman" w:eastAsia="Times New Roman" w:hAnsi="Times New Roman"/>
          <w:sz w:val="24"/>
          <w:szCs w:val="24"/>
        </w:rPr>
        <w:t xml:space="preserve">achieved with four deterministic heuristic rules and Z-score analytics, confirmed by test cases F1–F6 and P1–P3; every rule triggers correctly on its engineered scenario and stays silent on organic histories.</w:t>
      </w:r>
    </w:p>
    <w:p>
      <w:pPr>
        <w:pStyle w:val="ListParagraph"/>
        <w:numPr>
          <w:ilvl w:val="0"/>
          <w:numId w:val="4"/>
        </w:numPr>
        <w:spacing w:after="60" w:line="360"/>
      </w:pPr>
      <w:r>
        <w:rPr>
          <w:rFonts w:ascii="Times New Roman" w:cs="Times New Roman" w:eastAsia="Times New Roman" w:hAnsi="Times New Roman"/>
          <w:b/>
          <w:bCs/>
          <w:sz w:val="24"/>
          <w:szCs w:val="24"/>
        </w:rPr>
        <w:t xml:space="preserve">Objective 4 — integrated prototype with risk scoring: </w:t>
      </w:r>
      <w:r>
        <w:rPr>
          <w:rFonts w:ascii="Times New Roman" w:cs="Times New Roman" w:eastAsia="Times New Roman" w:hAnsi="Times New Roman"/>
          <w:sz w:val="24"/>
          <w:szCs w:val="24"/>
        </w:rPr>
        <w:t xml:space="preserve">achieved; the dashboard integrates all modules, computes the weighted unified score, raises high-risk alerts, and was evaluated through functional testing, simulated fraud scenarios and the usability-oriented colour-coded interface (test cases R1–R5).</w:t>
      </w:r>
    </w:p>
    <w:p>
      <w:pPr>
        <w:spacing w:after="120" w:line="360"/>
        <w:jc w:val="both"/>
      </w:pPr>
      <w:r>
        <w:rPr>
          <w:rFonts w:ascii="Times New Roman" w:cs="Times New Roman" w:eastAsia="Times New Roman" w:hAnsi="Times New Roman"/>
          <w:sz w:val="24"/>
          <w:szCs w:val="24"/>
        </w:rPr>
        <w:t xml:space="preserve">All 25 functional requirements and the six non-functional requirement categories from Chapter 3 were implemented and verified. A strength of the delivered system is its end-to-end traceability — every report module corresponds to an identifiable source file, and every risk score can be decomposed into its exact arithmetic. The main weaknesses are the modest scale of the evaluation dataset and the use of simulated wallets rather than end-user wallet extensions, both discussed below.</w:t>
      </w:r>
    </w:p>
    <w:p>
      <w:pPr>
        <w:pStyle w:val="Heading2"/>
        <w:spacing w:after="160" w:before="260"/>
      </w:pPr>
      <w:r>
        <w:rPr>
          <w:rFonts w:ascii="Times New Roman" w:cs="Times New Roman" w:eastAsia="Times New Roman" w:hAnsi="Times New Roman"/>
          <w:b/>
          <w:bCs/>
          <w:color w:val="000000"/>
          <w:sz w:val="28"/>
          <w:szCs w:val="28"/>
        </w:rPr>
        <w:t xml:space="preserve">7.3  Contributions</w:t>
      </w:r>
    </w:p>
    <w:p>
      <w:pPr>
        <w:spacing w:after="120" w:line="360"/>
        <w:jc w:val="both"/>
      </w:pPr>
      <w:r>
        <w:rPr>
          <w:rFonts w:ascii="Times New Roman" w:cs="Times New Roman" w:eastAsia="Times New Roman" w:hAnsi="Times New Roman"/>
          <w:sz w:val="24"/>
          <w:szCs w:val="24"/>
        </w:rPr>
        <w:t xml:space="preserve">The project's contributions follow those proposed in Section 1.5.2, now substantiated by a working system. For end users it delivers a security-first trading experience in which complex blockchain evidence is compressed into one interpretable score with a visible audit trail. For creators it contributes a practical intellectual-property shield: the combination of an immutable on-chain metadata hash and a perceptual-hash registry demonstrably catches both tampering and copy-minting. For the community it exposes buyer–seller loops and artificial price spikes that would otherwise masquerade as organic demand. For developers it provides a modular architectural blueprint — the verification engine, rule engine and scoring engine are independent services behind a REST API and could be attached to any existing marketplace as a middleware security layer. For research, it offers empirical support for the position that carefully calibrated heuristics detect sophisticated combined-fraud patterns (scenario #9 scores 75/High) without any model training, and that severity-weighted calibration is essential for such systems to rank threats sensibly.</w:t>
      </w:r>
    </w:p>
    <w:p>
      <w:pPr>
        <w:pStyle w:val="Heading2"/>
        <w:spacing w:after="160" w:before="260"/>
      </w:pPr>
      <w:r>
        <w:rPr>
          <w:rFonts w:ascii="Times New Roman" w:cs="Times New Roman" w:eastAsia="Times New Roman" w:hAnsi="Times New Roman"/>
          <w:b/>
          <w:bCs/>
          <w:color w:val="000000"/>
          <w:sz w:val="28"/>
          <w:szCs w:val="28"/>
        </w:rPr>
        <w:t xml:space="preserve">7.4  Limitations and Future Improvements</w:t>
      </w:r>
    </w:p>
    <w:p>
      <w:pPr>
        <w:pStyle w:val="ListParagraph"/>
        <w:numPr>
          <w:ilvl w:val="0"/>
          <w:numId w:val="2"/>
        </w:numPr>
        <w:spacing w:after="60" w:line="360"/>
      </w:pPr>
      <w:r>
        <w:rPr>
          <w:rFonts w:ascii="Times New Roman" w:cs="Times New Roman" w:eastAsia="Times New Roman" w:hAnsi="Times New Roman"/>
          <w:b/>
          <w:bCs/>
          <w:sz w:val="24"/>
          <w:szCs w:val="24"/>
        </w:rPr>
        <w:t xml:space="preserve">Heuristics rather than learned models. </w:t>
      </w:r>
      <w:r>
        <w:rPr>
          <w:rFonts w:ascii="Times New Roman" w:cs="Times New Roman" w:eastAsia="Times New Roman" w:hAnsi="Times New Roman"/>
          <w:sz w:val="24"/>
          <w:szCs w:val="24"/>
        </w:rPr>
        <w:t xml:space="preserve">Rule-based detection is transparent but bounded by its thresholds; adversaries who trade just below every threshold evade it. A natural next step is to use the current heuristic flags as weak labels to train an anomaly-detection model (for example Isolation Forest or a gradient-boosted classifier) or a graph neural network over the wallet-interaction graph, gaining recall while keeping the heuristic layer as the explainable baseline. No training was required in the present system — the Z-score is a closed-form statistic and the score weights are expert-configured — which was a deliberate design decision for interpretability, but hybridisation is the clearest future improvement.</w:t>
      </w:r>
    </w:p>
    <w:p>
      <w:pPr>
        <w:pStyle w:val="ListParagraph"/>
        <w:numPr>
          <w:ilvl w:val="0"/>
          <w:numId w:val="2"/>
        </w:numPr>
        <w:spacing w:after="60" w:line="360"/>
      </w:pPr>
      <w:r>
        <w:rPr>
          <w:rFonts w:ascii="Times New Roman" w:cs="Times New Roman" w:eastAsia="Times New Roman" w:hAnsi="Times New Roman"/>
          <w:b/>
          <w:bCs/>
          <w:sz w:val="24"/>
          <w:szCs w:val="24"/>
        </w:rPr>
        <w:t xml:space="preserve">Simulated wallets. </w:t>
      </w:r>
      <w:r>
        <w:rPr>
          <w:rFonts w:ascii="Times New Roman" w:cs="Times New Roman" w:eastAsia="Times New Roman" w:hAnsi="Times New Roman"/>
          <w:sz w:val="24"/>
          <w:szCs w:val="24"/>
        </w:rPr>
        <w:t xml:space="preserve">The prototype signs transactions with a backend-held testnet key; integrating browser wallets such as MetaMask would let users sign with their own keys and would exercise realistic approval flows.</w:t>
      </w:r>
    </w:p>
    <w:p>
      <w:pPr>
        <w:pStyle w:val="ListParagraph"/>
        <w:numPr>
          <w:ilvl w:val="0"/>
          <w:numId w:val="2"/>
        </w:numPr>
        <w:spacing w:after="60" w:line="360"/>
      </w:pPr>
      <w:r>
        <w:rPr>
          <w:rFonts w:ascii="Times New Roman" w:cs="Times New Roman" w:eastAsia="Times New Roman" w:hAnsi="Times New Roman"/>
          <w:b/>
          <w:bCs/>
          <w:sz w:val="24"/>
          <w:szCs w:val="24"/>
        </w:rPr>
        <w:t xml:space="preserve">Dataset scale. </w:t>
      </w:r>
      <w:r>
        <w:rPr>
          <w:rFonts w:ascii="Times New Roman" w:cs="Times New Roman" w:eastAsia="Times New Roman" w:hAnsi="Times New Roman"/>
          <w:sz w:val="24"/>
          <w:szCs w:val="24"/>
        </w:rPr>
        <w:t xml:space="preserve">Evaluation used a nine-scenario engineered dataset plus testnet activity; ingesting large-scale historical data from public APIs (OpenSea, Etherscan) would allow the thresholds to be validated against real-world base rates.</w:t>
      </w:r>
    </w:p>
    <w:p>
      <w:pPr>
        <w:pStyle w:val="ListParagraph"/>
        <w:numPr>
          <w:ilvl w:val="0"/>
          <w:numId w:val="2"/>
        </w:numPr>
        <w:spacing w:after="60" w:line="360"/>
      </w:pPr>
      <w:r>
        <w:rPr>
          <w:rFonts w:ascii="Times New Roman" w:cs="Times New Roman" w:eastAsia="Times New Roman" w:hAnsi="Times New Roman"/>
          <w:b/>
          <w:bCs/>
          <w:sz w:val="24"/>
          <w:szCs w:val="24"/>
        </w:rPr>
        <w:t xml:space="preserve">Single collection and chain. </w:t>
      </w:r>
      <w:r>
        <w:rPr>
          <w:rFonts w:ascii="Times New Roman" w:cs="Times New Roman" w:eastAsia="Times New Roman" w:hAnsi="Times New Roman"/>
          <w:sz w:val="24"/>
          <w:szCs w:val="24"/>
        </w:rPr>
        <w:t xml:space="preserve">Cross-collection duplicate detection and multi-chain support (for example Polygon) would broaden coverage; the pHash registry design already permits this.</w:t>
      </w:r>
    </w:p>
    <w:p>
      <w:pPr>
        <w:pStyle w:val="ListParagraph"/>
        <w:numPr>
          <w:ilvl w:val="0"/>
          <w:numId w:val="2"/>
        </w:numPr>
        <w:spacing w:after="60" w:line="360"/>
      </w:pPr>
      <w:r>
        <w:rPr>
          <w:rFonts w:ascii="Times New Roman" w:cs="Times New Roman" w:eastAsia="Times New Roman" w:hAnsi="Times New Roman"/>
          <w:b/>
          <w:bCs/>
          <w:sz w:val="24"/>
          <w:szCs w:val="24"/>
        </w:rPr>
        <w:t xml:space="preserve">IPFS pinning. </w:t>
      </w:r>
      <w:r>
        <w:rPr>
          <w:rFonts w:ascii="Times New Roman" w:cs="Times New Roman" w:eastAsia="Times New Roman" w:hAnsi="Times New Roman"/>
          <w:sz w:val="24"/>
          <w:szCs w:val="24"/>
        </w:rPr>
        <w:t xml:space="preserve">Metadata verification currently reads through a public gateway; production use should pin metadata via the Pinata API at mint time so availability is guaranteed.</w:t>
      </w:r>
    </w:p>
    <w:p>
      <w:pPr>
        <w:pStyle w:val="ListParagraph"/>
        <w:numPr>
          <w:ilvl w:val="0"/>
          <w:numId w:val="2"/>
        </w:numPr>
        <w:spacing w:after="60" w:line="360"/>
      </w:pPr>
      <w:r>
        <w:rPr>
          <w:rFonts w:ascii="Times New Roman" w:cs="Times New Roman" w:eastAsia="Times New Roman" w:hAnsi="Times New Roman"/>
          <w:b/>
          <w:bCs/>
          <w:sz w:val="24"/>
          <w:szCs w:val="24"/>
        </w:rPr>
        <w:t xml:space="preserve">Stolen-asset intelligence. </w:t>
      </w:r>
      <w:r>
        <w:rPr>
          <w:rFonts w:ascii="Times New Roman" w:cs="Times New Roman" w:eastAsia="Times New Roman" w:hAnsi="Times New Roman"/>
          <w:sz w:val="24"/>
          <w:szCs w:val="24"/>
        </w:rPr>
        <w:t xml:space="preserve">Integrating external stolen-NFT registries would extend Layer 3 from duplicates to known-stolen assets.</w:t>
      </w:r>
    </w:p>
    <w:p>
      <w:pPr>
        <w:pStyle w:val="Heading2"/>
        <w:spacing w:after="160" w:before="260"/>
      </w:pPr>
      <w:r>
        <w:rPr>
          <w:rFonts w:ascii="Times New Roman" w:cs="Times New Roman" w:eastAsia="Times New Roman" w:hAnsi="Times New Roman"/>
          <w:b/>
          <w:bCs/>
          <w:color w:val="000000"/>
          <w:sz w:val="28"/>
          <w:szCs w:val="28"/>
        </w:rPr>
        <w:t xml:space="preserve">7.5  Issues and Solutions</w:t>
      </w:r>
    </w:p>
    <w:p>
      <w:pPr>
        <w:spacing w:after="120" w:line="360"/>
        <w:jc w:val="both"/>
      </w:pPr>
      <w:r>
        <w:rPr>
          <w:rFonts w:ascii="Times New Roman" w:cs="Times New Roman" w:eastAsia="Times New Roman" w:hAnsi="Times New Roman"/>
          <w:sz w:val="24"/>
          <w:szCs w:val="24"/>
        </w:rPr>
        <w:t xml:space="preserve">The most instructive problems encountered during development, and how they were resolved:</w:t>
      </w:r>
    </w:p>
    <w:p>
      <w:pPr>
        <w:pStyle w:val="ListParagraph"/>
        <w:numPr>
          <w:ilvl w:val="0"/>
          <w:numId w:val="5"/>
        </w:numPr>
        <w:spacing w:after="60" w:line="360"/>
      </w:pPr>
      <w:r>
        <w:rPr>
          <w:rFonts w:ascii="Times New Roman" w:cs="Times New Roman" w:eastAsia="Times New Roman" w:hAnsi="Times New Roman"/>
          <w:b/>
          <w:bCs/>
          <w:sz w:val="24"/>
          <w:szCs w:val="24"/>
        </w:rPr>
        <w:t xml:space="preserve">Abnormal-frequency baseline was not like-for-like. </w:t>
      </w:r>
      <w:r>
        <w:rPr>
          <w:rFonts w:ascii="Times New Roman" w:cs="Times New Roman" w:eastAsia="Times New Roman" w:hAnsi="Times New Roman"/>
          <w:sz w:val="24"/>
          <w:szCs w:val="24"/>
        </w:rPr>
        <w:t xml:space="preserve">The first implementation compared a token's densest 60-minute burst against the collection's lifetime average transaction count, so genuine bursts were never statistically abnormal. The rule was redesigned to compare against the mean of every other token's own densest window — the same quantity on both sides — after which the engineered burst scenario triggered correctly (test case F2).</w:t>
      </w:r>
    </w:p>
    <w:p>
      <w:pPr>
        <w:pStyle w:val="ListParagraph"/>
        <w:numPr>
          <w:ilvl w:val="0"/>
          <w:numId w:val="5"/>
        </w:numPr>
        <w:spacing w:after="60" w:line="360"/>
      </w:pPr>
      <w:r>
        <w:rPr>
          <w:rFonts w:ascii="Times New Roman" w:cs="Times New Roman" w:eastAsia="Times New Roman" w:hAnsi="Times New Roman"/>
          <w:b/>
          <w:bCs/>
          <w:sz w:val="24"/>
          <w:szCs w:val="24"/>
        </w:rPr>
        <w:t xml:space="preserve">Risk calibration made severe threats look mild. </w:t>
      </w:r>
      <w:r>
        <w:rPr>
          <w:rFonts w:ascii="Times New Roman" w:cs="Times New Roman" w:eastAsia="Times New Roman" w:hAnsi="Times New Roman"/>
          <w:sz w:val="24"/>
          <w:szCs w:val="24"/>
        </w:rPr>
        <w:t xml:space="preserve">With uniform penalties, a fully wash-traded token scored only 27/100 because fraud is capped at a 0.35 weight. Penalties were recalibrated by severity — tampering 80, non-compliance 70, duplication 50, loop 45 — reflecting that counterfeit assets are the most damaging failure mode; after calibration the scenario ranking became monotonically sensible (single-rule ≈ Low, wash trading / tampering ≈ Medium, combined scam = High).</w:t>
      </w:r>
    </w:p>
    <w:p>
      <w:pPr>
        <w:pStyle w:val="ListParagraph"/>
        <w:numPr>
          <w:ilvl w:val="0"/>
          <w:numId w:val="5"/>
        </w:numPr>
        <w:spacing w:after="60" w:line="360"/>
      </w:pPr>
      <w:r>
        <w:rPr>
          <w:rFonts w:ascii="Times New Roman" w:cs="Times New Roman" w:eastAsia="Times New Roman" w:hAnsi="Times New Roman"/>
          <w:b/>
          <w:bCs/>
          <w:sz w:val="24"/>
          <w:szCs w:val="24"/>
        </w:rPr>
        <w:t xml:space="preserve">Z-score masking between test scenarios. </w:t>
      </w:r>
      <w:r>
        <w:rPr>
          <w:rFonts w:ascii="Times New Roman" w:cs="Times New Roman" w:eastAsia="Times New Roman" w:hAnsi="Times New Roman"/>
          <w:sz w:val="24"/>
          <w:szCs w:val="24"/>
        </w:rPr>
        <w:t xml:space="preserve">An extreme price engineered for one scenario inflated the collection's standard deviation and silently un-flagged the anomalies of two other scenarios. The dataset was retuned so each scenario exercises its mechanism without polluting the shared statistics — a useful reminder that Z-score detectors are sensitive to contamination of the reference distribution.</w:t>
      </w:r>
    </w:p>
    <w:p>
      <w:pPr>
        <w:pStyle w:val="ListParagraph"/>
        <w:numPr>
          <w:ilvl w:val="0"/>
          <w:numId w:val="5"/>
        </w:numPr>
        <w:spacing w:after="60" w:line="360"/>
      </w:pPr>
      <w:r>
        <w:rPr>
          <w:rFonts w:ascii="Times New Roman" w:cs="Times New Roman" w:eastAsia="Times New Roman" w:hAnsi="Times New Roman"/>
          <w:b/>
          <w:bCs/>
          <w:sz w:val="24"/>
          <w:szCs w:val="24"/>
        </w:rPr>
        <w:t xml:space="preserve">OpenZeppelin v5 breaking changes. </w:t>
      </w:r>
      <w:r>
        <w:rPr>
          <w:rFonts w:ascii="Times New Roman" w:cs="Times New Roman" w:eastAsia="Times New Roman" w:hAnsi="Times New Roman"/>
          <w:sz w:val="24"/>
          <w:szCs w:val="24"/>
        </w:rPr>
        <w:t xml:space="preserve">Version 5 changed the Ownable constructor to require an explicit initial owner and reworked internal hooks; the contract was written against the v5 API directly and compile-verified with solc 0.8.26 before deployment.</w:t>
      </w:r>
    </w:p>
    <w:p>
      <w:pPr>
        <w:pStyle w:val="ListParagraph"/>
        <w:numPr>
          <w:ilvl w:val="0"/>
          <w:numId w:val="5"/>
        </w:numPr>
        <w:spacing w:after="60" w:line="360"/>
      </w:pPr>
      <w:r>
        <w:rPr>
          <w:rFonts w:ascii="Times New Roman" w:cs="Times New Roman" w:eastAsia="Times New Roman" w:hAnsi="Times New Roman"/>
          <w:b/>
          <w:bCs/>
          <w:sz w:val="24"/>
          <w:szCs w:val="24"/>
        </w:rPr>
        <w:t xml:space="preserve">Demonstration resilience. </w:t>
      </w:r>
      <w:r>
        <w:rPr>
          <w:rFonts w:ascii="Times New Roman" w:cs="Times New Roman" w:eastAsia="Times New Roman" w:hAnsi="Times New Roman"/>
          <w:sz w:val="24"/>
          <w:szCs w:val="24"/>
        </w:rPr>
        <w:t xml:space="preserve">Depending on a live backend and testnet for every demonstration was a schedule risk. The dual-mode design was extended to the frontend: the dashboard re-implements the identical analytics client-side with the same thresholds, so all five modules remain fully operable offline, and results match the backend exactly.</w:t>
      </w:r>
    </w:p>
    <w:p>
      <w:pPr>
        <w:pStyle w:val="ListParagraph"/>
        <w:numPr>
          <w:ilvl w:val="0"/>
          <w:numId w:val="5"/>
        </w:numPr>
        <w:spacing w:after="60" w:line="360"/>
      </w:pPr>
      <w:r>
        <w:rPr>
          <w:rFonts w:ascii="Times New Roman" w:cs="Times New Roman" w:eastAsia="Times New Roman" w:hAnsi="Times New Roman"/>
          <w:b/>
          <w:bCs/>
          <w:sz w:val="24"/>
          <w:szCs w:val="24"/>
        </w:rPr>
        <w:t xml:space="preserve">Key and secret hygiene. </w:t>
      </w:r>
      <w:r>
        <w:rPr>
          <w:rFonts w:ascii="Times New Roman" w:cs="Times New Roman" w:eastAsia="Times New Roman" w:hAnsi="Times New Roman"/>
          <w:sz w:val="24"/>
          <w:szCs w:val="24"/>
        </w:rPr>
        <w:t xml:space="preserve">An early version risked leaking the RPC key through logs; all secrets were consolidated into a git-ignored .env with a documented .env.example, and a rule was adopted that no endpoint or log line may include key material.</w:t>
      </w:r>
    </w:p>
    <w:p>
      <w:pPr>
        <w:spacing w:after="120" w:line="360"/>
        <w:jc w:val="both"/>
      </w:pPr>
      <w:r>
        <w:rPr>
          <w:rFonts w:ascii="Times New Roman" w:cs="Times New Roman" w:eastAsia="Times New Roman" w:hAnsi="Times New Roman"/>
          <w:sz w:val="24"/>
          <w:szCs w:val="24"/>
        </w:rPr>
        <w:t xml:space="preserve">Beyond the technical lessons, the project reinforced two broader ones: deterministic, configuration-driven analytics dramatically simplify testing, because every expected value can be written down in advance (Table 5.2); and calibration is as important as detection — a system that finds fraud but ranks it poorly still misleads its users.</w:t>
      </w:r>
    </w:p>
    <w:p>
      <w:pPr>
        <w:sectPr>
          <w:headerReference w:type="default" r:id="rId11"/>
          <w:footerReference w:type="default" r:id="rId12"/>
          <w:pgSz w:w="11906" w:h="16838" w:orient="portrait"/>
          <w:pgMar w:top="1440" w:right="1440" w:bottom="1440" w:left="1440" w:header="708" w:footer="708" w:gutter="0"/>
          <w:pgNumType/>
          <w:docGrid w:linePitch="360"/>
        </w:sectPr>
      </w:pPr>
    </w:p>
    <w:p>
      <w:r>
        <w:br w:type="page"/>
      </w:r>
    </w:p>
    <w:p>
      <w:pPr>
        <w:pStyle w:val="Heading1"/>
        <w:spacing w:after="200" w:before="240"/>
      </w:pPr>
      <w:r>
        <w:rPr>
          <w:rFonts w:ascii="Times New Roman" w:cs="Times New Roman" w:eastAsia="Times New Roman" w:hAnsi="Times New Roman"/>
          <w:b/>
          <w:bCs/>
          <w:color w:val="000000"/>
          <w:sz w:val="32"/>
          <w:szCs w:val="32"/>
        </w:rPr>
        <w:t xml:space="preserve">References (additional entries for Chapters 5–7)</w:t>
      </w:r>
    </w:p>
    <w:p>
      <w:pPr>
        <w:spacing w:after="120" w:line="360"/>
        <w:jc w:val="both"/>
      </w:pPr>
      <w:r>
        <w:rPr>
          <w:rFonts w:ascii="Times New Roman" w:cs="Times New Roman" w:eastAsia="Times New Roman" w:hAnsi="Times New Roman"/>
          <w:sz w:val="24"/>
          <w:szCs w:val="24"/>
        </w:rPr>
        <w:t xml:space="preserve">The following tool and documentation references supplement the reference list of Chapter 4 and should be merged into the final alphabetised list.</w:t>
      </w:r>
    </w:p>
    <w:p>
      <w:pPr>
        <w:pStyle w:val="ListParagraph"/>
        <w:numPr>
          <w:ilvl w:val="0"/>
          <w:numId w:val="2"/>
        </w:numPr>
        <w:spacing w:after="60" w:line="360"/>
      </w:pPr>
      <w:r>
        <w:rPr>
          <w:rFonts w:ascii="Times New Roman" w:cs="Times New Roman" w:eastAsia="Times New Roman" w:hAnsi="Times New Roman"/>
          <w:sz w:val="24"/>
          <w:szCs w:val="24"/>
        </w:rPr>
        <w:t xml:space="preserve">Chart.js contributors. (2024). Chart.js documentation (v4). [Accessed 3 July 2026] https://www.chartjs.org/docs/</w:t>
      </w:r>
    </w:p>
    <w:p>
      <w:pPr>
        <w:pStyle w:val="ListParagraph"/>
        <w:numPr>
          <w:ilvl w:val="0"/>
          <w:numId w:val="2"/>
        </w:numPr>
        <w:spacing w:after="60" w:line="360"/>
      </w:pPr>
      <w:r>
        <w:rPr>
          <w:rFonts w:ascii="Times New Roman" w:cs="Times New Roman" w:eastAsia="Times New Roman" w:hAnsi="Times New Roman"/>
          <w:sz w:val="24"/>
          <w:szCs w:val="24"/>
        </w:rPr>
        <w:t xml:space="preserve">Ethers.js. (2024). Ethers v6 documentation. [Accessed 3 July 2026] https://docs.ethers.org/v6/</w:t>
      </w:r>
    </w:p>
    <w:p>
      <w:pPr>
        <w:pStyle w:val="ListParagraph"/>
        <w:numPr>
          <w:ilvl w:val="0"/>
          <w:numId w:val="2"/>
        </w:numPr>
        <w:spacing w:after="60" w:line="360"/>
      </w:pPr>
      <w:r>
        <w:rPr>
          <w:rFonts w:ascii="Times New Roman" w:cs="Times New Roman" w:eastAsia="Times New Roman" w:hAnsi="Times New Roman"/>
          <w:sz w:val="24"/>
          <w:szCs w:val="24"/>
        </w:rPr>
        <w:t xml:space="preserve">Express.js. (2024). Express 4.x API reference. OpenJS Foundation. [Accessed 3 July 2026] https://expressjs.com/</w:t>
      </w:r>
    </w:p>
    <w:p>
      <w:pPr>
        <w:pStyle w:val="ListParagraph"/>
        <w:numPr>
          <w:ilvl w:val="0"/>
          <w:numId w:val="2"/>
        </w:numPr>
        <w:spacing w:after="60" w:line="360"/>
      </w:pPr>
      <w:r>
        <w:rPr>
          <w:rFonts w:ascii="Times New Roman" w:cs="Times New Roman" w:eastAsia="Times New Roman" w:hAnsi="Times New Roman"/>
          <w:sz w:val="24"/>
          <w:szCs w:val="24"/>
        </w:rPr>
        <w:t xml:space="preserve">Hardhat. (2024). Hardhat documentation: Deploying to a live network. Nomic Foundation. [Accessed 3 July 2026] https://hardhat.org/docs</w:t>
      </w:r>
    </w:p>
    <w:p>
      <w:pPr>
        <w:pStyle w:val="ListParagraph"/>
        <w:numPr>
          <w:ilvl w:val="0"/>
          <w:numId w:val="2"/>
        </w:numPr>
        <w:spacing w:after="60" w:line="360"/>
      </w:pPr>
      <w:r>
        <w:rPr>
          <w:rFonts w:ascii="Times New Roman" w:cs="Times New Roman" w:eastAsia="Times New Roman" w:hAnsi="Times New Roman"/>
          <w:sz w:val="24"/>
          <w:szCs w:val="24"/>
        </w:rPr>
        <w:t xml:space="preserve">Jimp contributors. (2024). Jimp: JavaScript image manipulation program — image hashing. [Accessed 3 July 2026] https://github.com/jimp-dev/jimp</w:t>
      </w:r>
    </w:p>
    <w:p>
      <w:pPr>
        <w:pStyle w:val="ListParagraph"/>
        <w:numPr>
          <w:ilvl w:val="0"/>
          <w:numId w:val="2"/>
        </w:numPr>
        <w:spacing w:after="60" w:line="360"/>
      </w:pPr>
      <w:r>
        <w:rPr>
          <w:rFonts w:ascii="Times New Roman" w:cs="Times New Roman" w:eastAsia="Times New Roman" w:hAnsi="Times New Roman"/>
          <w:sz w:val="24"/>
          <w:szCs w:val="24"/>
        </w:rPr>
        <w:t xml:space="preserve">MongoDB Inc. (2024). MongoDB manual. [Accessed 3 July 2026] https://www.mongodb.com/docs/manual/</w:t>
      </w:r>
    </w:p>
    <w:p>
      <w:pPr>
        <w:pStyle w:val="ListParagraph"/>
        <w:numPr>
          <w:ilvl w:val="0"/>
          <w:numId w:val="2"/>
        </w:numPr>
        <w:spacing w:after="60" w:line="360"/>
      </w:pPr>
      <w:r>
        <w:rPr>
          <w:rFonts w:ascii="Times New Roman" w:cs="Times New Roman" w:eastAsia="Times New Roman" w:hAnsi="Times New Roman"/>
          <w:sz w:val="24"/>
          <w:szCs w:val="24"/>
        </w:rPr>
        <w:t xml:space="preserve">OpenZeppelin. (2024). OpenZeppelin Contracts 5.x documentation: ERC721, Ownable, ReentrancyGuard. [Accessed 3 July 2026] https://docs.openzeppelin.com/contracts/5.x/</w:t>
      </w:r>
    </w:p>
    <w:p>
      <w:pPr>
        <w:pStyle w:val="ListParagraph"/>
        <w:numPr>
          <w:ilvl w:val="0"/>
          <w:numId w:val="2"/>
        </w:numPr>
        <w:spacing w:after="60" w:line="360"/>
      </w:pPr>
      <w:r>
        <w:rPr>
          <w:rFonts w:ascii="Times New Roman" w:cs="Times New Roman" w:eastAsia="Times New Roman" w:hAnsi="Times New Roman"/>
          <w:sz w:val="24"/>
          <w:szCs w:val="24"/>
        </w:rPr>
        <w:t xml:space="preserve">Pinata. (2024). Pinata documentation: IPFS gateways. [Accessed 3 July 2026] https://docs.pinata.cloud/</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240" w:before="240"/>
      </w:pPr>
      <w:r>
        <w:rPr>
          <w:rFonts w:ascii="Times New Roman" w:cs="Times New Roman" w:eastAsia="Times New Roman" w:hAnsi="Times New Roman"/>
          <w:b/>
          <w:bCs/>
          <w:sz w:val="32"/>
          <w:szCs w:val="32"/>
        </w:rPr>
        <w:t xml:space="preserve">Appendix A — User Guide</w:t>
      </w:r>
    </w:p>
    <w:p>
      <w:pPr>
        <w:pStyle w:val="Heading2"/>
        <w:spacing w:after="160" w:before="260"/>
      </w:pPr>
      <w:r>
        <w:rPr>
          <w:rFonts w:ascii="Times New Roman" w:cs="Times New Roman" w:eastAsia="Times New Roman" w:hAnsi="Times New Roman"/>
          <w:b/>
          <w:bCs/>
          <w:color w:val="000000"/>
          <w:sz w:val="28"/>
          <w:szCs w:val="28"/>
        </w:rPr>
        <w:t xml:space="preserve">A.1  System Document</w:t>
      </w:r>
    </w:p>
    <w:p>
      <w:pPr>
        <w:pStyle w:val="Heading3"/>
        <w:spacing w:after="120" w:before="200"/>
      </w:pPr>
      <w:r>
        <w:rPr>
          <w:rFonts w:ascii="Times New Roman" w:cs="Times New Roman" w:eastAsia="Times New Roman" w:hAnsi="Times New Roman"/>
          <w:b/>
          <w:bCs/>
          <w:color w:val="000000"/>
          <w:sz w:val="24"/>
          <w:szCs w:val="24"/>
        </w:rPr>
        <w:t xml:space="preserve">A.1.1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Component</w:t>
            </w:r>
          </w:p>
        </w:tc>
        <w:tc>
          <w:tcPr>
            <w:tcW w:type="dxa" w:w="64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Minimum Requirement</w:t>
            </w:r>
          </w:p>
        </w:tc>
      </w:tr>
      <w:tr>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Server hardware</w:t>
            </w:r>
          </w:p>
        </w:tc>
        <w:tc>
          <w:tcPr>
            <w:tcW w:type="dxa" w:w="6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Intel Core i5 or equivalent, 8 GB RAM, 256 GB SSD</w:t>
            </w:r>
          </w:p>
        </w:tc>
      </w:tr>
      <w:tr>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Operating system</w:t>
            </w:r>
          </w:p>
        </w:tc>
        <w:tc>
          <w:tcPr>
            <w:tcW w:type="dxa" w:w="6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Windows 11 or macOS (Linux also supported)</w:t>
            </w:r>
          </w:p>
        </w:tc>
      </w:tr>
      <w:tr>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Runtime</w:t>
            </w:r>
          </w:p>
        </w:tc>
        <w:tc>
          <w:tcPr>
            <w:tcW w:type="dxa" w:w="6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Node.js 18 or later, npm 9 or later</w:t>
            </w:r>
          </w:p>
        </w:tc>
      </w:tr>
      <w:tr>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Database</w:t>
            </w:r>
          </w:p>
        </w:tc>
        <w:tc>
          <w:tcPr>
            <w:tcW w:type="dxa" w:w="6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 6+ (local mongod) or a free MongoDB Atlas cluster</w:t>
            </w:r>
          </w:p>
        </w:tc>
      </w:tr>
      <w:tr>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Blockchain access</w:t>
            </w:r>
          </w:p>
        </w:tc>
        <w:tc>
          <w:tcPr>
            <w:tcW w:type="dxa" w:w="6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Free Alchemy or Infura account (Sepolia RPC URL); MetaMask testnet wallet funded from a Sepolia faucet</w:t>
            </w:r>
          </w:p>
        </w:tc>
      </w:tr>
      <w:tr>
        <w:tc>
          <w:tcPr>
            <w:tcW w:type="dxa" w:w="2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Client</w:t>
            </w:r>
          </w:p>
        </w:tc>
        <w:tc>
          <w:tcPr>
            <w:tcW w:type="dxa" w:w="6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Any modern browser (Chrome, Edge, Firefox); no installation required</w:t>
            </w:r>
          </w:p>
        </w:tc>
      </w:tr>
    </w:tbl>
    <w:p>
      <w:pPr>
        <w:spacing w:after="240" w:before="120"/>
        <w:jc w:val="center"/>
      </w:pPr>
      <w:r>
        <w:rPr>
          <w:rFonts w:ascii="Times New Roman" w:cs="Times New Roman" w:eastAsia="Times New Roman" w:hAnsi="Times New Roman"/>
          <w:i/>
          <w:iCs/>
          <w:sz w:val="22"/>
          <w:szCs w:val="22"/>
        </w:rPr>
        <w:t xml:space="preserve">Table A.1: Hardware and software requirements</w:t>
      </w:r>
    </w:p>
    <w:p>
      <w:pPr>
        <w:pStyle w:val="Heading3"/>
        <w:spacing w:after="120" w:before="200"/>
      </w:pPr>
      <w:r>
        <w:rPr>
          <w:rFonts w:ascii="Times New Roman" w:cs="Times New Roman" w:eastAsia="Times New Roman" w:hAnsi="Times New Roman"/>
          <w:b/>
          <w:bCs/>
          <w:color w:val="000000"/>
          <w:sz w:val="24"/>
          <w:szCs w:val="24"/>
        </w:rPr>
        <w:t xml:space="preserve">A.1.2  Installation</w:t>
      </w:r>
    </w:p>
    <w:p>
      <w:pPr>
        <w:pStyle w:val="ListParagraph"/>
        <w:numPr>
          <w:ilvl w:val="0"/>
          <w:numId w:val="6"/>
        </w:numPr>
        <w:spacing w:after="60" w:line="360"/>
      </w:pPr>
      <w:r>
        <w:rPr>
          <w:rFonts w:ascii="Times New Roman" w:cs="Times New Roman" w:eastAsia="Times New Roman" w:hAnsi="Times New Roman"/>
          <w:sz w:val="24"/>
          <w:szCs w:val="24"/>
        </w:rPr>
        <w:t xml:space="preserve">Extract the project archive (or </w:t>
      </w:r>
      <w:r>
        <w:rPr>
          <w:rFonts w:ascii="Courier New" w:cs="Courier New" w:eastAsia="Courier New" w:hAnsi="Courier New"/>
          <w:sz w:val="20"/>
          <w:szCs w:val="20"/>
        </w:rPr>
        <w:t xml:space="preserve">git clone</w:t>
      </w:r>
      <w:r>
        <w:rPr>
          <w:rFonts w:ascii="Times New Roman" w:cs="Times New Roman" w:eastAsia="Times New Roman" w:hAnsi="Times New Roman"/>
          <w:sz w:val="24"/>
          <w:szCs w:val="24"/>
        </w:rPr>
        <w:t xml:space="preserve"> the repository) to the server.</w:t>
      </w:r>
    </w:p>
    <w:p>
      <w:pPr>
        <w:pStyle w:val="ListParagraph"/>
        <w:numPr>
          <w:ilvl w:val="0"/>
          <w:numId w:val="6"/>
        </w:numPr>
        <w:spacing w:after="60" w:line="360"/>
      </w:pPr>
      <w:r>
        <w:rPr>
          <w:rFonts w:ascii="Times New Roman" w:cs="Times New Roman" w:eastAsia="Times New Roman" w:hAnsi="Times New Roman"/>
          <w:sz w:val="24"/>
          <w:szCs w:val="24"/>
        </w:rPr>
        <w:t xml:space="preserve">Run </w:t>
      </w:r>
      <w:r>
        <w:rPr>
          <w:rFonts w:ascii="Courier New" w:cs="Courier New" w:eastAsia="Courier New" w:hAnsi="Courier New"/>
          <w:sz w:val="20"/>
          <w:szCs w:val="20"/>
        </w:rPr>
        <w:t xml:space="preserve">npm install</w:t>
      </w:r>
      <w:r>
        <w:rPr>
          <w:rFonts w:ascii="Times New Roman" w:cs="Times New Roman" w:eastAsia="Times New Roman" w:hAnsi="Times New Roman"/>
          <w:sz w:val="24"/>
          <w:szCs w:val="24"/>
        </w:rPr>
        <w:t xml:space="preserve"> in the project root, then again inside </w:t>
      </w:r>
      <w:r>
        <w:rPr>
          <w:rFonts w:ascii="Courier New" w:cs="Courier New" w:eastAsia="Courier New" w:hAnsi="Courier New"/>
          <w:sz w:val="20"/>
          <w:szCs w:val="20"/>
        </w:rPr>
        <w:t xml:space="preserve">backend/</w:t>
      </w:r>
      <w:r>
        <w:rPr>
          <w:rFonts w:ascii="Times New Roman" w:cs="Times New Roman" w:eastAsia="Times New Roman" w:hAnsi="Times New Roman"/>
          <w:sz w:val="24"/>
          <w:szCs w:val="24"/>
        </w:rPr>
        <w:t xml:space="preserve">.</w:t>
      </w:r>
    </w:p>
    <w:p>
      <w:pPr>
        <w:pStyle w:val="ListParagraph"/>
        <w:numPr>
          <w:ilvl w:val="0"/>
          <w:numId w:val="6"/>
        </w:numPr>
        <w:spacing w:after="60" w:line="360"/>
      </w:pPr>
      <w:r>
        <w:rPr>
          <w:rFonts w:ascii="Times New Roman" w:cs="Times New Roman" w:eastAsia="Times New Roman" w:hAnsi="Times New Roman"/>
          <w:sz w:val="24"/>
          <w:szCs w:val="24"/>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sz w:val="24"/>
          <w:szCs w:val="24"/>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sz w:val="24"/>
          <w:szCs w:val="24"/>
        </w:rPr>
        <w:t xml:space="preserve"> in both the root and </w:t>
      </w:r>
      <w:r>
        <w:rPr>
          <w:rFonts w:ascii="Courier New" w:cs="Courier New" w:eastAsia="Courier New" w:hAnsi="Courier New"/>
          <w:sz w:val="20"/>
          <w:szCs w:val="20"/>
        </w:rPr>
        <w:t xml:space="preserve">backend/</w:t>
      </w:r>
      <w:r>
        <w:rPr>
          <w:rFonts w:ascii="Times New Roman" w:cs="Times New Roman" w:eastAsia="Times New Roman" w:hAnsi="Times New Roman"/>
          <w:sz w:val="24"/>
          <w:szCs w:val="24"/>
        </w:rPr>
        <w:t xml:space="preserve">, and fill in SEPOLIA_RPC_URL, PRIVATE_KEY and MONGODB_URI (Table 5.1 explains each variable).</w:t>
      </w:r>
    </w:p>
    <w:p>
      <w:pPr>
        <w:pStyle w:val="ListParagraph"/>
        <w:numPr>
          <w:ilvl w:val="0"/>
          <w:numId w:val="6"/>
        </w:numPr>
        <w:spacing w:after="60" w:line="360"/>
      </w:pPr>
      <w:r>
        <w:rPr>
          <w:rFonts w:ascii="Times New Roman" w:cs="Times New Roman" w:eastAsia="Times New Roman" w:hAnsi="Times New Roman"/>
          <w:sz w:val="24"/>
          <w:szCs w:val="24"/>
        </w:rPr>
        <w:t xml:space="preserve">Deploy the smart contract: </w:t>
      </w:r>
      <w:r>
        <w:rPr>
          <w:rFonts w:ascii="Courier New" w:cs="Courier New" w:eastAsia="Courier New" w:hAnsi="Courier New"/>
          <w:sz w:val="20"/>
          <w:szCs w:val="20"/>
        </w:rPr>
        <w:t xml:space="preserve">npm run deploy:sepolia</w:t>
      </w:r>
      <w:r>
        <w:rPr>
          <w:rFonts w:ascii="Times New Roman" w:cs="Times New Roman" w:eastAsia="Times New Roman" w:hAnsi="Times New Roman"/>
          <w:sz w:val="24"/>
          <w:szCs w:val="24"/>
        </w:rPr>
        <w:t xml:space="preserve">; copy the printed address into CONTRACT_ADDRESS in both .env files.</w:t>
      </w:r>
    </w:p>
    <w:p>
      <w:pPr>
        <w:pStyle w:val="ListParagraph"/>
        <w:numPr>
          <w:ilvl w:val="0"/>
          <w:numId w:val="6"/>
        </w:numPr>
        <w:spacing w:after="60" w:line="360"/>
      </w:pPr>
      <w:r>
        <w:rPr>
          <w:rFonts w:ascii="Times New Roman" w:cs="Times New Roman" w:eastAsia="Times New Roman" w:hAnsi="Times New Roman"/>
          <w:sz w:val="24"/>
          <w:szCs w:val="24"/>
        </w:rPr>
        <w:t xml:space="preserve">Load the demonstration data: </w:t>
      </w:r>
      <w:r>
        <w:rPr>
          <w:rFonts w:ascii="Courier New" w:cs="Courier New" w:eastAsia="Courier New" w:hAnsi="Courier New"/>
          <w:sz w:val="20"/>
          <w:szCs w:val="20"/>
        </w:rPr>
        <w:t xml:space="preserve">cd backend &amp;&amp; npm run seed</w:t>
      </w:r>
      <w:r>
        <w:rPr>
          <w:rFonts w:ascii="Times New Roman" w:cs="Times New Roman" w:eastAsia="Times New Roman" w:hAnsi="Times New Roman"/>
          <w:sz w:val="24"/>
          <w:szCs w:val="24"/>
        </w:rPr>
        <w:t xml:space="preserve">.</w:t>
      </w:r>
    </w:p>
    <w:p>
      <w:pPr>
        <w:pStyle w:val="ListParagraph"/>
        <w:numPr>
          <w:ilvl w:val="0"/>
          <w:numId w:val="6"/>
        </w:numPr>
        <w:spacing w:after="60" w:line="360"/>
      </w:pPr>
      <w:r>
        <w:rPr>
          <w:rFonts w:ascii="Times New Roman" w:cs="Times New Roman" w:eastAsia="Times New Roman" w:hAnsi="Times New Roman"/>
          <w:sz w:val="24"/>
          <w:szCs w:val="24"/>
        </w:rPr>
        <w:t xml:space="preserve">Start the system: </w:t>
      </w:r>
      <w:r>
        <w:rPr>
          <w:rFonts w:ascii="Courier New" w:cs="Courier New" w:eastAsia="Courier New" w:hAnsi="Courier New"/>
          <w:sz w:val="20"/>
          <w:szCs w:val="20"/>
        </w:rPr>
        <w:t xml:space="preserve">npm start</w:t>
      </w:r>
      <w:r>
        <w:rPr>
          <w:rFonts w:ascii="Times New Roman" w:cs="Times New Roman" w:eastAsia="Times New Roman" w:hAnsi="Times New Roman"/>
          <w:sz w:val="24"/>
          <w:szCs w:val="24"/>
        </w:rPr>
        <w:t xml:space="preserve">. The dashboard is available at </w:t>
      </w:r>
      <w:r>
        <w:rPr>
          <w:rFonts w:ascii="Courier New" w:cs="Courier New" w:eastAsia="Courier New" w:hAnsi="Courier New"/>
          <w:sz w:val="20"/>
          <w:szCs w:val="20"/>
        </w:rPr>
        <w:t xml:space="preserve">http://localhost:5000</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If no blockchain configuration is supplied, the system starts in </w:t>
      </w:r>
      <w:r>
        <w:rPr>
          <w:rFonts w:ascii="Times New Roman" w:cs="Times New Roman" w:eastAsia="Times New Roman" w:hAnsi="Times New Roman"/>
          <w:b/>
          <w:bCs/>
          <w:sz w:val="24"/>
          <w:szCs w:val="24"/>
        </w:rPr>
        <w:t xml:space="preserve">simulated mode</w:t>
      </w:r>
      <w:r>
        <w:rPr>
          <w:rFonts w:ascii="Times New Roman" w:cs="Times New Roman" w:eastAsia="Times New Roman" w:hAnsi="Times New Roman"/>
          <w:sz w:val="24"/>
          <w:szCs w:val="24"/>
        </w:rPr>
        <w:t xml:space="preserve"> automatically — every feature remains usable, and transaction hashes are generated locally instead of on Sepolia.</w:t>
      </w:r>
    </w:p>
    <w:p>
      <w:pPr>
        <w:pStyle w:val="Heading2"/>
        <w:spacing w:after="160" w:before="260"/>
      </w:pPr>
      <w:r>
        <w:rPr>
          <w:rFonts w:ascii="Times New Roman" w:cs="Times New Roman" w:eastAsia="Times New Roman" w:hAnsi="Times New Roman"/>
          <w:b/>
          <w:bCs/>
          <w:color w:val="000000"/>
          <w:sz w:val="28"/>
          <w:szCs w:val="28"/>
        </w:rPr>
        <w:t xml:space="preserve">A.2  Operation Document</w:t>
      </w:r>
    </w:p>
    <w:p>
      <w:pPr>
        <w:pStyle w:val="Heading3"/>
        <w:spacing w:after="120" w:before="200"/>
      </w:pPr>
      <w:r>
        <w:rPr>
          <w:rFonts w:ascii="Times New Roman" w:cs="Times New Roman" w:eastAsia="Times New Roman" w:hAnsi="Times New Roman"/>
          <w:b/>
          <w:bCs/>
          <w:color w:val="000000"/>
          <w:sz w:val="24"/>
          <w:szCs w:val="24"/>
        </w:rPr>
        <w:t xml:space="preserve">A.2.1  Test Accounts</w:t>
      </w:r>
    </w:p>
    <w:p>
      <w:pPr>
        <w:spacing w:after="120" w:line="360"/>
        <w:jc w:val="both"/>
      </w:pPr>
      <w:r>
        <w:rPr>
          <w:rFonts w:ascii="Times New Roman" w:cs="Times New Roman" w:eastAsia="Times New Roman" w:hAnsi="Times New Roman"/>
          <w:sz w:val="24"/>
          <w:szCs w:val="24"/>
        </w:rPr>
        <w:t xml:space="preserve">The system uses simulated testnet wallets rather than username/password login. Clicking Connect wallet in the dashboard creates a fresh simulated wallet with a 10 ETH test balance. The seeded dataset additionally contains the following fixed demonstration wallets, which appear throughout the transaction histories: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Role</w:t>
            </w:r>
          </w:p>
        </w:tc>
        <w:tc>
          <w:tcPr>
            <w:tcW w:type="dxa" w:w="28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Wallet address (seeded)</w:t>
            </w:r>
          </w:p>
        </w:tc>
        <w:tc>
          <w:tcPr>
            <w:tcW w:type="dxa" w:w="38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Purpose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Collector A (“Alice”)</w:t>
            </w:r>
          </w:p>
        </w:tc>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0xA11CE0…0001</w:t>
            </w:r>
          </w:p>
        </w:tc>
        <w:tc>
          <w:tcPr>
            <w:tcW w:type="dxa" w:w="38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Organic buyer/seller in clean scenarios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Collector B (“Bob”)</w:t>
            </w:r>
          </w:p>
        </w:tc>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0xB0B0…0002</w:t>
            </w:r>
          </w:p>
        </w:tc>
        <w:tc>
          <w:tcPr>
            <w:tcW w:type="dxa" w:w="38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Organic buyer/seller</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Wash trader 1</w:t>
            </w:r>
          </w:p>
        </w:tc>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0x3A5B…1111</w:t>
            </w:r>
          </w:p>
        </w:tc>
        <w:tc>
          <w:tcPr>
            <w:tcW w:type="dxa" w:w="38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One side of the buyer–seller loop (tokens #3, #9)</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Wash trader 2</w:t>
            </w:r>
          </w:p>
        </w:tc>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0x3A5B…2222</w:t>
            </w:r>
          </w:p>
        </w:tc>
        <w:tc>
          <w:tcPr>
            <w:tcW w:type="dxa" w:w="38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Other side of the loop; self-transfer on token #9</w:t>
            </w:r>
          </w:p>
        </w:tc>
      </w:tr>
    </w:tbl>
    <w:p>
      <w:pPr>
        <w:spacing w:after="240" w:before="120"/>
        <w:jc w:val="center"/>
      </w:pPr>
      <w:r>
        <w:rPr>
          <w:rFonts w:ascii="Times New Roman" w:cs="Times New Roman" w:eastAsia="Times New Roman" w:hAnsi="Times New Roman"/>
          <w:i/>
          <w:iCs/>
          <w:sz w:val="22"/>
          <w:szCs w:val="22"/>
        </w:rPr>
        <w:t xml:space="preserve">Table A.2: Seeded demonstration wallets</w:t>
      </w:r>
    </w:p>
    <w:p>
      <w:pPr>
        <w:pStyle w:val="Heading3"/>
        <w:spacing w:after="120" w:before="200"/>
      </w:pPr>
      <w:r>
        <w:rPr>
          <w:rFonts w:ascii="Times New Roman" w:cs="Times New Roman" w:eastAsia="Times New Roman" w:hAnsi="Times New Roman"/>
          <w:b/>
          <w:bCs/>
          <w:color w:val="000000"/>
          <w:sz w:val="24"/>
          <w:szCs w:val="24"/>
        </w:rPr>
        <w:t xml:space="preserve">A.2.2  Landing Page and Marketplace</w:t>
      </w:r>
    </w:p>
    <w:p>
      <w:pPr>
        <w:spacing w:after="120" w:line="360"/>
        <w:jc w:val="both"/>
      </w:pPr>
      <w:r>
        <w:rPr>
          <w:rFonts w:ascii="Times New Roman" w:cs="Times New Roman" w:eastAsia="Times New Roman" w:hAnsi="Times New Roman"/>
          <w:sz w:val="24"/>
          <w:szCs w:val="24"/>
        </w:rPr>
        <w:t xml:space="preserve">Open http://localhost:5000. The landing page shows the animated particle hero, live statistics, and the marketplace grid. Each NFT card carries three indicators: the authenticity badge (top-left), the risk ring showing the unified 0–100 score (top-right), and the colour-coded risk level (green = Low, amber = Medium, red = High). Use the search box and the two dropdown filters to narrow the grid by name, risk level or authenticity status. Clicking any card opens the detail view with the risk breakdown, authenticity checks, fraud flags and price history. The Buy button completes a purchase with the connected wallet; Re-run verification executes the full pipeline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index.html marketplace section ]</w:t>
            </w:r>
          </w:p>
        </w:tc>
      </w:tr>
    </w:tbl>
    <w:p>
      <w:pPr>
        <w:spacing w:after="240" w:before="120"/>
        <w:jc w:val="center"/>
      </w:pPr>
      <w:r>
        <w:rPr>
          <w:rFonts w:ascii="Times New Roman" w:cs="Times New Roman" w:eastAsia="Times New Roman" w:hAnsi="Times New Roman"/>
          <w:i/>
          <w:iCs/>
          <w:sz w:val="22"/>
          <w:szCs w:val="22"/>
        </w:rPr>
        <w:t xml:space="preserve">Figure A.1: Marketplace grid with risk rings and authenticity badges</w:t>
      </w:r>
    </w:p>
    <w:p>
      <w:pPr>
        <w:pStyle w:val="Heading3"/>
        <w:spacing w:after="120" w:before="200"/>
      </w:pPr>
      <w:r>
        <w:rPr>
          <w:rFonts w:ascii="Times New Roman" w:cs="Times New Roman" w:eastAsia="Times New Roman" w:hAnsi="Times New Roman"/>
          <w:b/>
          <w:bCs/>
          <w:color w:val="000000"/>
          <w:sz w:val="24"/>
          <w:szCs w:val="24"/>
        </w:rPr>
        <w:t xml:space="preserve">A.2.3  Dashboard — Overview</w:t>
      </w:r>
    </w:p>
    <w:p>
      <w:pPr>
        <w:spacing w:after="120" w:line="360"/>
        <w:jc w:val="both"/>
      </w:pPr>
      <w:r>
        <w:rPr>
          <w:rFonts w:ascii="Times New Roman" w:cs="Times New Roman" w:eastAsia="Times New Roman" w:hAnsi="Times New Roman"/>
          <w:sz w:val="24"/>
          <w:szCs w:val="24"/>
        </w:rPr>
        <w:t xml:space="preserve">Open the Dashboard from the navigation bar (or /dashboard.html). The Overview shows six KPI cards, the risk-level distribution, the ranked score chart and the watchlist. When any NFT scores 70 or above, a red high-risk alert banner appears at the top listing the token and its triggered rules; clicking an alert jumps to that token in the Risk Analytics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dashboard.html Overview view ]</w:t>
            </w:r>
          </w:p>
        </w:tc>
      </w:tr>
    </w:tbl>
    <w:p>
      <w:pPr>
        <w:spacing w:after="240" w:before="120"/>
        <w:jc w:val="center"/>
      </w:pPr>
      <w:r>
        <w:rPr>
          <w:rFonts w:ascii="Times New Roman" w:cs="Times New Roman" w:eastAsia="Times New Roman" w:hAnsi="Times New Roman"/>
          <w:i/>
          <w:iCs/>
          <w:sz w:val="22"/>
          <w:szCs w:val="22"/>
        </w:rPr>
        <w:t xml:space="preserve">Figure A.2: Dashboard Overview with the high-risk alert for token #9</w:t>
      </w:r>
    </w:p>
    <w:p>
      <w:pPr>
        <w:pStyle w:val="Heading3"/>
        <w:spacing w:after="120" w:before="200"/>
      </w:pPr>
      <w:r>
        <w:rPr>
          <w:rFonts w:ascii="Times New Roman" w:cs="Times New Roman" w:eastAsia="Times New Roman" w:hAnsi="Times New Roman"/>
          <w:b/>
          <w:bCs/>
          <w:color w:val="000000"/>
          <w:sz w:val="24"/>
          <w:szCs w:val="24"/>
        </w:rPr>
        <w:t xml:space="preserve">A.2.4  Module 1 — Authenticity Verification</w:t>
      </w:r>
    </w:p>
    <w:p>
      <w:pPr>
        <w:spacing w:after="120" w:line="360"/>
        <w:jc w:val="both"/>
      </w:pPr>
      <w:r>
        <w:rPr>
          <w:rFonts w:ascii="Times New Roman" w:cs="Times New Roman" w:eastAsia="Times New Roman" w:hAnsi="Times New Roman"/>
          <w:sz w:val="24"/>
          <w:szCs w:val="24"/>
        </w:rPr>
        <w:t xml:space="preserve">Select a token and click Run verification. The three pipeline layers execute in sequence with a live status: Layer 1 (ERC-165 contract compliance), Layer 2 (SHA-256 metadata integrity against the on-chain anchor) and Layer 3 (pHash duplicate check). Each layer shows its evidence line, and the final verdict banner states the authenticity status and its contribution to the unified score. Try token #1 for a full pass, #6 for a tampering failure and #7 for a duplicate detection.</w:t>
      </w:r>
    </w:p>
    <w:p>
      <w:pPr>
        <w:pStyle w:val="Heading3"/>
        <w:spacing w:after="120" w:before="200"/>
      </w:pPr>
      <w:r>
        <w:rPr>
          <w:rFonts w:ascii="Times New Roman" w:cs="Times New Roman" w:eastAsia="Times New Roman" w:hAnsi="Times New Roman"/>
          <w:b/>
          <w:bCs/>
          <w:color w:val="000000"/>
          <w:sz w:val="24"/>
          <w:szCs w:val="24"/>
        </w:rPr>
        <w:t xml:space="preserve">A.2.5  Module 2 — Transaction Simulation</w:t>
      </w:r>
    </w:p>
    <w:p>
      <w:pPr>
        <w:spacing w:after="120" w:line="360"/>
        <w:jc w:val="both"/>
      </w:pPr>
      <w:r>
        <w:rPr>
          <w:rFonts w:ascii="Times New Roman" w:cs="Times New Roman" w:eastAsia="Times New Roman" w:hAnsi="Times New Roman"/>
          <w:sz w:val="24"/>
          <w:szCs w:val="24"/>
        </w:rPr>
        <w:t xml:space="preserve">Connect a wallet, then: mint with the form on the left (the metadata hash is anchored at mint time); list any token you own by entering a price and clicking List; buy any listed token with the Buy button; and inspect the complete, filterable transaction history at the bottom. In on-chain mode every action returns a real Sepolia transaction hash that can be checked on Etherscan; in simulated mode a locally-generated hash is shown instead.</w:t>
      </w:r>
    </w:p>
    <w:p>
      <w:pPr>
        <w:pStyle w:val="Heading3"/>
        <w:spacing w:after="120" w:before="200"/>
      </w:pPr>
      <w:r>
        <w:rPr>
          <w:rFonts w:ascii="Times New Roman" w:cs="Times New Roman" w:eastAsia="Times New Roman" w:hAnsi="Times New Roman"/>
          <w:b/>
          <w:bCs/>
          <w:color w:val="000000"/>
          <w:sz w:val="24"/>
          <w:szCs w:val="24"/>
        </w:rPr>
        <w:t xml:space="preserve">A.2.6  Module 3 — Price Transparency</w:t>
      </w:r>
    </w:p>
    <w:p>
      <w:pPr>
        <w:spacing w:after="120" w:line="360"/>
        <w:jc w:val="both"/>
      </w:pPr>
      <w:r>
        <w:rPr>
          <w:rFonts w:ascii="Times New Roman" w:cs="Times New Roman" w:eastAsia="Times New Roman" w:hAnsi="Times New Roman"/>
          <w:sz w:val="24"/>
          <w:szCs w:val="24"/>
        </w:rPr>
        <w:t xml:space="preserve">The statistics cards show the collection mean, median, standard deviation, minimum, maximum and sample size. Select a token to draw its price history; red points mark sales whose |Z| exceeds 2.5, and the anomaly table lists every such sale with its exact Z-score. Token #8 (Moon Spike) demonstrates a clear anomaly.</w:t>
      </w:r>
    </w:p>
    <w:p>
      <w:pPr>
        <w:pStyle w:val="Heading3"/>
        <w:spacing w:after="120" w:before="200"/>
      </w:pPr>
      <w:r>
        <w:rPr>
          <w:rFonts w:ascii="Times New Roman" w:cs="Times New Roman" w:eastAsia="Times New Roman" w:hAnsi="Times New Roman"/>
          <w:b/>
          <w:bCs/>
          <w:color w:val="000000"/>
          <w:sz w:val="24"/>
          <w:szCs w:val="24"/>
        </w:rPr>
        <w:t xml:space="preserve">A.2.7  Module 4 — Fraud Detection</w:t>
      </w:r>
    </w:p>
    <w:p>
      <w:pPr>
        <w:spacing w:after="120" w:line="360"/>
        <w:jc w:val="both"/>
      </w:pPr>
      <w:r>
        <w:rPr>
          <w:rFonts w:ascii="Times New Roman" w:cs="Times New Roman" w:eastAsia="Times New Roman" w:hAnsi="Times New Roman"/>
          <w:sz w:val="24"/>
          <w:szCs w:val="24"/>
        </w:rPr>
        <w:t xml:space="preserve">Select a token and click Run fraud analysis. The four rule cards evaluate in sequence and settle on TRIGGERED (red, with evidence and penalty) or CLEAN. The fraud risk formula line shows exactly how the triggered penalties sum. Recommended demonstrations: token #3 triggers Rules 1 and 4; token #4 triggers Rule 3; token #5 triggers Rule 2; token #9 triggers Rules 1, 3 and 4 simultaneously.</w:t>
      </w:r>
    </w:p>
    <w:p>
      <w:pPr>
        <w:pStyle w:val="Heading3"/>
        <w:spacing w:after="120" w:before="200"/>
      </w:pPr>
      <w:r>
        <w:rPr>
          <w:rFonts w:ascii="Times New Roman" w:cs="Times New Roman" w:eastAsia="Times New Roman" w:hAnsi="Times New Roman"/>
          <w:b/>
          <w:bCs/>
          <w:color w:val="000000"/>
          <w:sz w:val="24"/>
          <w:szCs w:val="24"/>
        </w:rPr>
        <w:t xml:space="preserve">A.2.8  Module 5 — Risk Analytics</w:t>
      </w:r>
    </w:p>
    <w:p>
      <w:pPr>
        <w:spacing w:after="120" w:line="360"/>
        <w:jc w:val="both"/>
      </w:pPr>
      <w:r>
        <w:rPr>
          <w:rFonts w:ascii="Times New Roman" w:cs="Times New Roman" w:eastAsia="Times New Roman" w:hAnsi="Times New Roman"/>
          <w:sz w:val="24"/>
          <w:szCs w:val="24"/>
        </w:rPr>
        <w:t xml:space="preserve">Select a token to see its gauge, level label, and the three weighted indicator bars with the full formula (for example 0.40×100 + 0.35×100 + 0.25×0 = 75). Recompute re-runs the entire pipeline (verification, fraud analysis and price analysis) before rescoring. The stacked chart at the bottom decomposes every token's score in the collection, making it easy to explain why each NFT received its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500"/>
              <w:left w:type="dxa" w:w="200"/>
              <w:bottom w:type="dxa" w:w="500"/>
              <w:right w:type="dxa" w:w="200"/>
            </w:tcMar>
          </w:tcPr>
          <w:p>
            <w:pPr>
              <w:jc w:val="center"/>
            </w:pPr>
            <w:r>
              <w:rPr>
                <w:rFonts w:ascii="Times New Roman" w:cs="Times New Roman" w:eastAsia="Times New Roman" w:hAnsi="Times New Roman"/>
                <w:i/>
                <w:iCs/>
                <w:color w:val="7F7F7F"/>
                <w:sz w:val="22"/>
                <w:szCs w:val="22"/>
              </w:rPr>
              <w:t xml:space="preserve">[ Insert screenshot here: Risk Analytics view, token #9 selected ]</w:t>
            </w:r>
          </w:p>
        </w:tc>
      </w:tr>
    </w:tbl>
    <w:p>
      <w:pPr>
        <w:spacing w:after="240" w:before="120"/>
        <w:jc w:val="center"/>
      </w:pPr>
      <w:r>
        <w:rPr>
          <w:rFonts w:ascii="Times New Roman" w:cs="Times New Roman" w:eastAsia="Times New Roman" w:hAnsi="Times New Roman"/>
          <w:i/>
          <w:iCs/>
          <w:sz w:val="22"/>
          <w:szCs w:val="22"/>
        </w:rPr>
        <w:t xml:space="preserve">Figure A.3: Module 5 gauge and weighted breakdown for token #9</w:t>
      </w:r>
    </w:p>
    <w:p>
      <w:r>
        <w:br w:type="page"/>
      </w:r>
    </w:p>
    <w:p>
      <w:pPr>
        <w:pStyle w:val="Heading1"/>
        <w:spacing w:after="240" w:before="240"/>
      </w:pPr>
      <w:r>
        <w:rPr>
          <w:rFonts w:ascii="Times New Roman" w:cs="Times New Roman" w:eastAsia="Times New Roman" w:hAnsi="Times New Roman"/>
          <w:b/>
          <w:bCs/>
          <w:sz w:val="32"/>
          <w:szCs w:val="32"/>
        </w:rPr>
        <w:t xml:space="preserve">Appendix B — Developer Guide</w:t>
      </w:r>
    </w:p>
    <w:p>
      <w:pPr>
        <w:pStyle w:val="Heading2"/>
        <w:spacing w:after="160" w:before="260"/>
      </w:pPr>
      <w:r>
        <w:rPr>
          <w:rFonts w:ascii="Times New Roman" w:cs="Times New Roman" w:eastAsia="Times New Roman" w:hAnsi="Times New Roman"/>
          <w:b/>
          <w:bCs/>
          <w:color w:val="000000"/>
          <w:sz w:val="28"/>
          <w:szCs w:val="28"/>
        </w:rPr>
        <w:t xml:space="preserve">B.1  Required Software, APIs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Category</w:t>
            </w:r>
          </w:p>
        </w:tc>
        <w:tc>
          <w:tcPr>
            <w:tcW w:type="dxa" w:w="36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Item</w:t>
            </w:r>
          </w:p>
        </w:tc>
        <w:tc>
          <w:tcPr>
            <w:tcW w:type="dxa" w:w="36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Version / Source</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Runtime</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Node.js + npm</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18+ / nodejs.org</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Smart contract</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Solidity, Hardhat, @openzeppelin/contracts</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0.8.24 / 2.22 / 5.0.2 (npm)</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Blockchain library</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ethers.js</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v6 (npm)</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Backend</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express, mongoose, cors, morgan, dotenv, axios</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npm (see backend/package.json)</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Image hashing</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jimp (perceptual hash)</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0.22 (npm)</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Database</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 / MongoDB Atlas</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6+</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External APIs</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Alchemy or Infura (Sepolia JSON-RPC); Pinata (IPFS gateway); Sepolia Etherscan (verification)</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free tiers</w:t>
            </w:r>
          </w:p>
        </w:tc>
      </w:tr>
      <w:tr>
        <w:tc>
          <w:tcPr>
            <w:tcW w:type="dxa" w:w="18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Frontend</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Chart.js CDN, Google Fonts, Three.js (particle hero)</w:t>
            </w:r>
          </w:p>
        </w:tc>
        <w:tc>
          <w:tcPr>
            <w:tcW w:type="dxa" w:w="36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4.4 / — / 0.157</w:t>
            </w:r>
          </w:p>
        </w:tc>
      </w:tr>
    </w:tbl>
    <w:p>
      <w:pPr>
        <w:spacing w:after="240" w:before="120"/>
        <w:jc w:val="center"/>
      </w:pPr>
      <w:r>
        <w:rPr>
          <w:rFonts w:ascii="Times New Roman" w:cs="Times New Roman" w:eastAsia="Times New Roman" w:hAnsi="Times New Roman"/>
          <w:i/>
          <w:iCs/>
          <w:sz w:val="22"/>
          <w:szCs w:val="22"/>
        </w:rPr>
        <w:t xml:space="preserve">Table B.1: Software, installers, APIs and libraries</w:t>
      </w:r>
    </w:p>
    <w:p>
      <w:pPr>
        <w:pStyle w:val="Heading2"/>
        <w:spacing w:after="160" w:before="260"/>
      </w:pPr>
      <w:r>
        <w:rPr>
          <w:rFonts w:ascii="Times New Roman" w:cs="Times New Roman" w:eastAsia="Times New Roman" w:hAnsi="Times New Roman"/>
          <w:b/>
          <w:bCs/>
          <w:color w:val="000000"/>
          <w:sz w:val="28"/>
          <w:szCs w:val="28"/>
        </w:rPr>
        <w:t xml:space="preserve">B.2  Authentication and Secret Configuration</w:t>
      </w:r>
    </w:p>
    <w:p>
      <w:pPr>
        <w:spacing w:after="120" w:line="360"/>
        <w:jc w:val="both"/>
      </w:pPr>
      <w:r>
        <w:rPr>
          <w:rFonts w:ascii="Times New Roman" w:cs="Times New Roman" w:eastAsia="Times New Roman" w:hAnsi="Times New Roman"/>
          <w:sz w:val="24"/>
          <w:szCs w:val="24"/>
        </w:rPr>
        <w:t xml:space="preserve">All credentials live in the git-ignored .env files (root and backend/); no username/password accounts exist in the prototype. The security rules are: the PRIVATE_KEY must belong to a testnet-only wallet; secrets are never logged and never returned by any endpoint; and all blockchain writes pass exclusively through the backend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Variable</w:t>
            </w:r>
          </w:p>
        </w:tc>
        <w:tc>
          <w:tcPr>
            <w:tcW w:type="dxa" w:w="36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Where obtained</w:t>
            </w:r>
          </w:p>
        </w:tc>
        <w:tc>
          <w:tcPr>
            <w:tcW w:type="dxa" w:w="29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Used by</w:t>
            </w:r>
          </w:p>
        </w:tc>
      </w:tr>
      <w:tr>
        <w:tc>
          <w:tcPr>
            <w:tcW w:type="dxa" w:w="2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SEPOLIA_RPC_URL</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Alchemy/Infura dashboard → create app → Sepolia HTTPS URL</w:t>
            </w:r>
          </w:p>
        </w:tc>
        <w:tc>
          <w:tcPr>
            <w:tcW w:type="dxa" w:w="29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ethers.js provider (backend + deploy)</w:t>
            </w:r>
          </w:p>
        </w:tc>
      </w:tr>
      <w:tr>
        <w:tc>
          <w:tcPr>
            <w:tcW w:type="dxa" w:w="2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PRIVATE_KEY</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MetaMask → account details → export private key (testnet wallet only)</w:t>
            </w:r>
          </w:p>
        </w:tc>
        <w:tc>
          <w:tcPr>
            <w:tcW w:type="dxa" w:w="29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Transaction signing (deploy, mint, list, buy)</w:t>
            </w:r>
          </w:p>
        </w:tc>
      </w:tr>
      <w:tr>
        <w:tc>
          <w:tcPr>
            <w:tcW w:type="dxa" w:w="2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CONTRACT_ADDRESS</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Printed by scripts/deploy.js after deployment</w:t>
            </w:r>
          </w:p>
        </w:tc>
        <w:tc>
          <w:tcPr>
            <w:tcW w:type="dxa" w:w="29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Backend contract binding</w:t>
            </w:r>
          </w:p>
        </w:tc>
      </w:tr>
      <w:tr>
        <w:tc>
          <w:tcPr>
            <w:tcW w:type="dxa" w:w="2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ETHERSCAN_API_KEY</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etherscan.io → API keys (optional)</w:t>
            </w:r>
          </w:p>
        </w:tc>
        <w:tc>
          <w:tcPr>
            <w:tcW w:type="dxa" w:w="29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hardhat verify</w:t>
            </w:r>
          </w:p>
        </w:tc>
      </w:tr>
      <w:tr>
        <w:tc>
          <w:tcPr>
            <w:tcW w:type="dxa" w:w="2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PINATA_JWT / PINATA_GATEWAY</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pinata.cloud → API keys (optional)</w:t>
            </w:r>
          </w:p>
        </w:tc>
        <w:tc>
          <w:tcPr>
            <w:tcW w:type="dxa" w:w="29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IPFS metadata retrieval</w:t>
            </w:r>
          </w:p>
        </w:tc>
      </w:tr>
      <w:tr>
        <w:tc>
          <w:tcPr>
            <w:tcW w:type="dxa" w:w="2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MONGODB_URI</w:t>
            </w:r>
          </w:p>
        </w:tc>
        <w:tc>
          <w:tcPr>
            <w:tcW w:type="dxa" w:w="36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Local mongod or Atlas connection string</w:t>
            </w:r>
          </w:p>
        </w:tc>
        <w:tc>
          <w:tcPr>
            <w:tcW w:type="dxa" w:w="29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Mongoose connection</w:t>
            </w:r>
          </w:p>
        </w:tc>
      </w:tr>
    </w:tbl>
    <w:p>
      <w:pPr>
        <w:spacing w:after="240" w:before="120"/>
        <w:jc w:val="center"/>
      </w:pPr>
      <w:r>
        <w:rPr>
          <w:rFonts w:ascii="Times New Roman" w:cs="Times New Roman" w:eastAsia="Times New Roman" w:hAnsi="Times New Roman"/>
          <w:i/>
          <w:iCs/>
          <w:sz w:val="22"/>
          <w:szCs w:val="22"/>
        </w:rPr>
        <w:t xml:space="preserve">Table B.2: Authentication details and environment variables</w:t>
      </w:r>
    </w:p>
    <w:p>
      <w:pPr>
        <w:pStyle w:val="Heading2"/>
        <w:spacing w:after="160" w:before="260"/>
      </w:pPr>
      <w:r>
        <w:rPr>
          <w:rFonts w:ascii="Times New Roman" w:cs="Times New Roman" w:eastAsia="Times New Roman" w:hAnsi="Times New Roman"/>
          <w:b/>
          <w:bCs/>
          <w:color w:val="000000"/>
          <w:sz w:val="28"/>
          <w:szCs w:val="28"/>
        </w:rPr>
        <w:t xml:space="preserve">B.3  REST API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26"/>
      </w:tblGrid>
      <w:tr>
        <w:trPr>
          <w:tblHeader/>
        </w:trPr>
        <w:tc>
          <w:tcPr>
            <w:tcW w:type="dxa" w:w="11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Method</w:t>
            </w:r>
          </w:p>
        </w:tc>
        <w:tc>
          <w:tcPr>
            <w:tcW w:type="dxa" w:w="3500"/>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Endpoint</w:t>
            </w:r>
          </w:p>
        </w:tc>
        <w:tc>
          <w:tcPr>
            <w:tcW w:type="dxa" w:w="4426"/>
            <w:shd w:fill="D9E2F3"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Function (report FR)</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/api/health</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Server status and operating mode</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/api/stats</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Dashboard headline statistics</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/api/nfts?search=&amp;riskLevel=&amp;status=</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Browse and filter NFTs (FR 5.5)</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/api/nfts/:tokenId</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Full detail: risk, flags, transaction history</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/api/mint</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Mint — on-chain or simulated (FR 2.2)</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/api/list</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List for sale (FR 2.3)</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/api/buy</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Purchase (FR 2.4, 2.5)</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/api/transactions/:tokenId</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Transaction history (FR 2.6)</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/api/verify/:tokenId</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Three-layer authenticity pipeline (FR 1.1–1.5)</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POST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/api/fraud/:tokenId</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Four-rule fraud analysis (FR 4.1–4.5)</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/api/price/:collectionName</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Statistics and Z-score anomalies (FR 3.1–3.4)</w:t>
            </w:r>
          </w:p>
        </w:tc>
      </w:tr>
      <w:tr>
        <w:tc>
          <w:tcPr>
            <w:tcW w:type="dxa" w:w="11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GET</w:t>
            </w:r>
          </w:p>
        </w:tc>
        <w:tc>
          <w:tcPr>
            <w:tcW w:type="dxa" w:w="35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/api/risk/:tokenId</w:t>
            </w:r>
          </w:p>
        </w:tc>
        <w:tc>
          <w:tcPr>
            <w:tcW w:type="dxa" w:w="4426"/>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Unified risk score (FR 5.1–5.4)</w:t>
            </w:r>
          </w:p>
        </w:tc>
      </w:tr>
    </w:tbl>
    <w:p>
      <w:pPr>
        <w:spacing w:after="240" w:before="120"/>
        <w:jc w:val="center"/>
      </w:pPr>
      <w:r>
        <w:rPr>
          <w:rFonts w:ascii="Times New Roman" w:cs="Times New Roman" w:eastAsia="Times New Roman" w:hAnsi="Times New Roman"/>
          <w:i/>
          <w:iCs/>
          <w:sz w:val="22"/>
          <w:szCs w:val="22"/>
        </w:rPr>
        <w:t xml:space="preserve">Table B.3: REST API endpoints</w:t>
      </w:r>
    </w:p>
    <w:p>
      <w:pPr>
        <w:pStyle w:val="Heading2"/>
        <w:spacing w:after="160" w:before="260"/>
      </w:pPr>
      <w:r>
        <w:rPr>
          <w:rFonts w:ascii="Times New Roman" w:cs="Times New Roman" w:eastAsia="Times New Roman" w:hAnsi="Times New Roman"/>
          <w:b/>
          <w:bCs/>
          <w:color w:val="000000"/>
          <w:sz w:val="28"/>
          <w:szCs w:val="28"/>
        </w:rPr>
        <w:t xml:space="preserve">B.4  Tuning the Detection Engine</w:t>
      </w:r>
    </w:p>
    <w:p>
      <w:pPr>
        <w:spacing w:after="120" w:line="360"/>
        <w:jc w:val="both"/>
      </w:pPr>
      <w:r>
        <w:rPr>
          <w:rFonts w:ascii="Times New Roman" w:cs="Times New Roman" w:eastAsia="Times New Roman" w:hAnsi="Times New Roman"/>
          <w:sz w:val="24"/>
          <w:szCs w:val="24"/>
        </w:rPr>
        <w:t xml:space="preserve">Every threshold, penalty and weight is defined in backend/config/thresholds.json (Figure 5.9) and read at analysis time, so retuning requires only a server restart. The recommended workflow is: adjust one value, restart, re-run the relevant seeded test case from Section 5.9 and confirm the expected flip in behaviour (test cases C1 and C2 document two worked examples). Because the whole pipeline is deterministic, npm run seed always regenerates the reference results of Table 5.2 for comparison.</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tabs>
        <w:tab w:val="right" w:pos="9026"/>
      </w:tabs>
      <w:spacing w:before="120"/>
    </w:pPr>
    <w:r>
      <w:rPr>
        <w:rFonts w:ascii="Times New Roman" w:cs="Times New Roman" w:eastAsia="Times New Roman" w:hAnsi="Times New Roman"/>
        <w:sz w:val="20"/>
        <w:szCs w:val="20"/>
      </w:rPr>
      <w:t xml:space="preserve">BMCS3413 Project II</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tabs>
        <w:tab w:val="right" w:pos="9026"/>
      </w:tabs>
      <w:spacing w:before="120"/>
    </w:pPr>
    <w:r>
      <w:rPr>
        <w:rFonts w:ascii="Times New Roman" w:cs="Times New Roman" w:eastAsia="Times New Roman" w:hAnsi="Times New Roman"/>
        <w:sz w:val="20"/>
        <w:szCs w:val="20"/>
      </w:rPr>
      <w:t xml:space="preserve">BMCS3413 Project II</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tabs>
        <w:tab w:val="right" w:pos="9026"/>
      </w:tabs>
      <w:spacing w:before="120"/>
    </w:pPr>
    <w:r>
      <w:rPr>
        <w:rFonts w:ascii="Times New Roman" w:cs="Times New Roman" w:eastAsia="Times New Roman" w:hAnsi="Times New Roman"/>
        <w:sz w:val="20"/>
        <w:szCs w:val="20"/>
      </w:rPr>
      <w:t xml:space="preserve">BMCS3413 Project II</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tabs>
        <w:tab w:val="right" w:pos="9026"/>
      </w:tabs>
      <w:spacing w:before="120"/>
    </w:pPr>
    <w:r>
      <w:rPr>
        <w:rFonts w:ascii="Times New Roman" w:cs="Times New Roman" w:eastAsia="Times New Roman" w:hAnsi="Times New Roman"/>
        <w:sz w:val="20"/>
        <w:szCs w:val="20"/>
      </w:rPr>
      <w:t xml:space="preserve">BMCS3413 Project II</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tabs>
        <w:tab w:val="right" w:pos="9026"/>
      </w:tabs>
      <w:spacing w:before="120"/>
    </w:pPr>
    <w:r>
      <w:rPr>
        <w:rFonts w:ascii="Times New Roman" w:cs="Times New Roman" w:eastAsia="Times New Roman" w:hAnsi="Times New Roman"/>
        <w:sz w:val="20"/>
        <w:szCs w:val="20"/>
      </w:rPr>
      <w:t xml:space="preserve">BMCS3413 Project II</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9026"/>
      </w:tabs>
      <w:spacing w:after="120"/>
    </w:pPr>
    <w:r>
      <w:rPr>
        <w:rFonts w:ascii="Times New Roman" w:cs="Times New Roman" w:eastAsia="Times New Roman" w:hAnsi="Times New Roman"/>
        <w:sz w:val="20"/>
        <w:szCs w:val="20"/>
      </w:rPr>
      <w:t xml:space="preserve">NFTGuard : Data-Driven NFT Fraud Detection and Risk Analytics Dashboard</w:t>
    </w:r>
    <w:r>
      <w:rPr>
        <w:rFonts w:ascii="Times New Roman" w:cs="Times New Roman" w:eastAsia="Times New Roman" w:hAnsi="Times New Roman"/>
        <w:sz w:val="20"/>
        <w:szCs w:val="20"/>
      </w:rPr>
      <w:t xml:space="preserve">	Chapter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9026"/>
      </w:tabs>
      <w:spacing w:after="120"/>
    </w:pPr>
    <w:r>
      <w:rPr>
        <w:rFonts w:ascii="Times New Roman" w:cs="Times New Roman" w:eastAsia="Times New Roman" w:hAnsi="Times New Roman"/>
        <w:sz w:val="20"/>
        <w:szCs w:val="20"/>
      </w:rPr>
      <w:t xml:space="preserve">NFTGuard : Data-Driven NFT Fraud Detection and Risk Analytics Dashboard</w:t>
    </w:r>
    <w:r>
      <w:rPr>
        <w:rFonts w:ascii="Times New Roman" w:cs="Times New Roman" w:eastAsia="Times New Roman" w:hAnsi="Times New Roman"/>
        <w:sz w:val="20"/>
        <w:szCs w:val="20"/>
      </w:rPr>
      <w:t xml:space="preserve">	Chapter 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9026"/>
      </w:tabs>
      <w:spacing w:after="120"/>
    </w:pPr>
    <w:r>
      <w:rPr>
        <w:rFonts w:ascii="Times New Roman" w:cs="Times New Roman" w:eastAsia="Times New Roman" w:hAnsi="Times New Roman"/>
        <w:sz w:val="20"/>
        <w:szCs w:val="20"/>
      </w:rPr>
      <w:t xml:space="preserve">NFTGuard : Data-Driven NFT Fraud Detection and Risk Analytics Dashboard</w:t>
    </w:r>
    <w:r>
      <w:rPr>
        <w:rFonts w:ascii="Times New Roman" w:cs="Times New Roman" w:eastAsia="Times New Roman" w:hAnsi="Times New Roman"/>
        <w:sz w:val="20"/>
        <w:szCs w:val="20"/>
      </w:rPr>
      <w:t xml:space="preserve">	Chapter 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9026"/>
      </w:tabs>
      <w:spacing w:after="120"/>
    </w:pPr>
    <w:r>
      <w:rPr>
        <w:rFonts w:ascii="Times New Roman" w:cs="Times New Roman" w:eastAsia="Times New Roman" w:hAnsi="Times New Roman"/>
        <w:sz w:val="20"/>
        <w:szCs w:val="20"/>
      </w:rPr>
      <w:t xml:space="preserve">NFTGuard : Data-Driven NFT Fraud Detection and Risk Analytics Dashboard</w:t>
    </w:r>
    <w:r>
      <w:rPr>
        <w:rFonts w:ascii="Times New Roman" w:cs="Times New Roman" w:eastAsia="Times New Roman" w:hAnsi="Times New Roman"/>
        <w:sz w:val="20"/>
        <w:szCs w:val="20"/>
      </w:rPr>
      <w:t xml:space="preserve">	References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9026"/>
      </w:tabs>
      <w:spacing w:after="120"/>
    </w:pPr>
    <w:r>
      <w:rPr>
        <w:rFonts w:ascii="Times New Roman" w:cs="Times New Roman" w:eastAsia="Times New Roman" w:hAnsi="Times New Roman"/>
        <w:sz w:val="20"/>
        <w:szCs w:val="20"/>
      </w:rPr>
      <w:t xml:space="preserve">NFTGuard : Data-Driven NFT Fraud Detection and Risk Analytics Dashboard</w:t>
    </w:r>
    <w:r>
      <w:rPr>
        <w:rFonts w:ascii="Times New Roman" w:cs="Times New Roman" w:eastAsia="Times New Roman" w:hAnsi="Times New Roman"/>
        <w:sz w:val="20"/>
        <w:szCs w:val="20"/>
      </w:rPr>
      <w:t xml:space="preserve">	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20" w:hanging="320"/>
      </w:pPr>
    </w:lvl>
  </w:abstractNum>
  <w:abstractNum w:abstractNumId="3" w15:restartNumberingAfterBreak="0">
    <w:multiLevelType w:val="hybridMultilevel"/>
    <w:lvl w:ilvl="0" w15:tentative="1">
      <w:start w:val="1"/>
      <w:numFmt w:val="decimal"/>
      <w:lvlText w:val="%1."/>
      <w:lvlJc w:val="start"/>
      <w:pPr>
        <w:ind w:left="620" w:hanging="360"/>
      </w:pPr>
    </w:lvl>
  </w:abstractNum>
  <w:abstractNum w:abstractNumId="4" w15:restartNumberingAfterBreak="0">
    <w:multiLevelType w:val="hybridMultilevel"/>
    <w:lvl w:ilvl="0" w15:tentative="1">
      <w:start w:val="1"/>
      <w:numFmt w:val="decimal"/>
      <w:lvlText w:val="%1."/>
      <w:lvlJc w:val="start"/>
      <w:pPr>
        <w:ind w:left="620" w:hanging="360"/>
      </w:pPr>
    </w:lvl>
  </w:abstractNum>
  <w:abstractNum w:abstractNumId="5" w15:restartNumberingAfterBreak="0">
    <w:multiLevelType w:val="hybridMultilevel"/>
    <w:lvl w:ilvl="0" w15:tentative="1">
      <w:start w:val="1"/>
      <w:numFmt w:val="decimal"/>
      <w:lvlText w:val="%1."/>
      <w:lvlJc w:val="start"/>
      <w:pPr>
        <w:ind w:left="620" w:hanging="360"/>
      </w:pPr>
    </w:lvl>
  </w:abstractNum>
  <w:abstractNum w:abstractNumId="6" w15:restartNumberingAfterBreak="0">
    <w:multiLevelType w:val="hybridMultilevel"/>
    <w:lvl w:ilvl="0" w15:tentative="1">
      <w:start w:val="1"/>
      <w:numFmt w:val="decimal"/>
      <w:lvlText w:val="%1."/>
      <w:lvlJc w:val="star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2026-07-03T14:28:18.629Z</dcterms:created>
  <dcterms:modified xsi:type="dcterms:W3CDTF">2026-07-03T14:28:18.630Z</dcterms:modified>
</cp:coreProperties>
</file>

<file path=docProps/custom.xml><?xml version="1.0" encoding="utf-8"?>
<Properties xmlns="http://schemas.openxmlformats.org/officeDocument/2006/custom-properties" xmlns:vt="http://schemas.openxmlformats.org/officeDocument/2006/docPropsVTypes"/>
</file>