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Maintenance optimiser step-size results</w:t>
      </w:r>
    </w:p>
    <w:p>
      <w:r>
        <w:t>We recommend the wide-to-fine ladder (shifts of ±56, ±42, ±28, ±14, ±7, ±3 and ±1 days, searched in that order) with a 400-iteration limit as the shared setting for the three forecasts. Of the 13 shift strategies tested it had the best combined ranking, and it was the best tested setting on the moderate and wide stagger forecasts. The baseline ladder (±28, ±14, ±7, ±3, ±1) comes close: it reached the same minimum availability on all three forecasts (18, 19, 20 aircraft), but its daily availability varied slightly more, with a standard deviation higher by 0.0037 to 0.0233. Ladders that start below ±14, and the baseline searched fine step first, were clearly worse.</w:t>
      </w:r>
    </w:p>
    <w:p>
      <w:r>
        <w:t>This follow-up adds nine strategies to the four from the 20 October study so that the baseline and smaller step sizes can be compared directly. The baseline reflects the user's recollection of the setting used before the first study; it is not a recorded configuration and was not tested in that study. The wide-to-fine ladder was adopted after the first study.</w:t>
      </w:r>
    </w:p>
    <w:p>
      <w:pPr>
        <w:pStyle w:val="Heading1"/>
      </w:pPr>
      <w:r>
        <w:t>What we tested</w:t>
      </w:r>
    </w:p>
    <w:p>
      <w:r>
        <w:t>Each strategy is an ordered list of day shifts. In every search pass the optimiser tries the first set of shifts on the maintenance checks that sit in the lowest-availability periods, accepts the best improving move, and only moves to the next set when the current one finds no improvement. We ran 13 strategies at limits of 200, 400 and 800 iterations on three starting forecasts, giving 117 trials. Two strategies were still improving when they hit the 800 limit, so they were also run at 1600 iterations (6 more trials, 123 in total). The maintenance rules and selection policy were unchanged, and availability was measured from 21 January 2026 to 18 January 2038.</w:t>
      </w:r>
    </w:p>
    <w:p>
      <w:r>
        <w:t>Results were ranked by minimum available aircraft first, then lower standard deviation (SD, how much daily availability varies), then higher average availability. Exact quality ties favour the lower iteration limit and then the simpler strategy. Rerunning the four original strategies reproduced all 36 of 36 final schedules from the first study exactly (matching SHA256 fingerprints).</w:t>
      </w:r>
    </w:p>
    <w:p>
      <w:r>
        <w:rPr>
          <w:i/>
          <w:sz w:val="17"/>
        </w:rPr>
        <w:t>Table 1. Strategies and the shift steps they search, in order (days).</w:t>
      </w:r>
    </w:p>
    <w:tbl>
      <w:tblPr>
        <w:tblStyle w:val="TableGrid"/>
        <w:tblW w:type="auto" w:w="0"/>
        <w:jc w:val="center"/>
        <w:tblLayout w:type="fixed"/>
        <w:tblLook w:firstColumn="1" w:firstRow="1" w:lastColumn="0" w:lastRow="0" w:noHBand="0" w:noVBand="1" w:val="04A0"/>
      </w:tblPr>
      <w:tblGrid>
        <w:gridCol w:w="3175"/>
        <w:gridCol w:w="4309"/>
        <w:gridCol w:w="2154"/>
      </w:tblGrid>
      <w:tr>
        <w:tc>
          <w:tcPr>
            <w:tcW w:type="dxa" w:w="3175"/>
            <w:shd w:val="clear" w:color="auto" w:fill="E6E6E6"/>
          </w:tcPr>
          <w:p>
            <w:pPr>
              <w:spacing w:after="0" w:line="240" w:lineRule="auto"/>
            </w:pPr>
            <w:r>
              <w:rPr>
                <w:b/>
                <w:sz w:val="16"/>
              </w:rPr>
              <w:t>Strategy</w:t>
            </w:r>
          </w:p>
        </w:tc>
        <w:tc>
          <w:tcPr>
            <w:tcW w:type="dxa" w:w="4309"/>
            <w:shd w:val="clear" w:color="auto" w:fill="E6E6E6"/>
          </w:tcPr>
          <w:p>
            <w:pPr>
              <w:spacing w:after="0" w:line="240" w:lineRule="auto"/>
            </w:pPr>
            <w:r>
              <w:rPr>
                <w:b/>
                <w:sz w:val="16"/>
              </w:rPr>
              <w:t>Shift steps, in search order</w:t>
            </w:r>
          </w:p>
        </w:tc>
        <w:tc>
          <w:tcPr>
            <w:tcW w:type="dxa" w:w="2154"/>
            <w:shd w:val="clear" w:color="auto" w:fill="E6E6E6"/>
          </w:tcPr>
          <w:p>
            <w:pPr>
              <w:spacing w:after="0" w:line="240" w:lineRule="auto"/>
            </w:pPr>
            <w:r>
              <w:rPr>
                <w:b/>
                <w:sz w:val="16"/>
              </w:rPr>
              <w:t>Question</w:t>
            </w:r>
          </w:p>
        </w:tc>
      </w:tr>
      <w:tr>
        <w:tc>
          <w:tcPr>
            <w:tcW w:type="dxa" w:w="3175"/>
          </w:tcPr>
          <w:p>
            <w:pPr>
              <w:spacing w:after="0" w:line="240" w:lineRule="auto"/>
            </w:pPr>
            <w:r>
              <w:rPr>
                <w:b w:val="0"/>
                <w:sz w:val="16"/>
              </w:rPr>
              <w:t>Overlapping half-step sets</w:t>
            </w:r>
          </w:p>
        </w:tc>
        <w:tc>
          <w:tcPr>
            <w:tcW w:type="dxa" w:w="4309"/>
          </w:tcPr>
          <w:p>
            <w:pPr>
              <w:spacing w:after="0" w:line="240" w:lineRule="auto"/>
            </w:pPr>
            <w:r>
              <w:rPr>
                <w:b w:val="0"/>
                <w:sz w:val="16"/>
              </w:rPr>
              <w:t>(±28, ±14); (±14, ±7); (±7, ±3); (±3, ±1)</w:t>
            </w:r>
          </w:p>
        </w:tc>
        <w:tc>
          <w:tcPr>
            <w:tcW w:type="dxa" w:w="2154"/>
          </w:tcPr>
          <w:p>
            <w:pPr>
              <w:spacing w:after="0" w:line="240" w:lineRule="auto"/>
            </w:pPr>
            <w:r>
              <w:rPr>
                <w:b w:val="0"/>
                <w:sz w:val="16"/>
              </w:rPr>
              <w:t>First study</w:t>
            </w:r>
          </w:p>
        </w:tc>
      </w:tr>
      <w:tr>
        <w:tc>
          <w:tcPr>
            <w:tcW w:type="dxa" w:w="3175"/>
          </w:tcPr>
          <w:p>
            <w:pPr>
              <w:spacing w:after="0" w:line="240" w:lineRule="auto"/>
            </w:pPr>
            <w:r>
              <w:rPr>
                <w:b w:val="0"/>
                <w:sz w:val="16"/>
              </w:rPr>
              <w:t>Wide-to-fine ladder (±56 to ±1)</w:t>
            </w:r>
          </w:p>
        </w:tc>
        <w:tc>
          <w:tcPr>
            <w:tcW w:type="dxa" w:w="4309"/>
          </w:tcPr>
          <w:p>
            <w:pPr>
              <w:spacing w:after="0" w:line="240" w:lineRule="auto"/>
            </w:pPr>
            <w:r>
              <w:rPr>
                <w:b w:val="0"/>
                <w:sz w:val="16"/>
              </w:rPr>
              <w:t>±56; ±42; ±28; ±14; ±7; ±3; ±1</w:t>
            </w:r>
          </w:p>
        </w:tc>
        <w:tc>
          <w:tcPr>
            <w:tcW w:type="dxa" w:w="2154"/>
          </w:tcPr>
          <w:p>
            <w:pPr>
              <w:spacing w:after="0" w:line="240" w:lineRule="auto"/>
            </w:pPr>
            <w:r>
              <w:rPr>
                <w:b w:val="0"/>
                <w:sz w:val="16"/>
              </w:rPr>
              <w:t>First study; wide steps</w:t>
            </w:r>
          </w:p>
        </w:tc>
      </w:tr>
      <w:tr>
        <w:tc>
          <w:tcPr>
            <w:tcW w:type="dxa" w:w="3175"/>
          </w:tcPr>
          <w:p>
            <w:pPr>
              <w:spacing w:after="0" w:line="240" w:lineRule="auto"/>
            </w:pPr>
            <w:r>
              <w:rPr>
                <w:b w:val="0"/>
                <w:sz w:val="16"/>
              </w:rPr>
              <w:t>Dense paired ladder</w:t>
            </w:r>
          </w:p>
        </w:tc>
        <w:tc>
          <w:tcPr>
            <w:tcW w:type="dxa" w:w="4309"/>
          </w:tcPr>
          <w:p>
            <w:pPr>
              <w:spacing w:after="0" w:line="240" w:lineRule="auto"/>
            </w:pPr>
            <w:r>
              <w:rPr>
                <w:b w:val="0"/>
                <w:sz w:val="16"/>
              </w:rPr>
              <w:t>±28; ±21; ±14; ±7; ±3; ±1</w:t>
            </w:r>
          </w:p>
        </w:tc>
        <w:tc>
          <w:tcPr>
            <w:tcW w:type="dxa" w:w="2154"/>
          </w:tcPr>
          <w:p>
            <w:pPr>
              <w:spacing w:after="0" w:line="240" w:lineRule="auto"/>
            </w:pPr>
            <w:r>
              <w:rPr>
                <w:b w:val="0"/>
                <w:sz w:val="16"/>
              </w:rPr>
              <w:t>First study</w:t>
            </w:r>
          </w:p>
        </w:tc>
      </w:tr>
      <w:tr>
        <w:tc>
          <w:tcPr>
            <w:tcW w:type="dxa" w:w="3175"/>
          </w:tcPr>
          <w:p>
            <w:pPr>
              <w:spacing w:after="0" w:line="240" w:lineRule="auto"/>
            </w:pPr>
            <w:r>
              <w:rPr>
                <w:b w:val="0"/>
                <w:sz w:val="16"/>
              </w:rPr>
              <w:t>Overlapping half-step sets plus ±42</w:t>
            </w:r>
          </w:p>
        </w:tc>
        <w:tc>
          <w:tcPr>
            <w:tcW w:type="dxa" w:w="4309"/>
          </w:tcPr>
          <w:p>
            <w:pPr>
              <w:spacing w:after="0" w:line="240" w:lineRule="auto"/>
            </w:pPr>
            <w:r>
              <w:rPr>
                <w:b w:val="0"/>
                <w:sz w:val="16"/>
              </w:rPr>
              <w:t>±42; (±28, ±14); (±14, ±7); (±7, ±3); (±3, ±1)</w:t>
            </w:r>
          </w:p>
        </w:tc>
        <w:tc>
          <w:tcPr>
            <w:tcW w:type="dxa" w:w="2154"/>
          </w:tcPr>
          <w:p>
            <w:pPr>
              <w:spacing w:after="0" w:line="240" w:lineRule="auto"/>
            </w:pPr>
            <w:r>
              <w:rPr>
                <w:b w:val="0"/>
                <w:sz w:val="16"/>
              </w:rPr>
              <w:t>First study; wide step</w:t>
            </w:r>
          </w:p>
        </w:tc>
      </w:tr>
      <w:tr>
        <w:tc>
          <w:tcPr>
            <w:tcW w:type="dxa" w:w="3175"/>
          </w:tcPr>
          <w:p>
            <w:pPr>
              <w:spacing w:after="0" w:line="240" w:lineRule="auto"/>
            </w:pPr>
            <w:r>
              <w:rPr>
                <w:b w:val="0"/>
                <w:sz w:val="16"/>
              </w:rPr>
              <w:t>Baseline (±28, ±14, ±7, ±3, ±1)</w:t>
            </w:r>
          </w:p>
        </w:tc>
        <w:tc>
          <w:tcPr>
            <w:tcW w:type="dxa" w:w="4309"/>
          </w:tcPr>
          <w:p>
            <w:pPr>
              <w:spacing w:after="0" w:line="240" w:lineRule="auto"/>
            </w:pPr>
            <w:r>
              <w:rPr>
                <w:b w:val="0"/>
                <w:sz w:val="16"/>
              </w:rPr>
              <w:t>±28; ±14; ±7; ±3; ±1</w:t>
            </w:r>
          </w:p>
        </w:tc>
        <w:tc>
          <w:tcPr>
            <w:tcW w:type="dxa" w:w="2154"/>
          </w:tcPr>
          <w:p>
            <w:pPr>
              <w:spacing w:after="0" w:line="240" w:lineRule="auto"/>
            </w:pPr>
            <w:r>
              <w:rPr>
                <w:b w:val="0"/>
                <w:sz w:val="16"/>
              </w:rPr>
              <w:t>Baseline</w:t>
            </w:r>
          </w:p>
        </w:tc>
      </w:tr>
      <w:tr>
        <w:tc>
          <w:tcPr>
            <w:tcW w:type="dxa" w:w="3175"/>
          </w:tcPr>
          <w:p>
            <w:pPr>
              <w:spacing w:after="0" w:line="240" w:lineRule="auto"/>
            </w:pPr>
            <w:r>
              <w:rPr>
                <w:b w:val="0"/>
                <w:sz w:val="16"/>
              </w:rPr>
              <w:t>Pairs from ±14 (±14 to ±1)</w:t>
            </w:r>
          </w:p>
        </w:tc>
        <w:tc>
          <w:tcPr>
            <w:tcW w:type="dxa" w:w="4309"/>
          </w:tcPr>
          <w:p>
            <w:pPr>
              <w:spacing w:after="0" w:line="240" w:lineRule="auto"/>
            </w:pPr>
            <w:r>
              <w:rPr>
                <w:b w:val="0"/>
                <w:sz w:val="16"/>
              </w:rPr>
              <w:t>±14; ±7; ±3; ±1</w:t>
            </w:r>
          </w:p>
        </w:tc>
        <w:tc>
          <w:tcPr>
            <w:tcW w:type="dxa" w:w="2154"/>
          </w:tcPr>
          <w:p>
            <w:pPr>
              <w:spacing w:after="0" w:line="240" w:lineRule="auto"/>
            </w:pPr>
            <w:r>
              <w:rPr>
                <w:b w:val="0"/>
                <w:sz w:val="16"/>
              </w:rPr>
              <w:t>Smaller largest step</w:t>
            </w:r>
          </w:p>
        </w:tc>
      </w:tr>
      <w:tr>
        <w:tc>
          <w:tcPr>
            <w:tcW w:type="dxa" w:w="3175"/>
          </w:tcPr>
          <w:p>
            <w:pPr>
              <w:spacing w:after="0" w:line="240" w:lineRule="auto"/>
            </w:pPr>
            <w:r>
              <w:rPr>
                <w:b w:val="0"/>
                <w:sz w:val="16"/>
              </w:rPr>
              <w:t>Pairs from ±7 (±7 to ±1)</w:t>
            </w:r>
          </w:p>
        </w:tc>
        <w:tc>
          <w:tcPr>
            <w:tcW w:type="dxa" w:w="4309"/>
          </w:tcPr>
          <w:p>
            <w:pPr>
              <w:spacing w:after="0" w:line="240" w:lineRule="auto"/>
            </w:pPr>
            <w:r>
              <w:rPr>
                <w:b w:val="0"/>
                <w:sz w:val="16"/>
              </w:rPr>
              <w:t>±7; ±3; ±1</w:t>
            </w:r>
          </w:p>
        </w:tc>
        <w:tc>
          <w:tcPr>
            <w:tcW w:type="dxa" w:w="2154"/>
          </w:tcPr>
          <w:p>
            <w:pPr>
              <w:spacing w:after="0" w:line="240" w:lineRule="auto"/>
            </w:pPr>
            <w:r>
              <w:rPr>
                <w:b w:val="0"/>
                <w:sz w:val="16"/>
              </w:rPr>
              <w:t>Smaller largest step</w:t>
            </w:r>
          </w:p>
        </w:tc>
      </w:tr>
      <w:tr>
        <w:tc>
          <w:tcPr>
            <w:tcW w:type="dxa" w:w="3175"/>
          </w:tcPr>
          <w:p>
            <w:pPr>
              <w:spacing w:after="0" w:line="240" w:lineRule="auto"/>
            </w:pPr>
            <w:r>
              <w:rPr>
                <w:b w:val="0"/>
                <w:sz w:val="16"/>
              </w:rPr>
              <w:t>Pairs from ±3 (±3, ±1)</w:t>
            </w:r>
          </w:p>
        </w:tc>
        <w:tc>
          <w:tcPr>
            <w:tcW w:type="dxa" w:w="4309"/>
          </w:tcPr>
          <w:p>
            <w:pPr>
              <w:spacing w:after="0" w:line="240" w:lineRule="auto"/>
            </w:pPr>
            <w:r>
              <w:rPr>
                <w:b w:val="0"/>
                <w:sz w:val="16"/>
              </w:rPr>
              <w:t>±3; ±1</w:t>
            </w:r>
          </w:p>
        </w:tc>
        <w:tc>
          <w:tcPr>
            <w:tcW w:type="dxa" w:w="2154"/>
          </w:tcPr>
          <w:p>
            <w:pPr>
              <w:spacing w:after="0" w:line="240" w:lineRule="auto"/>
            </w:pPr>
            <w:r>
              <w:rPr>
                <w:b w:val="0"/>
                <w:sz w:val="16"/>
              </w:rPr>
              <w:t>Smaller largest step</w:t>
            </w:r>
          </w:p>
        </w:tc>
      </w:tr>
      <w:tr>
        <w:tc>
          <w:tcPr>
            <w:tcW w:type="dxa" w:w="3175"/>
          </w:tcPr>
          <w:p>
            <w:pPr>
              <w:spacing w:after="0" w:line="240" w:lineRule="auto"/>
            </w:pPr>
            <w:r>
              <w:rPr>
                <w:b w:val="0"/>
                <w:sz w:val="16"/>
              </w:rPr>
              <w:t>±1 only</w:t>
            </w:r>
          </w:p>
        </w:tc>
        <w:tc>
          <w:tcPr>
            <w:tcW w:type="dxa" w:w="4309"/>
          </w:tcPr>
          <w:p>
            <w:pPr>
              <w:spacing w:after="0" w:line="240" w:lineRule="auto"/>
            </w:pPr>
            <w:r>
              <w:rPr>
                <w:b w:val="0"/>
                <w:sz w:val="16"/>
              </w:rPr>
              <w:t>±1</w:t>
            </w:r>
          </w:p>
        </w:tc>
        <w:tc>
          <w:tcPr>
            <w:tcW w:type="dxa" w:w="2154"/>
          </w:tcPr>
          <w:p>
            <w:pPr>
              <w:spacing w:after="0" w:line="240" w:lineRule="auto"/>
            </w:pPr>
            <w:r>
              <w:rPr>
                <w:b w:val="0"/>
                <w:sz w:val="16"/>
              </w:rPr>
              <w:t>Smaller largest step</w:t>
            </w:r>
          </w:p>
        </w:tc>
      </w:tr>
      <w:tr>
        <w:tc>
          <w:tcPr>
            <w:tcW w:type="dxa" w:w="3175"/>
          </w:tcPr>
          <w:p>
            <w:pPr>
              <w:spacing w:after="0" w:line="240" w:lineRule="auto"/>
            </w:pPr>
            <w:r>
              <w:rPr>
                <w:b w:val="0"/>
                <w:sz w:val="16"/>
              </w:rPr>
              <w:t>Pairs from ±42 (±42 to ±1)</w:t>
            </w:r>
          </w:p>
        </w:tc>
        <w:tc>
          <w:tcPr>
            <w:tcW w:type="dxa" w:w="4309"/>
          </w:tcPr>
          <w:p>
            <w:pPr>
              <w:spacing w:after="0" w:line="240" w:lineRule="auto"/>
            </w:pPr>
            <w:r>
              <w:rPr>
                <w:b w:val="0"/>
                <w:sz w:val="16"/>
              </w:rPr>
              <w:t>±42; ±28; ±14; ±7; ±3; ±1</w:t>
            </w:r>
          </w:p>
        </w:tc>
        <w:tc>
          <w:tcPr>
            <w:tcW w:type="dxa" w:w="2154"/>
          </w:tcPr>
          <w:p>
            <w:pPr>
              <w:spacing w:after="0" w:line="240" w:lineRule="auto"/>
            </w:pPr>
            <w:r>
              <w:rPr>
                <w:b w:val="0"/>
                <w:sz w:val="16"/>
              </w:rPr>
              <w:t>Wide step</w:t>
            </w:r>
          </w:p>
        </w:tc>
      </w:tr>
      <w:tr>
        <w:tc>
          <w:tcPr>
            <w:tcW w:type="dxa" w:w="3175"/>
          </w:tcPr>
          <w:p>
            <w:pPr>
              <w:spacing w:after="0" w:line="240" w:lineRule="auto"/>
            </w:pPr>
            <w:r>
              <w:rPr>
                <w:b w:val="0"/>
                <w:sz w:val="16"/>
              </w:rPr>
              <w:t>Baseline steps, fine first (±1 to ±28)</w:t>
            </w:r>
          </w:p>
        </w:tc>
        <w:tc>
          <w:tcPr>
            <w:tcW w:type="dxa" w:w="4309"/>
          </w:tcPr>
          <w:p>
            <w:pPr>
              <w:spacing w:after="0" w:line="240" w:lineRule="auto"/>
            </w:pPr>
            <w:r>
              <w:rPr>
                <w:b w:val="0"/>
                <w:sz w:val="16"/>
              </w:rPr>
              <w:t>±1; ±3; ±7; ±14; ±28</w:t>
            </w:r>
          </w:p>
        </w:tc>
        <w:tc>
          <w:tcPr>
            <w:tcW w:type="dxa" w:w="2154"/>
          </w:tcPr>
          <w:p>
            <w:pPr>
              <w:spacing w:after="0" w:line="240" w:lineRule="auto"/>
            </w:pPr>
            <w:r>
              <w:rPr>
                <w:b w:val="0"/>
                <w:sz w:val="16"/>
              </w:rPr>
              <w:t>Search order</w:t>
            </w:r>
          </w:p>
        </w:tc>
      </w:tr>
      <w:tr>
        <w:tc>
          <w:tcPr>
            <w:tcW w:type="dxa" w:w="3175"/>
          </w:tcPr>
          <w:p>
            <w:pPr>
              <w:spacing w:after="0" w:line="240" w:lineRule="auto"/>
            </w:pPr>
            <w:r>
              <w:rPr>
                <w:b w:val="0"/>
                <w:sz w:val="16"/>
              </w:rPr>
              <w:t>Baseline steps in one set</w:t>
            </w:r>
          </w:p>
        </w:tc>
        <w:tc>
          <w:tcPr>
            <w:tcW w:type="dxa" w:w="4309"/>
          </w:tcPr>
          <w:p>
            <w:pPr>
              <w:spacing w:after="0" w:line="240" w:lineRule="auto"/>
            </w:pPr>
            <w:r>
              <w:rPr>
                <w:b w:val="0"/>
                <w:sz w:val="16"/>
              </w:rPr>
              <w:t>(±28, ±14, ±7, ±3, ±1)</w:t>
            </w:r>
          </w:p>
        </w:tc>
        <w:tc>
          <w:tcPr>
            <w:tcW w:type="dxa" w:w="2154"/>
          </w:tcPr>
          <w:p>
            <w:pPr>
              <w:spacing w:after="0" w:line="240" w:lineRule="auto"/>
            </w:pPr>
            <w:r>
              <w:rPr>
                <w:b w:val="0"/>
                <w:sz w:val="16"/>
              </w:rPr>
              <w:t>Single set vs ladder</w:t>
            </w:r>
          </w:p>
        </w:tc>
      </w:tr>
      <w:tr>
        <w:tc>
          <w:tcPr>
            <w:tcW w:type="dxa" w:w="3175"/>
          </w:tcPr>
          <w:p>
            <w:pPr>
              <w:spacing w:after="0" w:line="240" w:lineRule="auto"/>
            </w:pPr>
            <w:r>
              <w:rPr>
                <w:b w:val="0"/>
                <w:sz w:val="16"/>
              </w:rPr>
              <w:t>Overlapping sets without ±28</w:t>
            </w:r>
          </w:p>
        </w:tc>
        <w:tc>
          <w:tcPr>
            <w:tcW w:type="dxa" w:w="4309"/>
          </w:tcPr>
          <w:p>
            <w:pPr>
              <w:spacing w:after="0" w:line="240" w:lineRule="auto"/>
            </w:pPr>
            <w:r>
              <w:rPr>
                <w:b w:val="0"/>
                <w:sz w:val="16"/>
              </w:rPr>
              <w:t>(±14, ±7); (±7, ±3); (±3, ±1)</w:t>
            </w:r>
          </w:p>
        </w:tc>
        <w:tc>
          <w:tcPr>
            <w:tcW w:type="dxa" w:w="2154"/>
          </w:tcPr>
          <w:p>
            <w:pPr>
              <w:spacing w:after="0" w:line="240" w:lineRule="auto"/>
            </w:pPr>
            <w:r>
              <w:rPr>
                <w:b w:val="0"/>
                <w:sz w:val="16"/>
              </w:rPr>
              <w:t>Overlapping sets</w:t>
            </w:r>
          </w:p>
        </w:tc>
      </w:tr>
    </w:tbl>
    <w:p>
      <w:pPr>
        <w:spacing w:after="0" w:line="80" w:lineRule="exact"/>
      </w:pPr>
    </w:p>
    <w:p>
      <w:r>
        <w:rPr>
          <w:sz w:val="17"/>
        </w:rPr>
        <w:t>Semicolons separate sets that are searched one after another. Values in brackets are tried together as one set. ± means both earlier and later.</w:t>
      </w:r>
    </w:p>
    <w:p>
      <w:pPr>
        <w:pStyle w:val="Heading1"/>
      </w:pPr>
      <w:r>
        <w:t>Best results for each forecast</w:t>
      </w:r>
    </w:p>
    <w:p>
      <w:r>
        <w:rPr>
          <w:i/>
          <w:sz w:val="17"/>
        </w:rPr>
        <w:t>Table 2. Best tested setting for each forecast.</w:t>
      </w:r>
    </w:p>
    <w:tbl>
      <w:tblPr>
        <w:tblStyle w:val="TableGrid"/>
        <w:tblW w:type="auto" w:w="0"/>
        <w:jc w:val="center"/>
        <w:tblLayout w:type="fixed"/>
        <w:tblLook w:firstColumn="1" w:firstRow="1" w:lastColumn="0" w:lastRow="0" w:noHBand="0" w:noVBand="1" w:val="04A0"/>
      </w:tblPr>
      <w:tblGrid>
        <w:gridCol w:w="1701"/>
        <w:gridCol w:w="3288"/>
        <w:gridCol w:w="1020"/>
        <w:gridCol w:w="1134"/>
        <w:gridCol w:w="1020"/>
        <w:gridCol w:w="1247"/>
      </w:tblGrid>
      <w:tr>
        <w:tc>
          <w:tcPr>
            <w:tcW w:type="dxa" w:w="1701"/>
            <w:shd w:val="clear" w:color="auto" w:fill="E6E6E6"/>
          </w:tcPr>
          <w:p>
            <w:pPr>
              <w:spacing w:after="0" w:line="240" w:lineRule="auto"/>
            </w:pPr>
            <w:r>
              <w:rPr>
                <w:b/>
                <w:sz w:val="17"/>
              </w:rPr>
              <w:t>Forecast</w:t>
            </w:r>
          </w:p>
        </w:tc>
        <w:tc>
          <w:tcPr>
            <w:tcW w:type="dxa" w:w="3288"/>
            <w:shd w:val="clear" w:color="auto" w:fill="E6E6E6"/>
          </w:tcPr>
          <w:p>
            <w:pPr>
              <w:spacing w:after="0" w:line="240" w:lineRule="auto"/>
            </w:pPr>
            <w:r>
              <w:rPr>
                <w:b/>
                <w:sz w:val="17"/>
              </w:rPr>
              <w:t>Best strategy</w:t>
            </w:r>
          </w:p>
        </w:tc>
        <w:tc>
          <w:tcPr>
            <w:tcW w:type="dxa" w:w="1020"/>
            <w:shd w:val="clear" w:color="auto" w:fill="E6E6E6"/>
          </w:tcPr>
          <w:p>
            <w:pPr>
              <w:spacing w:after="0" w:line="240" w:lineRule="auto"/>
            </w:pPr>
            <w:r>
              <w:rPr>
                <w:b/>
                <w:sz w:val="17"/>
              </w:rPr>
              <w:t>Iterations</w:t>
            </w:r>
          </w:p>
        </w:tc>
        <w:tc>
          <w:tcPr>
            <w:tcW w:type="dxa" w:w="1134"/>
            <w:shd w:val="clear" w:color="auto" w:fill="E6E6E6"/>
          </w:tcPr>
          <w:p>
            <w:pPr>
              <w:spacing w:after="0" w:line="240" w:lineRule="auto"/>
            </w:pPr>
            <w:r>
              <w:rPr>
                <w:b/>
                <w:sz w:val="17"/>
              </w:rPr>
              <w:t>Minimum aircraft</w:t>
            </w:r>
          </w:p>
        </w:tc>
        <w:tc>
          <w:tcPr>
            <w:tcW w:type="dxa" w:w="1020"/>
            <w:shd w:val="clear" w:color="auto" w:fill="E6E6E6"/>
          </w:tcPr>
          <w:p>
            <w:pPr>
              <w:spacing w:after="0" w:line="240" w:lineRule="auto"/>
            </w:pPr>
            <w:r>
              <w:rPr>
                <w:b/>
                <w:sz w:val="17"/>
              </w:rPr>
              <w:t>SD</w:t>
            </w:r>
          </w:p>
        </w:tc>
        <w:tc>
          <w:tcPr>
            <w:tcW w:type="dxa" w:w="1247"/>
            <w:shd w:val="clear" w:color="auto" w:fill="E6E6E6"/>
          </w:tcPr>
          <w:p>
            <w:pPr>
              <w:spacing w:after="0" w:line="240" w:lineRule="auto"/>
            </w:pPr>
            <w:r>
              <w:rPr>
                <w:b/>
                <w:sz w:val="17"/>
              </w:rPr>
              <w:t>Average aircraft</w:t>
            </w:r>
          </w:p>
        </w:tc>
      </w:tr>
      <w:tr>
        <w:tc>
          <w:tcPr>
            <w:tcW w:type="dxa" w:w="1701"/>
          </w:tcPr>
          <w:p>
            <w:pPr>
              <w:spacing w:after="0" w:line="240" w:lineRule="auto"/>
            </w:pPr>
            <w:r>
              <w:rPr>
                <w:b w:val="0"/>
                <w:sz w:val="17"/>
              </w:rPr>
              <w:t>Original</w:t>
            </w:r>
          </w:p>
        </w:tc>
        <w:tc>
          <w:tcPr>
            <w:tcW w:type="dxa" w:w="3288"/>
          </w:tcPr>
          <w:p>
            <w:pPr>
              <w:spacing w:after="0" w:line="240" w:lineRule="auto"/>
            </w:pPr>
            <w:r>
              <w:rPr>
                <w:b w:val="0"/>
                <w:sz w:val="17"/>
              </w:rPr>
              <w:t>Overlapping half-step sets plus ±42</w:t>
            </w:r>
          </w:p>
        </w:tc>
        <w:tc>
          <w:tcPr>
            <w:tcW w:type="dxa" w:w="1020"/>
          </w:tcPr>
          <w:p>
            <w:pPr>
              <w:spacing w:after="0" w:line="240" w:lineRule="auto"/>
              <w:jc w:val="right"/>
            </w:pPr>
            <w:r>
              <w:rPr>
                <w:b w:val="0"/>
                <w:sz w:val="17"/>
              </w:rPr>
              <w:t>400</w:t>
            </w:r>
          </w:p>
        </w:tc>
        <w:tc>
          <w:tcPr>
            <w:tcW w:type="dxa" w:w="1134"/>
          </w:tcPr>
          <w:p>
            <w:pPr>
              <w:spacing w:after="0" w:line="240" w:lineRule="auto"/>
              <w:jc w:val="right"/>
            </w:pPr>
            <w:r>
              <w:rPr>
                <w:b w:val="0"/>
                <w:sz w:val="17"/>
              </w:rPr>
              <w:t>18</w:t>
            </w:r>
          </w:p>
        </w:tc>
        <w:tc>
          <w:tcPr>
            <w:tcW w:type="dxa" w:w="1020"/>
          </w:tcPr>
          <w:p>
            <w:pPr>
              <w:spacing w:after="0" w:line="240" w:lineRule="auto"/>
              <w:jc w:val="right"/>
            </w:pPr>
            <w:r>
              <w:rPr>
                <w:b w:val="0"/>
                <w:sz w:val="17"/>
              </w:rPr>
              <w:t>1.4019</w:t>
            </w:r>
          </w:p>
        </w:tc>
        <w:tc>
          <w:tcPr>
            <w:tcW w:type="dxa" w:w="1247"/>
          </w:tcPr>
          <w:p>
            <w:pPr>
              <w:spacing w:after="0" w:line="240" w:lineRule="auto"/>
              <w:jc w:val="right"/>
            </w:pPr>
            <w:r>
              <w:rPr>
                <w:b w:val="0"/>
                <w:sz w:val="17"/>
              </w:rPr>
              <w:t>21.7076</w:t>
            </w:r>
          </w:p>
        </w:tc>
      </w:tr>
      <w:tr>
        <w:tc>
          <w:tcPr>
            <w:tcW w:type="dxa" w:w="1701"/>
          </w:tcPr>
          <w:p>
            <w:pPr>
              <w:spacing w:after="0" w:line="240" w:lineRule="auto"/>
            </w:pPr>
            <w:r>
              <w:rPr>
                <w:b w:val="0"/>
                <w:sz w:val="17"/>
              </w:rPr>
              <w:t>Moderate stagger</w:t>
            </w:r>
          </w:p>
        </w:tc>
        <w:tc>
          <w:tcPr>
            <w:tcW w:type="dxa" w:w="3288"/>
          </w:tcPr>
          <w:p>
            <w:pPr>
              <w:spacing w:after="0" w:line="240" w:lineRule="auto"/>
            </w:pPr>
            <w:r>
              <w:rPr>
                <w:b w:val="0"/>
                <w:sz w:val="17"/>
              </w:rPr>
              <w:t>Wide-to-fine ladder (±56 to ±1)</w:t>
            </w:r>
          </w:p>
        </w:tc>
        <w:tc>
          <w:tcPr>
            <w:tcW w:type="dxa" w:w="1020"/>
          </w:tcPr>
          <w:p>
            <w:pPr>
              <w:spacing w:after="0" w:line="240" w:lineRule="auto"/>
              <w:jc w:val="right"/>
            </w:pPr>
            <w:r>
              <w:rPr>
                <w:b w:val="0"/>
                <w:sz w:val="17"/>
              </w:rPr>
              <w:t>400</w:t>
            </w:r>
          </w:p>
        </w:tc>
        <w:tc>
          <w:tcPr>
            <w:tcW w:type="dxa" w:w="1134"/>
          </w:tcPr>
          <w:p>
            <w:pPr>
              <w:spacing w:after="0" w:line="240" w:lineRule="auto"/>
              <w:jc w:val="right"/>
            </w:pPr>
            <w:r>
              <w:rPr>
                <w:b w:val="0"/>
                <w:sz w:val="17"/>
              </w:rPr>
              <w:t>19</w:t>
            </w:r>
          </w:p>
        </w:tc>
        <w:tc>
          <w:tcPr>
            <w:tcW w:type="dxa" w:w="1020"/>
          </w:tcPr>
          <w:p>
            <w:pPr>
              <w:spacing w:after="0" w:line="240" w:lineRule="auto"/>
              <w:jc w:val="right"/>
            </w:pPr>
            <w:r>
              <w:rPr>
                <w:b w:val="0"/>
                <w:sz w:val="17"/>
              </w:rPr>
              <w:t>0.8834</w:t>
            </w:r>
          </w:p>
        </w:tc>
        <w:tc>
          <w:tcPr>
            <w:tcW w:type="dxa" w:w="1247"/>
          </w:tcPr>
          <w:p>
            <w:pPr>
              <w:spacing w:after="0" w:line="240" w:lineRule="auto"/>
              <w:jc w:val="right"/>
            </w:pPr>
            <w:r>
              <w:rPr>
                <w:b w:val="0"/>
                <w:sz w:val="17"/>
              </w:rPr>
              <w:t>21.4691</w:t>
            </w:r>
          </w:p>
        </w:tc>
      </w:tr>
      <w:tr>
        <w:tc>
          <w:tcPr>
            <w:tcW w:type="dxa" w:w="1701"/>
          </w:tcPr>
          <w:p>
            <w:pPr>
              <w:spacing w:after="0" w:line="240" w:lineRule="auto"/>
            </w:pPr>
            <w:r>
              <w:rPr>
                <w:b w:val="0"/>
                <w:sz w:val="17"/>
              </w:rPr>
              <w:t>Wide stagger</w:t>
            </w:r>
          </w:p>
        </w:tc>
        <w:tc>
          <w:tcPr>
            <w:tcW w:type="dxa" w:w="3288"/>
          </w:tcPr>
          <w:p>
            <w:pPr>
              <w:spacing w:after="0" w:line="240" w:lineRule="auto"/>
            </w:pPr>
            <w:r>
              <w:rPr>
                <w:b w:val="0"/>
                <w:sz w:val="17"/>
              </w:rPr>
              <w:t>Wide-to-fine ladder (±56 to ±1)</w:t>
            </w:r>
          </w:p>
        </w:tc>
        <w:tc>
          <w:tcPr>
            <w:tcW w:type="dxa" w:w="1020"/>
          </w:tcPr>
          <w:p>
            <w:pPr>
              <w:spacing w:after="0" w:line="240" w:lineRule="auto"/>
              <w:jc w:val="right"/>
            </w:pPr>
            <w:r>
              <w:rPr>
                <w:b w:val="0"/>
                <w:sz w:val="17"/>
              </w:rPr>
              <w:t>400</w:t>
            </w:r>
          </w:p>
        </w:tc>
        <w:tc>
          <w:tcPr>
            <w:tcW w:type="dxa" w:w="1134"/>
          </w:tcPr>
          <w:p>
            <w:pPr>
              <w:spacing w:after="0" w:line="240" w:lineRule="auto"/>
              <w:jc w:val="right"/>
            </w:pPr>
            <w:r>
              <w:rPr>
                <w:b w:val="0"/>
                <w:sz w:val="17"/>
              </w:rPr>
              <w:t>20</w:t>
            </w:r>
          </w:p>
        </w:tc>
        <w:tc>
          <w:tcPr>
            <w:tcW w:type="dxa" w:w="1020"/>
          </w:tcPr>
          <w:p>
            <w:pPr>
              <w:spacing w:after="0" w:line="240" w:lineRule="auto"/>
              <w:jc w:val="right"/>
            </w:pPr>
            <w:r>
              <w:rPr>
                <w:b w:val="0"/>
                <w:sz w:val="17"/>
              </w:rPr>
              <w:t>0.5868</w:t>
            </w:r>
          </w:p>
        </w:tc>
        <w:tc>
          <w:tcPr>
            <w:tcW w:type="dxa" w:w="1247"/>
          </w:tcPr>
          <w:p>
            <w:pPr>
              <w:spacing w:after="0" w:line="240" w:lineRule="auto"/>
              <w:jc w:val="right"/>
            </w:pPr>
            <w:r>
              <w:rPr>
                <w:b w:val="0"/>
                <w:sz w:val="17"/>
              </w:rPr>
              <w:t>21.4750</w:t>
            </w:r>
          </w:p>
        </w:tc>
      </w:tr>
    </w:tbl>
    <w:p>
      <w:pPr>
        <w:spacing w:after="0" w:line="80" w:lineRule="exact"/>
      </w:pPr>
    </w:p>
    <w:p>
      <w:r>
        <w:t>None of the nine new strategies beat the first study's winners. On the original forecast the overlapping half-step sets plus ±42 stayed best; the recommended ladder ranked 9 of 41 there, with the same minimum of 18 aircraft and an SD only 0.0078 higher. The forecasts start from different maintenance states, so their availability levels should not be compared with each other or read as gains caused by the optimiser.</w:t>
      </w:r>
    </w:p>
    <w:p>
      <w:pPr>
        <w:pStyle w:val="Heading1"/>
      </w:pPr>
      <w:r>
        <w:t>All strategies at 400 iterations</w:t>
      </w:r>
    </w:p>
    <w:p>
      <w:r>
        <w:rPr>
          <w:i/>
          <w:sz w:val="17"/>
        </w:rPr>
        <w:t>Table 3. Minimum aircraft / SD at 400 iterations, sorted by combined rank (sum of the three forecast ranks out of 41; lower is better). * = stopped at the iteration limit and may improve with more passes.</w:t>
      </w:r>
    </w:p>
    <w:tbl>
      <w:tblPr>
        <w:tblStyle w:val="TableGrid"/>
        <w:tblW w:type="auto" w:w="0"/>
        <w:jc w:val="center"/>
        <w:tblLayout w:type="fixed"/>
        <w:tblLook w:firstColumn="1" w:firstRow="1" w:lastColumn="0" w:lastRow="0" w:noHBand="0" w:noVBand="1" w:val="04A0"/>
      </w:tblPr>
      <w:tblGrid>
        <w:gridCol w:w="3175"/>
        <w:gridCol w:w="1587"/>
        <w:gridCol w:w="1587"/>
        <w:gridCol w:w="1587"/>
        <w:gridCol w:w="1134"/>
      </w:tblGrid>
      <w:tr>
        <w:tc>
          <w:tcPr>
            <w:tcW w:type="dxa" w:w="3175"/>
            <w:shd w:val="clear" w:color="auto" w:fill="E6E6E6"/>
          </w:tcPr>
          <w:p>
            <w:pPr>
              <w:spacing w:after="0" w:line="240" w:lineRule="auto"/>
            </w:pPr>
            <w:r>
              <w:rPr>
                <w:b/>
                <w:sz w:val="17"/>
              </w:rPr>
              <w:t>Strategy</w:t>
            </w:r>
          </w:p>
        </w:tc>
        <w:tc>
          <w:tcPr>
            <w:tcW w:type="dxa" w:w="1587"/>
            <w:shd w:val="clear" w:color="auto" w:fill="E6E6E6"/>
          </w:tcPr>
          <w:p>
            <w:pPr>
              <w:spacing w:after="0" w:line="240" w:lineRule="auto"/>
            </w:pPr>
            <w:r>
              <w:rPr>
                <w:b/>
                <w:sz w:val="17"/>
              </w:rPr>
              <w:t>Original</w:t>
            </w:r>
          </w:p>
        </w:tc>
        <w:tc>
          <w:tcPr>
            <w:tcW w:type="dxa" w:w="1587"/>
            <w:shd w:val="clear" w:color="auto" w:fill="E6E6E6"/>
          </w:tcPr>
          <w:p>
            <w:pPr>
              <w:spacing w:after="0" w:line="240" w:lineRule="auto"/>
            </w:pPr>
            <w:r>
              <w:rPr>
                <w:b/>
                <w:sz w:val="17"/>
              </w:rPr>
              <w:t>Moderate stagger</w:t>
            </w:r>
          </w:p>
        </w:tc>
        <w:tc>
          <w:tcPr>
            <w:tcW w:type="dxa" w:w="1587"/>
            <w:shd w:val="clear" w:color="auto" w:fill="E6E6E6"/>
          </w:tcPr>
          <w:p>
            <w:pPr>
              <w:spacing w:after="0" w:line="240" w:lineRule="auto"/>
            </w:pPr>
            <w:r>
              <w:rPr>
                <w:b/>
                <w:sz w:val="17"/>
              </w:rPr>
              <w:t>Wide stagger</w:t>
            </w:r>
          </w:p>
        </w:tc>
        <w:tc>
          <w:tcPr>
            <w:tcW w:type="dxa" w:w="1134"/>
            <w:shd w:val="clear" w:color="auto" w:fill="E6E6E6"/>
          </w:tcPr>
          <w:p>
            <w:pPr>
              <w:spacing w:after="0" w:line="240" w:lineRule="auto"/>
            </w:pPr>
            <w:r>
              <w:rPr>
                <w:b/>
                <w:sz w:val="17"/>
              </w:rPr>
              <w:t>Combined rank</w:t>
            </w:r>
          </w:p>
        </w:tc>
      </w:tr>
      <w:tr>
        <w:tc>
          <w:tcPr>
            <w:tcW w:type="dxa" w:w="3175"/>
          </w:tcPr>
          <w:p>
            <w:pPr>
              <w:spacing w:after="0" w:line="240" w:lineRule="auto"/>
            </w:pPr>
            <w:r>
              <w:rPr>
                <w:b/>
                <w:sz w:val="17"/>
              </w:rPr>
              <w:t>Wide-to-fine ladder (±56 to ±1)</w:t>
            </w:r>
          </w:p>
        </w:tc>
        <w:tc>
          <w:tcPr>
            <w:tcW w:type="dxa" w:w="1587"/>
          </w:tcPr>
          <w:p>
            <w:pPr>
              <w:spacing w:after="0" w:line="240" w:lineRule="auto"/>
              <w:jc w:val="right"/>
            </w:pPr>
            <w:r>
              <w:rPr>
                <w:b/>
                <w:sz w:val="17"/>
              </w:rPr>
              <w:t>18 / 1.4097</w:t>
            </w:r>
          </w:p>
        </w:tc>
        <w:tc>
          <w:tcPr>
            <w:tcW w:type="dxa" w:w="1587"/>
          </w:tcPr>
          <w:p>
            <w:pPr>
              <w:spacing w:after="0" w:line="240" w:lineRule="auto"/>
              <w:jc w:val="right"/>
            </w:pPr>
            <w:r>
              <w:rPr>
                <w:b/>
                <w:sz w:val="17"/>
              </w:rPr>
              <w:t>19 / 0.8834</w:t>
            </w:r>
          </w:p>
        </w:tc>
        <w:tc>
          <w:tcPr>
            <w:tcW w:type="dxa" w:w="1587"/>
          </w:tcPr>
          <w:p>
            <w:pPr>
              <w:spacing w:after="0" w:line="240" w:lineRule="auto"/>
              <w:jc w:val="right"/>
            </w:pPr>
            <w:r>
              <w:rPr>
                <w:b/>
                <w:sz w:val="17"/>
              </w:rPr>
              <w:t>20 / 0.5868</w:t>
            </w:r>
          </w:p>
        </w:tc>
        <w:tc>
          <w:tcPr>
            <w:tcW w:type="dxa" w:w="1134"/>
          </w:tcPr>
          <w:p>
            <w:pPr>
              <w:spacing w:after="0" w:line="240" w:lineRule="auto"/>
              <w:jc w:val="right"/>
            </w:pPr>
            <w:r>
              <w:rPr>
                <w:b/>
                <w:sz w:val="17"/>
              </w:rPr>
              <w:t>11</w:t>
            </w:r>
          </w:p>
        </w:tc>
      </w:tr>
      <w:tr>
        <w:tc>
          <w:tcPr>
            <w:tcW w:type="dxa" w:w="3175"/>
          </w:tcPr>
          <w:p>
            <w:pPr>
              <w:spacing w:after="0" w:line="240" w:lineRule="auto"/>
            </w:pPr>
            <w:r>
              <w:rPr>
                <w:b w:val="0"/>
                <w:sz w:val="17"/>
              </w:rPr>
              <w:t>Overlapping half-step sets plus ±42</w:t>
            </w:r>
          </w:p>
        </w:tc>
        <w:tc>
          <w:tcPr>
            <w:tcW w:type="dxa" w:w="1587"/>
          </w:tcPr>
          <w:p>
            <w:pPr>
              <w:spacing w:after="0" w:line="240" w:lineRule="auto"/>
              <w:jc w:val="right"/>
            </w:pPr>
            <w:r>
              <w:rPr>
                <w:b w:val="0"/>
                <w:sz w:val="17"/>
              </w:rPr>
              <w:t>18 / 1.4019</w:t>
            </w:r>
          </w:p>
        </w:tc>
        <w:tc>
          <w:tcPr>
            <w:tcW w:type="dxa" w:w="1587"/>
          </w:tcPr>
          <w:p>
            <w:pPr>
              <w:spacing w:after="0" w:line="240" w:lineRule="auto"/>
              <w:jc w:val="right"/>
            </w:pPr>
            <w:r>
              <w:rPr>
                <w:b w:val="0"/>
                <w:sz w:val="17"/>
              </w:rPr>
              <w:t>19 / 0.8922</w:t>
            </w:r>
          </w:p>
        </w:tc>
        <w:tc>
          <w:tcPr>
            <w:tcW w:type="dxa" w:w="1587"/>
          </w:tcPr>
          <w:p>
            <w:pPr>
              <w:spacing w:after="0" w:line="240" w:lineRule="auto"/>
              <w:jc w:val="right"/>
            </w:pPr>
            <w:r>
              <w:rPr>
                <w:b w:val="0"/>
                <w:sz w:val="17"/>
              </w:rPr>
              <w:t>20 / 0.6090</w:t>
            </w:r>
          </w:p>
        </w:tc>
        <w:tc>
          <w:tcPr>
            <w:tcW w:type="dxa" w:w="1134"/>
          </w:tcPr>
          <w:p>
            <w:pPr>
              <w:spacing w:after="0" w:line="240" w:lineRule="auto"/>
              <w:jc w:val="right"/>
            </w:pPr>
            <w:r>
              <w:rPr>
                <w:b w:val="0"/>
                <w:sz w:val="17"/>
              </w:rPr>
              <w:t>15</w:t>
            </w:r>
          </w:p>
        </w:tc>
      </w:tr>
      <w:tr>
        <w:tc>
          <w:tcPr>
            <w:tcW w:type="dxa" w:w="3175"/>
          </w:tcPr>
          <w:p>
            <w:pPr>
              <w:spacing w:after="0" w:line="240" w:lineRule="auto"/>
            </w:pPr>
            <w:r>
              <w:rPr>
                <w:b w:val="0"/>
                <w:sz w:val="17"/>
              </w:rPr>
              <w:t>Pairs from ±42 (±42 to ±1)</w:t>
            </w:r>
          </w:p>
        </w:tc>
        <w:tc>
          <w:tcPr>
            <w:tcW w:type="dxa" w:w="1587"/>
          </w:tcPr>
          <w:p>
            <w:pPr>
              <w:spacing w:after="0" w:line="240" w:lineRule="auto"/>
              <w:jc w:val="right"/>
            </w:pPr>
            <w:r>
              <w:rPr>
                <w:b w:val="0"/>
                <w:sz w:val="17"/>
              </w:rPr>
              <w:t>18 / 1.4034</w:t>
            </w:r>
          </w:p>
        </w:tc>
        <w:tc>
          <w:tcPr>
            <w:tcW w:type="dxa" w:w="1587"/>
          </w:tcPr>
          <w:p>
            <w:pPr>
              <w:spacing w:after="0" w:line="240" w:lineRule="auto"/>
              <w:jc w:val="right"/>
            </w:pPr>
            <w:r>
              <w:rPr>
                <w:b w:val="0"/>
                <w:sz w:val="17"/>
              </w:rPr>
              <w:t>19 / 0.8886</w:t>
            </w:r>
          </w:p>
        </w:tc>
        <w:tc>
          <w:tcPr>
            <w:tcW w:type="dxa" w:w="1587"/>
          </w:tcPr>
          <w:p>
            <w:pPr>
              <w:spacing w:after="0" w:line="240" w:lineRule="auto"/>
              <w:jc w:val="right"/>
            </w:pPr>
            <w:r>
              <w:rPr>
                <w:b w:val="0"/>
                <w:sz w:val="17"/>
              </w:rPr>
              <w:t>20 / 0.6219</w:t>
            </w:r>
          </w:p>
        </w:tc>
        <w:tc>
          <w:tcPr>
            <w:tcW w:type="dxa" w:w="1134"/>
          </w:tcPr>
          <w:p>
            <w:pPr>
              <w:spacing w:after="0" w:line="240" w:lineRule="auto"/>
              <w:jc w:val="right"/>
            </w:pPr>
            <w:r>
              <w:rPr>
                <w:b w:val="0"/>
                <w:sz w:val="17"/>
              </w:rPr>
              <w:t>16</w:t>
            </w:r>
          </w:p>
        </w:tc>
      </w:tr>
      <w:tr>
        <w:tc>
          <w:tcPr>
            <w:tcW w:type="dxa" w:w="3175"/>
          </w:tcPr>
          <w:p>
            <w:pPr>
              <w:spacing w:after="0" w:line="240" w:lineRule="auto"/>
            </w:pPr>
            <w:r>
              <w:rPr>
                <w:b w:val="0"/>
                <w:sz w:val="17"/>
              </w:rPr>
              <w:t>Dense paired ladder</w:t>
            </w:r>
          </w:p>
        </w:tc>
        <w:tc>
          <w:tcPr>
            <w:tcW w:type="dxa" w:w="1587"/>
          </w:tcPr>
          <w:p>
            <w:pPr>
              <w:spacing w:after="0" w:line="240" w:lineRule="auto"/>
              <w:jc w:val="right"/>
            </w:pPr>
            <w:r>
              <w:rPr>
                <w:b w:val="0"/>
                <w:sz w:val="17"/>
              </w:rPr>
              <w:t>18 / 1.4106</w:t>
            </w:r>
          </w:p>
        </w:tc>
        <w:tc>
          <w:tcPr>
            <w:tcW w:type="dxa" w:w="1587"/>
          </w:tcPr>
          <w:p>
            <w:pPr>
              <w:spacing w:after="0" w:line="240" w:lineRule="auto"/>
              <w:jc w:val="right"/>
            </w:pPr>
            <w:r>
              <w:rPr>
                <w:b w:val="0"/>
                <w:sz w:val="17"/>
              </w:rPr>
              <w:t>19 / 0.8912*</w:t>
            </w:r>
          </w:p>
        </w:tc>
        <w:tc>
          <w:tcPr>
            <w:tcW w:type="dxa" w:w="1587"/>
          </w:tcPr>
          <w:p>
            <w:pPr>
              <w:spacing w:after="0" w:line="240" w:lineRule="auto"/>
              <w:jc w:val="right"/>
            </w:pPr>
            <w:r>
              <w:rPr>
                <w:b w:val="0"/>
                <w:sz w:val="17"/>
              </w:rPr>
              <w:t>20 / 0.6077</w:t>
            </w:r>
          </w:p>
        </w:tc>
        <w:tc>
          <w:tcPr>
            <w:tcW w:type="dxa" w:w="1134"/>
          </w:tcPr>
          <w:p>
            <w:pPr>
              <w:spacing w:after="0" w:line="240" w:lineRule="auto"/>
              <w:jc w:val="right"/>
            </w:pPr>
            <w:r>
              <w:rPr>
                <w:b w:val="0"/>
                <w:sz w:val="17"/>
              </w:rPr>
              <w:t>22</w:t>
            </w:r>
          </w:p>
        </w:tc>
      </w:tr>
      <w:tr>
        <w:tc>
          <w:tcPr>
            <w:tcW w:type="dxa" w:w="3175"/>
          </w:tcPr>
          <w:p>
            <w:pPr>
              <w:spacing w:after="0" w:line="240" w:lineRule="auto"/>
            </w:pPr>
            <w:r>
              <w:rPr>
                <w:b w:val="0"/>
                <w:sz w:val="17"/>
              </w:rPr>
              <w:t>Baseline (±28, ±14, ±7, ±3, ±1)</w:t>
            </w:r>
          </w:p>
        </w:tc>
        <w:tc>
          <w:tcPr>
            <w:tcW w:type="dxa" w:w="1587"/>
          </w:tcPr>
          <w:p>
            <w:pPr>
              <w:spacing w:after="0" w:line="240" w:lineRule="auto"/>
              <w:jc w:val="right"/>
            </w:pPr>
            <w:r>
              <w:rPr>
                <w:b w:val="0"/>
                <w:sz w:val="17"/>
              </w:rPr>
              <w:t>18 / 1.4135</w:t>
            </w:r>
          </w:p>
        </w:tc>
        <w:tc>
          <w:tcPr>
            <w:tcW w:type="dxa" w:w="1587"/>
          </w:tcPr>
          <w:p>
            <w:pPr>
              <w:spacing w:after="0" w:line="240" w:lineRule="auto"/>
              <w:jc w:val="right"/>
            </w:pPr>
            <w:r>
              <w:rPr>
                <w:b w:val="0"/>
                <w:sz w:val="17"/>
              </w:rPr>
              <w:t>19 / 0.9067</w:t>
            </w:r>
          </w:p>
        </w:tc>
        <w:tc>
          <w:tcPr>
            <w:tcW w:type="dxa" w:w="1587"/>
          </w:tcPr>
          <w:p>
            <w:pPr>
              <w:spacing w:after="0" w:line="240" w:lineRule="auto"/>
              <w:jc w:val="right"/>
            </w:pPr>
            <w:r>
              <w:rPr>
                <w:b w:val="0"/>
                <w:sz w:val="17"/>
              </w:rPr>
              <w:t>20 / 0.6062</w:t>
            </w:r>
          </w:p>
        </w:tc>
        <w:tc>
          <w:tcPr>
            <w:tcW w:type="dxa" w:w="1134"/>
          </w:tcPr>
          <w:p>
            <w:pPr>
              <w:spacing w:after="0" w:line="240" w:lineRule="auto"/>
              <w:jc w:val="right"/>
            </w:pPr>
            <w:r>
              <w:rPr>
                <w:b w:val="0"/>
                <w:sz w:val="17"/>
              </w:rPr>
              <w:t>27</w:t>
            </w:r>
          </w:p>
        </w:tc>
      </w:tr>
      <w:tr>
        <w:tc>
          <w:tcPr>
            <w:tcW w:type="dxa" w:w="3175"/>
          </w:tcPr>
          <w:p>
            <w:pPr>
              <w:spacing w:after="0" w:line="240" w:lineRule="auto"/>
            </w:pPr>
            <w:r>
              <w:rPr>
                <w:b w:val="0"/>
                <w:sz w:val="17"/>
              </w:rPr>
              <w:t>Overlapping half-step sets</w:t>
            </w:r>
          </w:p>
        </w:tc>
        <w:tc>
          <w:tcPr>
            <w:tcW w:type="dxa" w:w="1587"/>
          </w:tcPr>
          <w:p>
            <w:pPr>
              <w:spacing w:after="0" w:line="240" w:lineRule="auto"/>
              <w:jc w:val="right"/>
            </w:pPr>
            <w:r>
              <w:rPr>
                <w:b w:val="0"/>
                <w:sz w:val="17"/>
              </w:rPr>
              <w:t>18 / 1.4041</w:t>
            </w:r>
          </w:p>
        </w:tc>
        <w:tc>
          <w:tcPr>
            <w:tcW w:type="dxa" w:w="1587"/>
          </w:tcPr>
          <w:p>
            <w:pPr>
              <w:spacing w:after="0" w:line="240" w:lineRule="auto"/>
              <w:jc w:val="right"/>
            </w:pPr>
            <w:r>
              <w:rPr>
                <w:b w:val="0"/>
                <w:sz w:val="17"/>
              </w:rPr>
              <w:t>19 / 0.8985</w:t>
            </w:r>
          </w:p>
        </w:tc>
        <w:tc>
          <w:tcPr>
            <w:tcW w:type="dxa" w:w="1587"/>
          </w:tcPr>
          <w:p>
            <w:pPr>
              <w:spacing w:after="0" w:line="240" w:lineRule="auto"/>
              <w:jc w:val="right"/>
            </w:pPr>
            <w:r>
              <w:rPr>
                <w:b w:val="0"/>
                <w:sz w:val="17"/>
              </w:rPr>
              <w:t>19 / 0.6333</w:t>
            </w:r>
          </w:p>
        </w:tc>
        <w:tc>
          <w:tcPr>
            <w:tcW w:type="dxa" w:w="1134"/>
          </w:tcPr>
          <w:p>
            <w:pPr>
              <w:spacing w:after="0" w:line="240" w:lineRule="auto"/>
              <w:jc w:val="right"/>
            </w:pPr>
            <w:r>
              <w:rPr>
                <w:b w:val="0"/>
                <w:sz w:val="17"/>
              </w:rPr>
              <w:t>36</w:t>
            </w:r>
          </w:p>
        </w:tc>
      </w:tr>
      <w:tr>
        <w:tc>
          <w:tcPr>
            <w:tcW w:type="dxa" w:w="3175"/>
          </w:tcPr>
          <w:p>
            <w:pPr>
              <w:spacing w:after="0" w:line="240" w:lineRule="auto"/>
            </w:pPr>
            <w:r>
              <w:rPr>
                <w:b w:val="0"/>
                <w:sz w:val="17"/>
              </w:rPr>
              <w:t>Baseline steps in one set</w:t>
            </w:r>
          </w:p>
        </w:tc>
        <w:tc>
          <w:tcPr>
            <w:tcW w:type="dxa" w:w="1587"/>
          </w:tcPr>
          <w:p>
            <w:pPr>
              <w:spacing w:after="0" w:line="240" w:lineRule="auto"/>
              <w:jc w:val="right"/>
            </w:pPr>
            <w:r>
              <w:rPr>
                <w:b w:val="0"/>
                <w:sz w:val="17"/>
              </w:rPr>
              <w:t>18 / 1.4093</w:t>
            </w:r>
          </w:p>
        </w:tc>
        <w:tc>
          <w:tcPr>
            <w:tcW w:type="dxa" w:w="1587"/>
          </w:tcPr>
          <w:p>
            <w:pPr>
              <w:spacing w:after="0" w:line="240" w:lineRule="auto"/>
              <w:jc w:val="right"/>
            </w:pPr>
            <w:r>
              <w:rPr>
                <w:b w:val="0"/>
                <w:sz w:val="17"/>
              </w:rPr>
              <w:t>19 / 0.9436</w:t>
            </w:r>
          </w:p>
        </w:tc>
        <w:tc>
          <w:tcPr>
            <w:tcW w:type="dxa" w:w="1587"/>
          </w:tcPr>
          <w:p>
            <w:pPr>
              <w:spacing w:after="0" w:line="240" w:lineRule="auto"/>
              <w:jc w:val="right"/>
            </w:pPr>
            <w:r>
              <w:rPr>
                <w:b w:val="0"/>
                <w:sz w:val="17"/>
              </w:rPr>
              <w:t>19 / 0.6680</w:t>
            </w:r>
          </w:p>
        </w:tc>
        <w:tc>
          <w:tcPr>
            <w:tcW w:type="dxa" w:w="1134"/>
          </w:tcPr>
          <w:p>
            <w:pPr>
              <w:spacing w:after="0" w:line="240" w:lineRule="auto"/>
              <w:jc w:val="right"/>
            </w:pPr>
            <w:r>
              <w:rPr>
                <w:b w:val="0"/>
                <w:sz w:val="17"/>
              </w:rPr>
              <w:t>44</w:t>
            </w:r>
          </w:p>
        </w:tc>
      </w:tr>
      <w:tr>
        <w:tc>
          <w:tcPr>
            <w:tcW w:type="dxa" w:w="3175"/>
          </w:tcPr>
          <w:p>
            <w:pPr>
              <w:spacing w:after="0" w:line="240" w:lineRule="auto"/>
            </w:pPr>
            <w:r>
              <w:rPr>
                <w:b w:val="0"/>
                <w:sz w:val="17"/>
              </w:rPr>
              <w:t>Pairs from ±14 (±14 to ±1)</w:t>
            </w:r>
          </w:p>
        </w:tc>
        <w:tc>
          <w:tcPr>
            <w:tcW w:type="dxa" w:w="1587"/>
          </w:tcPr>
          <w:p>
            <w:pPr>
              <w:spacing w:after="0" w:line="240" w:lineRule="auto"/>
              <w:jc w:val="right"/>
            </w:pPr>
            <w:r>
              <w:rPr>
                <w:b w:val="0"/>
                <w:sz w:val="17"/>
              </w:rPr>
              <w:t>18 / 1.4167</w:t>
            </w:r>
          </w:p>
        </w:tc>
        <w:tc>
          <w:tcPr>
            <w:tcW w:type="dxa" w:w="1587"/>
          </w:tcPr>
          <w:p>
            <w:pPr>
              <w:spacing w:after="0" w:line="240" w:lineRule="auto"/>
              <w:jc w:val="right"/>
            </w:pPr>
            <w:r>
              <w:rPr>
                <w:b w:val="0"/>
                <w:sz w:val="17"/>
              </w:rPr>
              <w:t>19 / 0.9550*</w:t>
            </w:r>
          </w:p>
        </w:tc>
        <w:tc>
          <w:tcPr>
            <w:tcW w:type="dxa" w:w="1587"/>
          </w:tcPr>
          <w:p>
            <w:pPr>
              <w:spacing w:after="0" w:line="240" w:lineRule="auto"/>
              <w:jc w:val="right"/>
            </w:pPr>
            <w:r>
              <w:rPr>
                <w:b w:val="0"/>
                <w:sz w:val="17"/>
              </w:rPr>
              <w:t>20 / 0.6559</w:t>
            </w:r>
          </w:p>
        </w:tc>
        <w:tc>
          <w:tcPr>
            <w:tcW w:type="dxa" w:w="1134"/>
          </w:tcPr>
          <w:p>
            <w:pPr>
              <w:spacing w:after="0" w:line="240" w:lineRule="auto"/>
              <w:jc w:val="right"/>
            </w:pPr>
            <w:r>
              <w:rPr>
                <w:b w:val="0"/>
                <w:sz w:val="17"/>
              </w:rPr>
              <w:t>46</w:t>
            </w:r>
          </w:p>
        </w:tc>
      </w:tr>
      <w:tr>
        <w:tc>
          <w:tcPr>
            <w:tcW w:type="dxa" w:w="3175"/>
          </w:tcPr>
          <w:p>
            <w:pPr>
              <w:spacing w:after="0" w:line="240" w:lineRule="auto"/>
            </w:pPr>
            <w:r>
              <w:rPr>
                <w:b w:val="0"/>
                <w:sz w:val="17"/>
              </w:rPr>
              <w:t>Overlapping sets without ±28</w:t>
            </w:r>
          </w:p>
        </w:tc>
        <w:tc>
          <w:tcPr>
            <w:tcW w:type="dxa" w:w="1587"/>
          </w:tcPr>
          <w:p>
            <w:pPr>
              <w:spacing w:after="0" w:line="240" w:lineRule="auto"/>
              <w:jc w:val="right"/>
            </w:pPr>
            <w:r>
              <w:rPr>
                <w:b w:val="0"/>
                <w:sz w:val="17"/>
              </w:rPr>
              <w:t>18 / 1.4152</w:t>
            </w:r>
          </w:p>
        </w:tc>
        <w:tc>
          <w:tcPr>
            <w:tcW w:type="dxa" w:w="1587"/>
          </w:tcPr>
          <w:p>
            <w:pPr>
              <w:spacing w:after="0" w:line="240" w:lineRule="auto"/>
              <w:jc w:val="right"/>
            </w:pPr>
            <w:r>
              <w:rPr>
                <w:b w:val="0"/>
                <w:sz w:val="17"/>
              </w:rPr>
              <w:t>19 / 0.9706*</w:t>
            </w:r>
          </w:p>
        </w:tc>
        <w:tc>
          <w:tcPr>
            <w:tcW w:type="dxa" w:w="1587"/>
          </w:tcPr>
          <w:p>
            <w:pPr>
              <w:spacing w:after="0" w:line="240" w:lineRule="auto"/>
              <w:jc w:val="right"/>
            </w:pPr>
            <w:r>
              <w:rPr>
                <w:b w:val="0"/>
                <w:sz w:val="17"/>
              </w:rPr>
              <w:t>20 / 0.6757</w:t>
            </w:r>
          </w:p>
        </w:tc>
        <w:tc>
          <w:tcPr>
            <w:tcW w:type="dxa" w:w="1134"/>
          </w:tcPr>
          <w:p>
            <w:pPr>
              <w:spacing w:after="0" w:line="240" w:lineRule="auto"/>
              <w:jc w:val="right"/>
            </w:pPr>
            <w:r>
              <w:rPr>
                <w:b w:val="0"/>
                <w:sz w:val="17"/>
              </w:rPr>
              <w:t>48</w:t>
            </w:r>
          </w:p>
        </w:tc>
      </w:tr>
      <w:tr>
        <w:tc>
          <w:tcPr>
            <w:tcW w:type="dxa" w:w="3175"/>
          </w:tcPr>
          <w:p>
            <w:pPr>
              <w:spacing w:after="0" w:line="240" w:lineRule="auto"/>
            </w:pPr>
            <w:r>
              <w:rPr>
                <w:b w:val="0"/>
                <w:sz w:val="17"/>
              </w:rPr>
              <w:t>Pairs from ±7 (±7 to ±1)</w:t>
            </w:r>
          </w:p>
        </w:tc>
        <w:tc>
          <w:tcPr>
            <w:tcW w:type="dxa" w:w="1587"/>
          </w:tcPr>
          <w:p>
            <w:pPr>
              <w:spacing w:after="0" w:line="240" w:lineRule="auto"/>
              <w:jc w:val="right"/>
            </w:pPr>
            <w:r>
              <w:rPr>
                <w:b w:val="0"/>
                <w:sz w:val="17"/>
              </w:rPr>
              <w:t>18 / 1.4480*</w:t>
            </w:r>
          </w:p>
        </w:tc>
        <w:tc>
          <w:tcPr>
            <w:tcW w:type="dxa" w:w="1587"/>
          </w:tcPr>
          <w:p>
            <w:pPr>
              <w:spacing w:after="0" w:line="240" w:lineRule="auto"/>
              <w:jc w:val="right"/>
            </w:pPr>
            <w:r>
              <w:rPr>
                <w:b w:val="0"/>
                <w:sz w:val="17"/>
              </w:rPr>
              <w:t>19 / 1.0812*</w:t>
            </w:r>
          </w:p>
        </w:tc>
        <w:tc>
          <w:tcPr>
            <w:tcW w:type="dxa" w:w="1587"/>
          </w:tcPr>
          <w:p>
            <w:pPr>
              <w:spacing w:after="0" w:line="240" w:lineRule="auto"/>
              <w:jc w:val="right"/>
            </w:pPr>
            <w:r>
              <w:rPr>
                <w:b w:val="0"/>
                <w:sz w:val="17"/>
              </w:rPr>
              <w:t>20 / 0.7695*</w:t>
            </w:r>
          </w:p>
        </w:tc>
        <w:tc>
          <w:tcPr>
            <w:tcW w:type="dxa" w:w="1134"/>
          </w:tcPr>
          <w:p>
            <w:pPr>
              <w:spacing w:after="0" w:line="240" w:lineRule="auto"/>
              <w:jc w:val="right"/>
            </w:pPr>
            <w:r>
              <w:rPr>
                <w:b w:val="0"/>
                <w:sz w:val="17"/>
              </w:rPr>
              <w:t>70</w:t>
            </w:r>
          </w:p>
        </w:tc>
      </w:tr>
      <w:tr>
        <w:tc>
          <w:tcPr>
            <w:tcW w:type="dxa" w:w="3175"/>
          </w:tcPr>
          <w:p>
            <w:pPr>
              <w:spacing w:after="0" w:line="240" w:lineRule="auto"/>
            </w:pPr>
            <w:r>
              <w:rPr>
                <w:b w:val="0"/>
                <w:sz w:val="17"/>
              </w:rPr>
              <w:t>Pairs from ±3 (±3, ±1)</w:t>
            </w:r>
          </w:p>
        </w:tc>
        <w:tc>
          <w:tcPr>
            <w:tcW w:type="dxa" w:w="1587"/>
          </w:tcPr>
          <w:p>
            <w:pPr>
              <w:spacing w:after="0" w:line="240" w:lineRule="auto"/>
              <w:jc w:val="right"/>
            </w:pPr>
            <w:r>
              <w:rPr>
                <w:b w:val="0"/>
                <w:sz w:val="17"/>
              </w:rPr>
              <w:t>17 / 1.6104*</w:t>
            </w:r>
          </w:p>
        </w:tc>
        <w:tc>
          <w:tcPr>
            <w:tcW w:type="dxa" w:w="1587"/>
          </w:tcPr>
          <w:p>
            <w:pPr>
              <w:spacing w:after="0" w:line="240" w:lineRule="auto"/>
              <w:jc w:val="right"/>
            </w:pPr>
            <w:r>
              <w:rPr>
                <w:b w:val="0"/>
                <w:sz w:val="17"/>
              </w:rPr>
              <w:t>19 / 1.2687*</w:t>
            </w:r>
          </w:p>
        </w:tc>
        <w:tc>
          <w:tcPr>
            <w:tcW w:type="dxa" w:w="1587"/>
          </w:tcPr>
          <w:p>
            <w:pPr>
              <w:spacing w:after="0" w:line="240" w:lineRule="auto"/>
              <w:jc w:val="right"/>
            </w:pPr>
            <w:r>
              <w:rPr>
                <w:b w:val="0"/>
                <w:sz w:val="17"/>
              </w:rPr>
              <w:t>19 / 0.9929*</w:t>
            </w:r>
          </w:p>
        </w:tc>
        <w:tc>
          <w:tcPr>
            <w:tcW w:type="dxa" w:w="1134"/>
          </w:tcPr>
          <w:p>
            <w:pPr>
              <w:spacing w:after="0" w:line="240" w:lineRule="auto"/>
              <w:jc w:val="right"/>
            </w:pPr>
            <w:r>
              <w:rPr>
                <w:b w:val="0"/>
                <w:sz w:val="17"/>
              </w:rPr>
              <w:t>99</w:t>
            </w:r>
          </w:p>
        </w:tc>
      </w:tr>
      <w:tr>
        <w:tc>
          <w:tcPr>
            <w:tcW w:type="dxa" w:w="3175"/>
          </w:tcPr>
          <w:p>
            <w:pPr>
              <w:spacing w:after="0" w:line="240" w:lineRule="auto"/>
            </w:pPr>
            <w:r>
              <w:rPr>
                <w:b w:val="0"/>
                <w:sz w:val="17"/>
              </w:rPr>
              <w:t>±1 only</w:t>
            </w:r>
          </w:p>
        </w:tc>
        <w:tc>
          <w:tcPr>
            <w:tcW w:type="dxa" w:w="1587"/>
          </w:tcPr>
          <w:p>
            <w:pPr>
              <w:spacing w:after="0" w:line="240" w:lineRule="auto"/>
              <w:jc w:val="right"/>
            </w:pPr>
            <w:r>
              <w:rPr>
                <w:b w:val="0"/>
                <w:sz w:val="17"/>
              </w:rPr>
              <w:t>17 / 1.7650*</w:t>
            </w:r>
          </w:p>
        </w:tc>
        <w:tc>
          <w:tcPr>
            <w:tcW w:type="dxa" w:w="1587"/>
          </w:tcPr>
          <w:p>
            <w:pPr>
              <w:spacing w:after="0" w:line="240" w:lineRule="auto"/>
              <w:jc w:val="right"/>
            </w:pPr>
            <w:r>
              <w:rPr>
                <w:b w:val="0"/>
                <w:sz w:val="17"/>
              </w:rPr>
              <w:t>18 / 1.5220*</w:t>
            </w:r>
          </w:p>
        </w:tc>
        <w:tc>
          <w:tcPr>
            <w:tcW w:type="dxa" w:w="1587"/>
          </w:tcPr>
          <w:p>
            <w:pPr>
              <w:spacing w:after="0" w:line="240" w:lineRule="auto"/>
              <w:jc w:val="right"/>
            </w:pPr>
            <w:r>
              <w:rPr>
                <w:b w:val="0"/>
                <w:sz w:val="17"/>
              </w:rPr>
              <w:t>18 / 1.2258*</w:t>
            </w:r>
          </w:p>
        </w:tc>
        <w:tc>
          <w:tcPr>
            <w:tcW w:type="dxa" w:w="1134"/>
          </w:tcPr>
          <w:p>
            <w:pPr>
              <w:spacing w:after="0" w:line="240" w:lineRule="auto"/>
              <w:jc w:val="right"/>
            </w:pPr>
            <w:r>
              <w:rPr>
                <w:b w:val="0"/>
                <w:sz w:val="17"/>
              </w:rPr>
              <w:t>114</w:t>
            </w:r>
          </w:p>
        </w:tc>
      </w:tr>
      <w:tr>
        <w:tc>
          <w:tcPr>
            <w:tcW w:type="dxa" w:w="3175"/>
          </w:tcPr>
          <w:p>
            <w:pPr>
              <w:spacing w:after="0" w:line="240" w:lineRule="auto"/>
            </w:pPr>
            <w:r>
              <w:rPr>
                <w:b w:val="0"/>
                <w:sz w:val="17"/>
              </w:rPr>
              <w:t>Baseline steps, fine first (±1 to ±28)</w:t>
            </w:r>
          </w:p>
        </w:tc>
        <w:tc>
          <w:tcPr>
            <w:tcW w:type="dxa" w:w="1587"/>
          </w:tcPr>
          <w:p>
            <w:pPr>
              <w:spacing w:after="0" w:line="240" w:lineRule="auto"/>
              <w:jc w:val="right"/>
            </w:pPr>
            <w:r>
              <w:rPr>
                <w:b w:val="0"/>
                <w:sz w:val="17"/>
              </w:rPr>
              <w:t>17 / 1.7650*</w:t>
            </w:r>
          </w:p>
        </w:tc>
        <w:tc>
          <w:tcPr>
            <w:tcW w:type="dxa" w:w="1587"/>
          </w:tcPr>
          <w:p>
            <w:pPr>
              <w:spacing w:after="0" w:line="240" w:lineRule="auto"/>
              <w:jc w:val="right"/>
            </w:pPr>
            <w:r>
              <w:rPr>
                <w:b w:val="0"/>
                <w:sz w:val="17"/>
              </w:rPr>
              <w:t>18 / 1.5220*</w:t>
            </w:r>
          </w:p>
        </w:tc>
        <w:tc>
          <w:tcPr>
            <w:tcW w:type="dxa" w:w="1587"/>
          </w:tcPr>
          <w:p>
            <w:pPr>
              <w:spacing w:after="0" w:line="240" w:lineRule="auto"/>
              <w:jc w:val="right"/>
            </w:pPr>
            <w:r>
              <w:rPr>
                <w:b w:val="0"/>
                <w:sz w:val="17"/>
              </w:rPr>
              <w:t>18 / 1.2258*</w:t>
            </w:r>
          </w:p>
        </w:tc>
        <w:tc>
          <w:tcPr>
            <w:tcW w:type="dxa" w:w="1134"/>
          </w:tcPr>
          <w:p>
            <w:pPr>
              <w:spacing w:after="0" w:line="240" w:lineRule="auto"/>
              <w:jc w:val="right"/>
            </w:pPr>
            <w:r>
              <w:rPr>
                <w:b w:val="0"/>
                <w:sz w:val="17"/>
              </w:rPr>
              <w:t>114</w:t>
            </w:r>
          </w:p>
        </w:tc>
      </w:tr>
    </w:tbl>
    <w:p>
      <w:pPr>
        <w:spacing w:after="0" w:line="80" w:lineRule="exact"/>
      </w:pPr>
    </w:p>
    <w:p>
      <w:pPr>
        <w:jc w:val="center"/>
      </w:pPr>
      <w:r>
        <w:drawing>
          <wp:inline xmlns:a="http://schemas.openxmlformats.org/drawingml/2006/main" xmlns:pic="http://schemas.openxmlformats.org/drawingml/2006/picture">
            <wp:extent cx="5580000" cy="2712500"/>
            <wp:docPr id="1" name="Picture 1"/>
            <wp:cNvGraphicFramePr>
              <a:graphicFrameLocks noChangeAspect="1"/>
            </wp:cNvGraphicFramePr>
            <a:graphic>
              <a:graphicData uri="http://schemas.openxmlformats.org/drawingml/2006/picture">
                <pic:pic>
                  <pic:nvPicPr>
                    <pic:cNvPr id="0" name="sd-by-strategy-400.png"/>
                    <pic:cNvPicPr/>
                  </pic:nvPicPr>
                  <pic:blipFill>
                    <a:blip r:embed="rId9"/>
                    <a:stretch>
                      <a:fillRect/>
                    </a:stretch>
                  </pic:blipFill>
                  <pic:spPr>
                    <a:xfrm>
                      <a:off x="0" y="0"/>
                      <a:ext cx="5580000" cy="2712500"/>
                    </a:xfrm>
                    <a:prstGeom prst="rect"/>
                  </pic:spPr>
                </pic:pic>
              </a:graphicData>
            </a:graphic>
          </wp:inline>
        </w:drawing>
      </w:r>
    </w:p>
    <w:p>
      <w:r>
        <w:rPr>
          <w:i/>
          <w:sz w:val="17"/>
        </w:rPr>
        <w:t>Figure 1. Variability at 400 iterations for every strategy, in Table 3 order. Note that each panel has its own scale.</w:t>
      </w:r>
    </w:p>
    <w:p>
      <w:pPr>
        <w:pStyle w:val="Heading1"/>
      </w:pPr>
      <w:r>
        <w:t>What the step-size experiments show</w:t>
      </w:r>
    </w:p>
    <w:p>
      <w:r>
        <w:rPr>
          <w:b/>
        </w:rPr>
        <w:t xml:space="preserve">Shrinking the largest step. </w:t>
      </w:r>
      <w:r>
        <w:t>Removing the largest step one at a time made variability worse at every stage on every forecast. Minimum aircraft (original/moderate/wide) at 400 iterations were 18/19/20 for the ±28 baseline, 18/19/20 for ±14, 18/19/20 for ±7, 17/19/19 for ±3 and 17/18/18 for ±1 alone. SD rose from 1.4135, 0.9067, 0.6062 with ±28 to 1.4167, 0.9550, 0.6559 with ±14 and 1.4480, 1.0812, 0.7695 with ±7. The ±7, ±3 and ±1 ladders also ran out of iterations at 400. Even with more budget, ±1 alone fell short of the baseline's 18/19/20: it reached 17/18/18 aircraft at 800 and 18/18/19 at 1600. Steps of at least ±14 are needed, and ±28 is clearly better than ±14.</w:t>
      </w:r>
    </w:p>
    <w:p>
      <w:r>
        <w:rPr>
          <w:b/>
        </w:rPr>
        <w:t xml:space="preserve">Order matters. </w:t>
      </w:r>
      <w:r>
        <w:t>Searching the same five baseline steps fine step first (±1, ±3, ±7, ±14, ±28) produced exactly the same schedules as ±1 alone at 200, 400 and 800 iterations. Every accepted move in those runs was ±1: a ±1 move kept finding some small improvement, so the larger steps were never reached. At 400 it reached 17/18/18 aircraft against 18/19/20 for the baseline order, and it was still at the limit after 1600 iterations on every forecast (18/18/19 aircraft). Large steps must come first.</w:t>
      </w:r>
    </w:p>
    <w:p>
      <w:r>
        <w:rPr>
          <w:b/>
        </w:rPr>
        <w:t xml:space="preserve">Single set versus ladder. </w:t>
      </w:r>
      <w:r>
        <w:t>Trying all ten baseline shifts together as one set was slightly better than the ladder on the original forecast (SD 1.4093 against 1.4135), worse on moderate stagger (0.9436 against 0.9067) and lost an aircraft at the minimum on wide stagger (19 against 20). Each pass is also heavier: at 200 iterations it took 5.72–9.33 s against 2.69–3.42 s for the ladder. The ladder is the better default.</w:t>
      </w:r>
    </w:p>
    <w:p>
      <w:r>
        <w:rPr>
          <w:b/>
        </w:rPr>
        <w:t xml:space="preserve">Wide steps. </w:t>
      </w:r>
      <w:r>
        <w:t>Adding ±42 in front of the baseline improved SD on the original and moderate forecasts (1.4034 and 0.8886) but made wide stagger worse (0.6219 against 0.6062). Adding both ±56 and ±42 improved SD on all three forecasts, by 0.0037, 0.0233, 0.0194, with the same minimum and average availability within 0.003 aircraft. The wide moves are genuinely used: 36% of the recommended ladder's accepted moves were ±42 or ±56. The gain over the baseline is real but small.</w:t>
      </w:r>
    </w:p>
    <w:p>
      <w:r>
        <w:rPr>
          <w:b/>
        </w:rPr>
        <w:t xml:space="preserve">Overlapping sets. </w:t>
      </w:r>
      <w:r>
        <w:t>Dropping ±28 from the overlapping half-step sets raised the wide stagger minimum from 19 to 20 aircraft, but made SD worse on the original forecast and, at 400 iterations, ran out of iterations on moderate stagger. Neither overlapping variant beat the simple paired ladders overall.</w:t>
      </w:r>
    </w:p>
    <w:p>
      <w:pPr>
        <w:pStyle w:val="Heading1"/>
      </w:pPr>
      <w:r>
        <w:t>Why use 400 iterations</w:t>
      </w:r>
    </w:p>
    <w:p>
      <w:r>
        <w:t>All 39 runs at 200 iterations hit their limit, so 200 is too short. 400 and 800 produced identical schedules in 24 of 39 strategy–forecast comparisons. Every one of the 15 that improved at 800 had already stopped at the 400 limit: the ±7, ±3, ±1 and fine-first ladders on every forecast, plus dense pairs, ±14 and overlapping sets without ±28 on moderate stagger. The recommended ladder finished with no improving move on all three forecasts after 291–367 accepted moves, so 800 adds nothing for it.</w:t>
      </w:r>
    </w:p>
    <w:p>
      <w:r>
        <w:t>Only ±1 alone and the fine-first ladder were still at the limit after 800 iterations, so they were rerun at 1600. Doubling the budget helped them (±1 alone improved from 17/18/18 to 18/18/19 aircraft) and ±1 alone finished on moderate stagger and wide stagger, but fine-first was still at the limit on every forecast. Their best 1600-iteration rank was 29 of 41. More budget does not make up for missing large steps.</w:t>
      </w:r>
    </w:p>
    <w:p>
      <w:r>
        <w:t>All 123 schedules passed the implemented maintenance checks. Search times ranged from 0.69 to 22.38 seconds. The recommended setting took 14.46–17.33 s per forecast and the baseline at 400 took 11.15–13.30 s (Figure 2). These times were measured with four trials running at once on a four-core cloud machine, so they run higher than the first study's single runs (12.11–14.40 s for the same setting). Each is a single observation and excludes loading and validation; treat them as relative, not absolute.</w:t>
      </w:r>
    </w:p>
    <w:p>
      <w:pPr>
        <w:jc w:val="center"/>
      </w:pPr>
      <w:r>
        <w:drawing>
          <wp:inline xmlns:a="http://schemas.openxmlformats.org/drawingml/2006/main" xmlns:pic="http://schemas.openxmlformats.org/drawingml/2006/picture">
            <wp:extent cx="5400000" cy="2250000"/>
            <wp:docPr id="2" name="Picture 2"/>
            <wp:cNvGraphicFramePr>
              <a:graphicFrameLocks noChangeAspect="1"/>
            </wp:cNvGraphicFramePr>
            <a:graphic>
              <a:graphicData uri="http://schemas.openxmlformats.org/drawingml/2006/picture">
                <pic:pic>
                  <pic:nvPicPr>
                    <pic:cNvPr id="0" name="runtime-vs-sd-400.png"/>
                    <pic:cNvPicPr/>
                  </pic:nvPicPr>
                  <pic:blipFill>
                    <a:blip r:embed="rId10"/>
                    <a:stretch>
                      <a:fillRect/>
                    </a:stretch>
                  </pic:blipFill>
                  <pic:spPr>
                    <a:xfrm>
                      <a:off x="0" y="0"/>
                      <a:ext cx="5400000" cy="2250000"/>
                    </a:xfrm>
                    <a:prstGeom prst="rect"/>
                  </pic:spPr>
                </pic:pic>
              </a:graphicData>
            </a:graphic>
          </wp:inline>
        </w:drawing>
      </w:r>
    </w:p>
    <w:p>
      <w:r>
        <w:rPr>
          <w:i/>
          <w:sz w:val="17"/>
        </w:rPr>
        <w:t>Figure 2. Search time against variability at 400 iterations. Faster settings are the small-step ladders, which give worse schedules. The fine-first ladder sits under ±1 only because its schedules are identical.</w:t>
      </w:r>
    </w:p>
    <w:p>
      <w:pPr>
        <w:pStyle w:val="Heading1"/>
      </w:pPr>
      <w:r>
        <w:t>Limits and next step</w:t>
      </w:r>
    </w:p>
    <w:p>
      <w:r>
        <w:t>These results cover three related forecasts and 13 strategies. Each trial is a single deterministic run, so there is no spread across repeats, and the timings are single observations. The SD differences between the leading strategies are small (hundredths of an aircraft) and could reorder on other forecasts. The results do not establish a global optimum. The optimiser does not enforce the separate loose, medium and tight operational scenarios, so those constraints still need review before adoption. The baseline is based on recollection rather than a recorded configuration.</w:t>
      </w:r>
    </w:p>
    <w:p>
      <w:r>
        <w:t>Keep the wide-to-fine ladder at 400 iterations. If a simpler setting is preferred, the ±28 baseline at 400 keeps the same minimum availability on these forecasts at a small cost in variability (it ranked 5 of 13 at 400). Do not use ladders that start below ±14 or that search fine steps first. Rerun the comparison when the fleet, maintenance rules or starting state changes.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Arial" w:hAnsi="Arial" w:eastAsia="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eastAsia="Arial" w:cs="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Maintenance optimiser step-size results</dc:title>
  <dc:subject/>
  <dc:creator>UQ / Northrop Grumman fleet schedule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