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Priority-based optimiser hyperparameter report</w:t>
      </w:r>
    </w:p>
    <w:p>
      <w:pPr>
        <w:spacing w:after="160"/>
      </w:pPr>
      <w:r>
        <w:t>This report is the write-up of a 74-trial study of savn_priority_based_selection.py on the local heavy_maintenance_forecast.xlsx workbook. The production module was not changed. A quiet copy of the search loop reused the live scoring, rebuild, and neighbour code. The algorithm is deterministic, so each setting was run once. Every finished schedule passed is_rule_compliant_schedule.</w:t>
      </w:r>
    </w:p>
    <w:p>
      <w:pPr>
        <w:pStyle w:val="Heading1"/>
      </w:pPr>
      <w:r>
        <w:t>Verdict</w:t>
      </w:r>
    </w:p>
    <w:p>
      <w:pPr>
        <w:spacing w:after="160"/>
      </w:pPr>
      <w:r>
        <w:t>Minimum availability 19 was not found. The floor stayed at 18. The published default still reaches min 18 with standard deviation 1.413971 in about 15 seconds, which matches the Iteration 1 hill-climb. Those neighbourhoods are not the best ones. The best setting found a smoother 18 at standard deviation 1.391860.</w:t>
      </w:r>
    </w:p>
    <w:p>
      <w:pPr>
        <w:spacing w:after="160"/>
      </w:pPr>
      <w:r>
        <w:t>That smoothness also beats the 1.405740 keep-gate used to judge the later annealing work. A better neighbourhood on the original hill-climber cleared the target that annealing was asked to meet, without leaving the deterministic search.</w:t>
      </w:r>
    </w:p>
    <w:p>
      <w:pPr>
        <w:pStyle w:val="Heading1"/>
      </w:pPr>
      <w:r>
        <w:t>Recommended settings</w:t>
      </w:r>
    </w:p>
    <w:p>
      <w:pPr>
        <w:spacing w:after="160"/>
      </w:pPr>
      <w:r>
        <w:t>Keep first-priority-level selection and a 400-iteration cap. Change the neighbourhoods to a half-step VNS ladder:</w:t>
      </w:r>
    </w:p>
    <w:p>
      <w:pPr>
        <w:spacing w:after="160"/>
      </w:pPr>
      <w:r>
        <w:t>shift_sets = [(-28, -14, 14, 28), (-14, -7, 7, 14), (-7, -3, 3, 7), (-3, -1, 1, 3)]</w:t>
      </w:r>
    </w:p>
    <w:p>
      <w:pPr>
        <w:spacing w:after="160"/>
      </w:pPr>
      <w:r>
        <w:t>On this workbook that run accepted 319 moves, stopped because nothing else improved, and finished in 96.5 seconds. Mean availability stayed at 21.713010, as it did in every trial, because check durations are fixed.</w:t>
      </w:r>
    </w:p>
    <w:p>
      <w:pPr>
        <w:spacing w:after="160"/>
      </w:pPr>
      <w:r>
        <w:t>If you want ordinary plus-or-minus pairs only, the next best ladder is (-28, 28), (-21, 21), (-14, 14), (-7, 7), (-3, 3), (-1, 1) at std 1.396502. A cheap upgrade from the published default is to put (-42, 42) in front of it, which reaches 1.404311 in 20 seconds.</w:t>
      </w:r>
    </w:p>
    <w:p>
      <w:pPr>
        <w:pStyle w:val="Heading1"/>
      </w:pPr>
      <w:r>
        <w:t>How the study was run</w:t>
      </w:r>
    </w:p>
    <w:p>
      <w:pPr>
        <w:spacing w:after="160"/>
      </w:pPr>
      <w:r>
        <w:t>The local workbook has 24 aircraft, 278 events, and a 4,480-day horizon. Off the sheet the fleet is min 15, std 1.950. I first reproduced the published default, then swept iteration caps, single jump sizes, VNS ladders, neighbourhood order, richer offset tuples, and selection policy. After that I reran the six best distinct settings at 80, 200, and 800 iterations and again with all-levels selection. Total wall time was 3,151 seconds. One repeated winner sat for 16 minutes on a busy machine; the first time that setting finished in 95 seconds. I treat the long repeat as machine noise.</w:t>
      </w:r>
    </w:p>
    <w:p>
      <w:pPr>
        <w:pStyle w:val="Heading1"/>
      </w:pPr>
      <w:r>
        <w:t>Iteration budget</w:t>
      </w:r>
    </w:p>
    <w:p>
      <w:pPr>
        <w:spacing w:after="160"/>
      </w:pPr>
      <w:r>
        <w:t>On the default ladder the search accepts 280 moves and then stops. A cap of 400 or 800 gives the same schedule. Caps of 160 and below never reach min 18. The later winners needed roughly 260 to 350 accepted moves as well. Do not cut max_iters to 200 and assume the floor will hold.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Cap</w:t>
            </w:r>
          </w:p>
        </w:tc>
        <w:tc>
          <w:tcPr>
            <w:tcW w:type="dxa" w:w="2160"/>
          </w:tcPr>
          <w:p>
            <w:r>
              <w:t>Minimum</w:t>
            </w:r>
          </w:p>
        </w:tc>
        <w:tc>
          <w:tcPr>
            <w:tcW w:type="dxa" w:w="2160"/>
          </w:tcPr>
          <w:p>
            <w:r>
              <w:t>Std</w:t>
            </w:r>
          </w:p>
        </w:tc>
        <w:tc>
          <w:tcPr>
            <w:tcW w:type="dxa" w:w="2160"/>
          </w:tcPr>
          <w:p>
            <w:r>
              <w:t>Moves</w:t>
            </w:r>
          </w:p>
        </w:tc>
      </w:tr>
      <w:tr>
        <w:tc>
          <w:tcPr>
            <w:tcW w:type="dxa" w:w="2160"/>
          </w:tcPr>
          <w:p>
            <w:r>
              <w:t>5</w:t>
            </w:r>
          </w:p>
        </w:tc>
        <w:tc>
          <w:tcPr>
            <w:tcW w:type="dxa" w:w="2160"/>
          </w:tcPr>
          <w:p>
            <w:r>
              <w:t>16</w:t>
            </w:r>
          </w:p>
        </w:tc>
        <w:tc>
          <w:tcPr>
            <w:tcW w:type="dxa" w:w="2160"/>
          </w:tcPr>
          <w:p>
            <w:r>
              <w:t>1.873</w:t>
            </w:r>
          </w:p>
        </w:tc>
        <w:tc>
          <w:tcPr>
            <w:tcW w:type="dxa" w:w="2160"/>
          </w:tcPr>
          <w:p>
            <w:r>
              <w:t>5</w:t>
            </w:r>
          </w:p>
        </w:tc>
      </w:tr>
      <w:tr>
        <w:tc>
          <w:tcPr>
            <w:tcW w:type="dxa" w:w="2160"/>
          </w:tcPr>
          <w:p>
            <w:r>
              <w:t>10</w:t>
            </w:r>
          </w:p>
        </w:tc>
        <w:tc>
          <w:tcPr>
            <w:tcW w:type="dxa" w:w="2160"/>
          </w:tcPr>
          <w:p>
            <w:r>
              <w:t>17</w:t>
            </w:r>
          </w:p>
        </w:tc>
        <w:tc>
          <w:tcPr>
            <w:tcW w:type="dxa" w:w="2160"/>
          </w:tcPr>
          <w:p>
            <w:r>
              <w:t>1.810</w:t>
            </w:r>
          </w:p>
        </w:tc>
        <w:tc>
          <w:tcPr>
            <w:tcW w:type="dxa" w:w="2160"/>
          </w:tcPr>
          <w:p>
            <w:r>
              <w:t>10</w:t>
            </w:r>
          </w:p>
        </w:tc>
      </w:tr>
      <w:tr>
        <w:tc>
          <w:tcPr>
            <w:tcW w:type="dxa" w:w="2160"/>
          </w:tcPr>
          <w:p>
            <w:r>
              <w:t>20</w:t>
            </w:r>
          </w:p>
        </w:tc>
        <w:tc>
          <w:tcPr>
            <w:tcW w:type="dxa" w:w="2160"/>
          </w:tcPr>
          <w:p>
            <w:r>
              <w:t>17</w:t>
            </w:r>
          </w:p>
        </w:tc>
        <w:tc>
          <w:tcPr>
            <w:tcW w:type="dxa" w:w="2160"/>
          </w:tcPr>
          <w:p>
            <w:r>
              <w:t>1.758</w:t>
            </w:r>
          </w:p>
        </w:tc>
        <w:tc>
          <w:tcPr>
            <w:tcW w:type="dxa" w:w="2160"/>
          </w:tcPr>
          <w:p>
            <w:r>
              <w:t>20</w:t>
            </w:r>
          </w:p>
        </w:tc>
      </w:tr>
      <w:tr>
        <w:tc>
          <w:tcPr>
            <w:tcW w:type="dxa" w:w="2160"/>
          </w:tcPr>
          <w:p>
            <w:r>
              <w:t>40</w:t>
            </w:r>
          </w:p>
        </w:tc>
        <w:tc>
          <w:tcPr>
            <w:tcW w:type="dxa" w:w="2160"/>
          </w:tcPr>
          <w:p>
            <w:r>
              <w:t>17</w:t>
            </w:r>
          </w:p>
        </w:tc>
        <w:tc>
          <w:tcPr>
            <w:tcW w:type="dxa" w:w="2160"/>
          </w:tcPr>
          <w:p>
            <w:r>
              <w:t>1.675</w:t>
            </w:r>
          </w:p>
        </w:tc>
        <w:tc>
          <w:tcPr>
            <w:tcW w:type="dxa" w:w="2160"/>
          </w:tcPr>
          <w:p>
            <w:r>
              <w:t>40</w:t>
            </w:r>
          </w:p>
        </w:tc>
      </w:tr>
      <w:tr>
        <w:tc>
          <w:tcPr>
            <w:tcW w:type="dxa" w:w="2160"/>
          </w:tcPr>
          <w:p>
            <w:r>
              <w:t>80</w:t>
            </w:r>
          </w:p>
        </w:tc>
        <w:tc>
          <w:tcPr>
            <w:tcW w:type="dxa" w:w="2160"/>
          </w:tcPr>
          <w:p>
            <w:r>
              <w:t>17</w:t>
            </w:r>
          </w:p>
        </w:tc>
        <w:tc>
          <w:tcPr>
            <w:tcW w:type="dxa" w:w="2160"/>
          </w:tcPr>
          <w:p>
            <w:r>
              <w:t>1.569</w:t>
            </w:r>
          </w:p>
        </w:tc>
        <w:tc>
          <w:tcPr>
            <w:tcW w:type="dxa" w:w="2160"/>
          </w:tcPr>
          <w:p>
            <w:r>
              <w:t>80</w:t>
            </w:r>
          </w:p>
        </w:tc>
      </w:tr>
      <w:tr>
        <w:tc>
          <w:tcPr>
            <w:tcW w:type="dxa" w:w="2160"/>
          </w:tcPr>
          <w:p>
            <w:r>
              <w:t>160</w:t>
            </w:r>
          </w:p>
        </w:tc>
        <w:tc>
          <w:tcPr>
            <w:tcW w:type="dxa" w:w="2160"/>
          </w:tcPr>
          <w:p>
            <w:r>
              <w:t>17</w:t>
            </w:r>
          </w:p>
        </w:tc>
        <w:tc>
          <w:tcPr>
            <w:tcW w:type="dxa" w:w="2160"/>
          </w:tcPr>
          <w:p>
            <w:r>
              <w:t>1.468</w:t>
            </w:r>
          </w:p>
        </w:tc>
        <w:tc>
          <w:tcPr>
            <w:tcW w:type="dxa" w:w="2160"/>
          </w:tcPr>
          <w:p>
            <w:r>
              <w:t>160</w:t>
            </w:r>
          </w:p>
        </w:tc>
      </w:tr>
      <w:tr>
        <w:tc>
          <w:tcPr>
            <w:tcW w:type="dxa" w:w="2160"/>
          </w:tcPr>
          <w:p>
            <w:r>
              <w:t>400</w:t>
            </w:r>
          </w:p>
        </w:tc>
        <w:tc>
          <w:tcPr>
            <w:tcW w:type="dxa" w:w="2160"/>
          </w:tcPr>
          <w:p>
            <w:r>
              <w:t>18</w:t>
            </w:r>
          </w:p>
        </w:tc>
        <w:tc>
          <w:tcPr>
            <w:tcW w:type="dxa" w:w="2160"/>
          </w:tcPr>
          <w:p>
            <w:r>
              <w:t>1.414</w:t>
            </w:r>
          </w:p>
        </w:tc>
        <w:tc>
          <w:tcPr>
            <w:tcW w:type="dxa" w:w="2160"/>
          </w:tcPr>
          <w:p>
            <w:r>
              <w:t>280</w:t>
            </w:r>
          </w:p>
        </w:tc>
      </w:tr>
      <w:tr>
        <w:tc>
          <w:tcPr>
            <w:tcW w:type="dxa" w:w="2160"/>
          </w:tcPr>
          <w:p>
            <w:r>
              <w:t>800</w:t>
            </w:r>
          </w:p>
        </w:tc>
        <w:tc>
          <w:tcPr>
            <w:tcW w:type="dxa" w:w="2160"/>
          </w:tcPr>
          <w:p>
            <w:r>
              <w:t>18</w:t>
            </w:r>
          </w:p>
        </w:tc>
        <w:tc>
          <w:tcPr>
            <w:tcW w:type="dxa" w:w="2160"/>
          </w:tcPr>
          <w:p>
            <w:r>
              <w:t>1.414</w:t>
            </w:r>
          </w:p>
        </w:tc>
        <w:tc>
          <w:tcPr>
            <w:tcW w:type="dxa" w:w="2160"/>
          </w:tcPr>
          <w:p>
            <w:r>
              <w:t>280</w:t>
            </w:r>
          </w:p>
        </w:tc>
      </w:tr>
    </w:tbl>
    <w:p/>
    <w:p>
      <w:pPr>
        <w:pStyle w:val="Heading1"/>
      </w:pPr>
      <w:r>
        <w:t>Single neighbourhoods cannot replace VNS</w:t>
      </w:r>
    </w:p>
    <w:p>
      <w:pPr>
        <w:spacing w:after="160"/>
      </w:pPr>
      <w:r>
        <w:t>Only ±5, ±7, and ±14 reached min 18 on their own. The best of those, ±7, stopped at std 1.471, well behind the default ladder. ±10 and ±3 stalled at 17. ±1 and ±2 spent 400 tiny moves and also stayed at 17. ±56 and ±70 barely moved, because the rule rebuild refuses most of those jumps. Large steps lift the floor. Small steps polish a schedule that is already there. You need both, in that order.</w:t>
      </w:r>
    </w:p>
    <w:p>
      <w:pPr>
        <w:pStyle w:val="Heading1"/>
      </w:pPr>
      <w:r>
        <w:t>Order</w:t>
      </w:r>
    </w:p>
    <w:p>
      <w:pPr>
        <w:spacing w:after="160"/>
      </w:pPr>
      <w:r>
        <w:t>Small-first versions of the default and weekly ladders never reached min 18. They spent the budget taking the same tiny improving moves that a ±3 or ±1 neighbourhood would take. An interleaved order still reached 18 and slightly beat the default. Starting at ±42 and immediately dropping to ±1 did not. Keep large jumps first.</w:t>
      </w:r>
    </w:p>
    <w:p>
      <w:pPr>
        <w:pStyle w:val="Heading1"/>
      </w:pPr>
      <w:r>
        <w:t>Ladder shape</w:t>
      </w:r>
    </w:p>
    <w:p>
      <w:pPr>
        <w:spacing w:after="160"/>
      </w:pPr>
      <w:r>
        <w:t>A coarse ladder of only ±70, ±42, and ±28 stayed at min 17. Two-level shortcuts reached 18 but left a bumpier series. Adding a one-day last step or a 42-day first step both beat the published default. Filling the gaps between the default rungs was better still. The best ordinary ±k ladder was the dense weekly set ±28, ±21, ±14, ±7, ±3, ±1.</w:t>
      </w:r>
    </w:p>
    <w:p>
      <w:pPr>
        <w:pStyle w:val="Heading1"/>
      </w:pPr>
      <w:r>
        <w:t>Richer offsets</w:t>
      </w:r>
    </w:p>
    <w:p>
      <w:pPr>
        <w:spacing w:after="160"/>
      </w:pPr>
      <w:r>
        <w:t>The winner was not a new jump size. It was extra offsets on each existing rung, so a 28-day level can also try 14 days, and a 3-day level can also try one day. Putting every offset into one giant union was worse than keeping the layers. The layering is the thing that makes VNS work. Asymmetric left- or right-heavy sets did not help.</w:t>
      </w:r>
    </w:p>
    <w:p>
      <w:pPr>
        <w:pStyle w:val="Heading1"/>
      </w:pPr>
      <w:r>
        <w:t>Selection policy</w:t>
      </w:r>
    </w:p>
    <w:p>
      <w:pPr>
        <w:spacing w:after="160"/>
      </w:pPr>
      <w:r>
        <w:t>The live first-priority-level rule beat both alternatives. Looking across every priority level on the default ladder was slightly worse and more than four times slower. First-improving was worse again. Forcing all-levels selection onto the winning neighbourhoods also lost smoothness. Restricting attention to events on the worst days is aligned with the objective, not just a speed hack.</w:t>
      </w:r>
    </w:p>
    <w:p>
      <w:pPr>
        <w:pStyle w:val="Heading1"/>
      </w:pPr>
      <w:r>
        <w:t>Best first-pass runs that held min 18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Setting</w:t>
            </w:r>
          </w:p>
        </w:tc>
        <w:tc>
          <w:tcPr>
            <w:tcW w:type="dxa" w:w="2160"/>
          </w:tcPr>
          <w:p>
            <w:r>
              <w:t>Std</w:t>
            </w:r>
          </w:p>
        </w:tc>
        <w:tc>
          <w:tcPr>
            <w:tcW w:type="dxa" w:w="2160"/>
          </w:tcPr>
          <w:p>
            <w:r>
              <w:t>Moves</w:t>
            </w:r>
          </w:p>
        </w:tc>
        <w:tc>
          <w:tcPr>
            <w:tcW w:type="dxa" w:w="2160"/>
          </w:tcPr>
          <w:p>
            <w:r>
              <w:t>Seconds</w:t>
            </w:r>
          </w:p>
        </w:tc>
      </w:tr>
      <w:tr>
        <w:tc>
          <w:tcPr>
            <w:tcW w:type="dxa" w:w="2160"/>
          </w:tcPr>
          <w:p>
            <w:r>
              <w:t>Half-step VNS ladder (winner)</w:t>
            </w:r>
          </w:p>
        </w:tc>
        <w:tc>
          <w:tcPr>
            <w:tcW w:type="dxa" w:w="2160"/>
          </w:tcPr>
          <w:p>
            <w:r>
              <w:t>1.391860</w:t>
            </w:r>
          </w:p>
        </w:tc>
        <w:tc>
          <w:tcPr>
            <w:tcW w:type="dxa" w:w="2160"/>
          </w:tcPr>
          <w:p>
            <w:r>
              <w:t>319</w:t>
            </w:r>
          </w:p>
        </w:tc>
        <w:tc>
          <w:tcPr>
            <w:tcW w:type="dxa" w:w="2160"/>
          </w:tcPr>
          <w:p>
            <w:r>
              <w:t>96.5</w:t>
            </w:r>
          </w:p>
        </w:tc>
      </w:tr>
      <w:tr>
        <w:tc>
          <w:tcPr>
            <w:tcW w:type="dxa" w:w="2160"/>
          </w:tcPr>
          <w:p>
            <w:r>
              <w:t>Dense ±k ladder</w:t>
            </w:r>
          </w:p>
        </w:tc>
        <w:tc>
          <w:tcPr>
            <w:tcW w:type="dxa" w:w="2160"/>
          </w:tcPr>
          <w:p>
            <w:r>
              <w:t>1.396502</w:t>
            </w:r>
          </w:p>
        </w:tc>
        <w:tc>
          <w:tcPr>
            <w:tcW w:type="dxa" w:w="2160"/>
          </w:tcPr>
          <w:p>
            <w:r>
              <w:t>329</w:t>
            </w:r>
          </w:p>
        </w:tc>
        <w:tc>
          <w:tcPr>
            <w:tcW w:type="dxa" w:w="2160"/>
          </w:tcPr>
          <w:p>
            <w:r>
              <w:t>82.7</w:t>
            </w:r>
          </w:p>
        </w:tc>
      </w:tr>
      <w:tr>
        <w:tc>
          <w:tcPr>
            <w:tcW w:type="dxa" w:w="2160"/>
          </w:tcPr>
          <w:p>
            <w:r>
              <w:t>Geometric plus one day</w:t>
            </w:r>
          </w:p>
        </w:tc>
        <w:tc>
          <w:tcPr>
            <w:tcW w:type="dxa" w:w="2160"/>
          </w:tcPr>
          <w:p>
            <w:r>
              <w:t>1.399695</w:t>
            </w:r>
          </w:p>
        </w:tc>
        <w:tc>
          <w:tcPr>
            <w:tcW w:type="dxa" w:w="2160"/>
          </w:tcPr>
          <w:p>
            <w:r>
              <w:t>346</w:t>
            </w:r>
          </w:p>
        </w:tc>
        <w:tc>
          <w:tcPr>
            <w:tcW w:type="dxa" w:w="2160"/>
          </w:tcPr>
          <w:p>
            <w:r>
              <w:t>94.9</w:t>
            </w:r>
          </w:p>
        </w:tc>
      </w:tr>
      <w:tr>
        <w:tc>
          <w:tcPr>
            <w:tcW w:type="dxa" w:w="2160"/>
          </w:tcPr>
          <w:p>
            <w:r>
              <w:t>Wide dense ladder</w:t>
            </w:r>
          </w:p>
        </w:tc>
        <w:tc>
          <w:tcPr>
            <w:tcW w:type="dxa" w:w="2160"/>
          </w:tcPr>
          <w:p>
            <w:r>
              <w:t>1.402084</w:t>
            </w:r>
          </w:p>
        </w:tc>
        <w:tc>
          <w:tcPr>
            <w:tcW w:type="dxa" w:w="2160"/>
          </w:tcPr>
          <w:p>
            <w:r>
              <w:t>339</w:t>
            </w:r>
          </w:p>
        </w:tc>
        <w:tc>
          <w:tcPr>
            <w:tcW w:type="dxa" w:w="2160"/>
          </w:tcPr>
          <w:p>
            <w:r>
              <w:t>28.9</w:t>
            </w:r>
          </w:p>
        </w:tc>
      </w:tr>
      <w:tr>
        <w:tc>
          <w:tcPr>
            <w:tcW w:type="dxa" w:w="2160"/>
          </w:tcPr>
          <w:p>
            <w:r>
              <w:t>Paired fortnight / week</w:t>
            </w:r>
          </w:p>
        </w:tc>
        <w:tc>
          <w:tcPr>
            <w:tcW w:type="dxa" w:w="2160"/>
          </w:tcPr>
          <w:p>
            <w:r>
              <w:t>1.403516</w:t>
            </w:r>
          </w:p>
        </w:tc>
        <w:tc>
          <w:tcPr>
            <w:tcW w:type="dxa" w:w="2160"/>
          </w:tcPr>
          <w:p>
            <w:r>
              <w:t>261</w:t>
            </w:r>
          </w:p>
        </w:tc>
        <w:tc>
          <w:tcPr>
            <w:tcW w:type="dxa" w:w="2160"/>
          </w:tcPr>
          <w:p>
            <w:r>
              <w:t>41.6</w:t>
            </w:r>
          </w:p>
        </w:tc>
      </w:tr>
      <w:tr>
        <w:tc>
          <w:tcPr>
            <w:tcW w:type="dxa" w:w="2160"/>
          </w:tcPr>
          <w:p>
            <w:r>
              <w:t>Default plus ±42</w:t>
            </w:r>
          </w:p>
        </w:tc>
        <w:tc>
          <w:tcPr>
            <w:tcW w:type="dxa" w:w="2160"/>
          </w:tcPr>
          <w:p>
            <w:r>
              <w:t>1.404311</w:t>
            </w:r>
          </w:p>
        </w:tc>
        <w:tc>
          <w:tcPr>
            <w:tcW w:type="dxa" w:w="2160"/>
          </w:tcPr>
          <w:p>
            <w:r>
              <w:t>291</w:t>
            </w:r>
          </w:p>
        </w:tc>
        <w:tc>
          <w:tcPr>
            <w:tcW w:type="dxa" w:w="2160"/>
          </w:tcPr>
          <w:p>
            <w:r>
              <w:t>19.5</w:t>
            </w:r>
          </w:p>
        </w:tc>
      </w:tr>
      <w:tr>
        <w:tc>
          <w:tcPr>
            <w:tcW w:type="dxa" w:w="2160"/>
          </w:tcPr>
          <w:p>
            <w:r>
              <w:t>Geometric ±32..±2</w:t>
            </w:r>
          </w:p>
        </w:tc>
        <w:tc>
          <w:tcPr>
            <w:tcW w:type="dxa" w:w="2160"/>
          </w:tcPr>
          <w:p>
            <w:r>
              <w:t>1.404470</w:t>
            </w:r>
          </w:p>
        </w:tc>
        <w:tc>
          <w:tcPr>
            <w:tcW w:type="dxa" w:w="2160"/>
          </w:tcPr>
          <w:p>
            <w:r>
              <w:t>333</w:t>
            </w:r>
          </w:p>
        </w:tc>
        <w:tc>
          <w:tcPr>
            <w:tcW w:type="dxa" w:w="2160"/>
          </w:tcPr>
          <w:p>
            <w:r>
              <w:t>22.4</w:t>
            </w:r>
          </w:p>
        </w:tc>
      </w:tr>
      <w:tr>
        <w:tc>
          <w:tcPr>
            <w:tcW w:type="dxa" w:w="2160"/>
          </w:tcPr>
          <w:p>
            <w:r>
              <w:t>Published default</w:t>
            </w:r>
          </w:p>
        </w:tc>
        <w:tc>
          <w:tcPr>
            <w:tcW w:type="dxa" w:w="2160"/>
          </w:tcPr>
          <w:p>
            <w:r>
              <w:t>1.413971</w:t>
            </w:r>
          </w:p>
        </w:tc>
        <w:tc>
          <w:tcPr>
            <w:tcW w:type="dxa" w:w="2160"/>
          </w:tcPr>
          <w:p>
            <w:r>
              <w:t>280</w:t>
            </w:r>
          </w:p>
        </w:tc>
        <w:tc>
          <w:tcPr>
            <w:tcW w:type="dxa" w:w="2160"/>
          </w:tcPr>
          <w:p>
            <w:r>
              <w:t>14.6</w:t>
            </w:r>
          </w:p>
        </w:tc>
      </w:tr>
    </w:tbl>
    <w:p/>
    <w:p>
      <w:pPr>
        <w:pStyle w:val="Heading1"/>
      </w:pPr>
      <w:r>
        <w:t>What I would not do</w:t>
      </w:r>
    </w:p>
    <w:p>
      <w:pPr>
        <w:spacing w:after="160"/>
      </w:pPr>
      <w:r>
        <w:t>Do not start with small steps. Do not collapse the ladder into one union of every offset. Do not cut the iteration cap to 200 and assume min 18 will survive. Do not change the selection rule. And do not treat this study as proof that annealing cannot find min 19. It only says the old neighbourhoods were leaving smoothness on the table. A later escape experiment should warm-start from this winner, not from the published default.</w:t>
      </w:r>
    </w:p>
    <w:p>
      <w:pPr>
        <w:pStyle w:val="Heading1"/>
      </w:pPr>
      <w:r>
        <w:t>Reproduce</w:t>
      </w:r>
    </w:p>
    <w:p>
      <w:pPr>
        <w:spacing w:after="160"/>
      </w:pPr>
      <w:r>
        <w:t>python .scratch/priority-based-selection/run_hyperparameter_study.py</w:t>
      </w:r>
    </w:p>
    <w:p>
      <w:pPr>
        <w:spacing w:after="160"/>
      </w:pPr>
      <w:r>
        <w:t>The script skips names already stored in hyperparameter-results.json.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