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Availability 20 During a Busy Period</w:t>
      </w:r>
    </w:p>
    <w:p>
      <w:pPr>
        <w:pStyle w:val="Subtitle"/>
      </w:pPr>
      <w:r>
        <w:t>Operational constraints and method comparison</w:t>
      </w:r>
    </w:p>
    <w:p>
      <w:r>
        <w:t>David Long  |  Supervisor report and presentation preparation</w:t>
        <w:br/>
        <w:t>12 October 2026</w:t>
      </w:r>
    </w:p>
    <w:p>
      <w:pPr>
        <w:pStyle w:val="Heading2"/>
      </w:pPr>
      <w:r>
        <w:t>Finding</w:t>
      </w:r>
    </w:p>
    <w:p>
      <w:r>
        <w:t>I tested the two existing busy windows with a target of at least 20 available aircraft each day. The September to October window is achievable: an adapted priority-based search found a rule-compliant schedule with a busy-period minimum of 20 and a whole-forecast minimum of 18. The April to May window is infeasible under the current maintenance rules. The result depends on the dates being protected.</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384"/>
        <w:gridCol w:w="1656"/>
        <w:gridCol w:w="4896"/>
      </w:tblGrid>
      <w:tr>
        <w:trPr>
          <w:cantSplit/>
          <w:tblHeader/>
        </w:trPr>
        <w:tc>
          <w:tcPr>
            <w:tcW w:type="dxa" w:w="3384"/>
            <w:vAlign w:val="center"/>
            <w:shd w:fill="263746"/>
            <w:tcMar>
              <w:top w:w="95" w:type="dxa"/>
              <w:bottom w:w="95" w:type="dxa"/>
              <w:left w:w="95" w:type="dxa"/>
              <w:right w:w="95" w:type="dxa"/>
            </w:tcMar>
          </w:tcPr>
          <w:p>
            <w:pPr>
              <w:spacing w:after="0" w:line="252" w:lineRule="auto"/>
              <w:jc w:val="left"/>
            </w:pPr>
            <w:r>
              <w:rPr>
                <w:b/>
                <w:color w:val="FFFFFF"/>
                <w:sz w:val="20"/>
              </w:rPr>
              <w:t>Busy period</w:t>
            </w:r>
          </w:p>
        </w:tc>
        <w:tc>
          <w:tcPr>
            <w:tcW w:type="dxa" w:w="1656"/>
            <w:vAlign w:val="center"/>
            <w:shd w:fill="263746"/>
            <w:tcMar>
              <w:top w:w="95" w:type="dxa"/>
              <w:bottom w:w="95" w:type="dxa"/>
              <w:left w:w="95" w:type="dxa"/>
              <w:right w:w="95" w:type="dxa"/>
            </w:tcMar>
          </w:tcPr>
          <w:p>
            <w:pPr>
              <w:spacing w:after="0" w:line="252" w:lineRule="auto"/>
              <w:jc w:val="center"/>
            </w:pPr>
            <w:r>
              <w:rPr>
                <w:b/>
                <w:color w:val="FFFFFF"/>
                <w:sz w:val="20"/>
              </w:rPr>
              <w:t>Minimum 20</w:t>
            </w:r>
          </w:p>
        </w:tc>
        <w:tc>
          <w:tcPr>
            <w:tcW w:type="dxa" w:w="4896"/>
            <w:vAlign w:val="center"/>
            <w:shd w:fill="263746"/>
            <w:tcMar>
              <w:top w:w="95" w:type="dxa"/>
              <w:bottom w:w="95" w:type="dxa"/>
              <w:left w:w="95" w:type="dxa"/>
              <w:right w:w="95" w:type="dxa"/>
            </w:tcMar>
          </w:tcPr>
          <w:p>
            <w:pPr>
              <w:spacing w:after="0" w:line="252" w:lineRule="auto"/>
              <w:jc w:val="center"/>
            </w:pPr>
            <w:r>
              <w:rPr>
                <w:b/>
                <w:color w:val="FFFFFF"/>
                <w:sz w:val="20"/>
              </w:rPr>
              <w:t>Evidence</w:t>
            </w:r>
          </w:p>
        </w:tc>
      </w:tr>
      <w:tr>
        <w:trPr>
          <w:cantSplit/>
        </w:trPr>
        <w:tc>
          <w:tcPr>
            <w:tcW w:type="dxa" w:w="3384"/>
            <w:vAlign w:val="center"/>
            <w:shd w:fill="F2F4F6"/>
            <w:tcMar>
              <w:top w:w="95" w:type="dxa"/>
              <w:bottom w:w="95" w:type="dxa"/>
              <w:left w:w="95" w:type="dxa"/>
              <w:right w:w="95" w:type="dxa"/>
            </w:tcMar>
          </w:tcPr>
          <w:p>
            <w:pPr>
              <w:spacing w:after="0" w:line="252" w:lineRule="auto"/>
              <w:jc w:val="left"/>
            </w:pPr>
            <w:r>
              <w:rPr>
                <w:b w:val="0"/>
                <w:color w:val="000000"/>
                <w:sz w:val="20"/>
              </w:rPr>
              <w:t>27 April to 26 May 2033</w:t>
            </w:r>
          </w:p>
        </w:tc>
        <w:tc>
          <w:tcPr>
            <w:tcW w:type="dxa" w:w="1656"/>
            <w:vAlign w:val="center"/>
            <w:shd w:fill="F2F4F6"/>
            <w:tcMar>
              <w:top w:w="95" w:type="dxa"/>
              <w:bottom w:w="95" w:type="dxa"/>
              <w:left w:w="95" w:type="dxa"/>
              <w:right w:w="95" w:type="dxa"/>
            </w:tcMar>
          </w:tcPr>
          <w:p>
            <w:pPr>
              <w:spacing w:after="0" w:line="252" w:lineRule="auto"/>
              <w:jc w:val="center"/>
            </w:pPr>
            <w:r>
              <w:rPr>
                <w:b w:val="0"/>
                <w:color w:val="000000"/>
                <w:sz w:val="20"/>
              </w:rPr>
              <w:t>Infeasible</w:t>
            </w:r>
          </w:p>
        </w:tc>
        <w:tc>
          <w:tcPr>
            <w:tcW w:type="dxa" w:w="4896"/>
            <w:vAlign w:val="center"/>
            <w:shd w:fill="F2F4F6"/>
            <w:tcMar>
              <w:top w:w="95" w:type="dxa"/>
              <w:bottom w:w="95" w:type="dxa"/>
              <w:left w:w="95" w:type="dxa"/>
              <w:right w:w="95" w:type="dxa"/>
            </w:tcMar>
          </w:tcPr>
          <w:p>
            <w:pPr>
              <w:spacing w:after="0" w:line="252" w:lineRule="auto"/>
              <w:jc w:val="center"/>
            </w:pPr>
            <w:r>
              <w:rPr>
                <w:b w:val="0"/>
                <w:color w:val="000000"/>
                <w:sz w:val="20"/>
              </w:rPr>
              <w:t>Unavoidable D overlap caps availability at 18</w:t>
            </w:r>
          </w:p>
        </w:tc>
      </w:tr>
      <w:tr>
        <w:trPr>
          <w:cantSplit/>
        </w:trPr>
        <w:tc>
          <w:tcPr>
            <w:tcW w:type="dxa" w:w="3384"/>
            <w:vAlign w:val="center"/>
            <w:shd w:fill="FFFFFF"/>
            <w:tcMar>
              <w:top w:w="95" w:type="dxa"/>
              <w:bottom w:w="95" w:type="dxa"/>
              <w:left w:w="95" w:type="dxa"/>
              <w:right w:w="95" w:type="dxa"/>
            </w:tcMar>
          </w:tcPr>
          <w:p>
            <w:pPr>
              <w:spacing w:after="0" w:line="252" w:lineRule="auto"/>
              <w:jc w:val="left"/>
            </w:pPr>
            <w:r>
              <w:rPr>
                <w:b w:val="0"/>
                <w:color w:val="000000"/>
                <w:sz w:val="20"/>
              </w:rPr>
              <w:t>14 September to 13 October 2033</w:t>
            </w:r>
          </w:p>
        </w:tc>
        <w:tc>
          <w:tcPr>
            <w:tcW w:type="dxa" w:w="1656"/>
            <w:vAlign w:val="center"/>
            <w:shd w:fill="FFFFFF"/>
            <w:tcMar>
              <w:top w:w="95" w:type="dxa"/>
              <w:bottom w:w="95" w:type="dxa"/>
              <w:left w:w="95" w:type="dxa"/>
              <w:right w:w="95" w:type="dxa"/>
            </w:tcMar>
          </w:tcPr>
          <w:p>
            <w:pPr>
              <w:spacing w:after="0" w:line="252" w:lineRule="auto"/>
              <w:jc w:val="center"/>
            </w:pPr>
            <w:r>
              <w:rPr>
                <w:b w:val="0"/>
                <w:color w:val="000000"/>
                <w:sz w:val="20"/>
              </w:rPr>
              <w:t>Achieved</w:t>
            </w:r>
          </w:p>
        </w:tc>
        <w:tc>
          <w:tcPr>
            <w:tcW w:type="dxa" w:w="4896"/>
            <w:vAlign w:val="center"/>
            <w:shd w:fill="FFFFFF"/>
            <w:tcMar>
              <w:top w:w="95" w:type="dxa"/>
              <w:bottom w:w="95" w:type="dxa"/>
              <w:left w:w="95" w:type="dxa"/>
              <w:right w:w="95" w:type="dxa"/>
            </w:tcMar>
          </w:tcPr>
          <w:p>
            <w:pPr>
              <w:spacing w:after="0" w:line="252" w:lineRule="auto"/>
              <w:jc w:val="center"/>
            </w:pPr>
            <w:r>
              <w:rPr>
                <w:b w:val="0"/>
                <w:color w:val="000000"/>
                <w:sz w:val="20"/>
              </w:rPr>
              <w:t>Saved feasible priority schedule reaches 20 every day</w:t>
            </w:r>
          </w:p>
        </w:tc>
      </w:tr>
    </w:tbl>
    <w:p>
      <w:pPr>
        <w:spacing w:after="0"/>
      </w:pPr>
    </w:p>
    <w:p>
      <w:r>
        <w:t>Requiring 20 in both windows simultaneously is therefore infeasible. The successful September to October schedule protects that window on its own.</w:t>
      </w:r>
    </w:p>
    <w:p>
      <w:pPr>
        <w:pStyle w:val="Heading2"/>
      </w:pPr>
      <w:r>
        <w:t>Why the April to May window cannot reach 20</w:t>
      </w:r>
    </w:p>
    <w:p>
      <w:r>
        <w:t>A D check lasts 126 days and may start only 70 days early. Every legal placement therefore shares 56 unavoidable maintenance days from its due date. Six aircraft have overlapping unavoidable intervals on 20 to 25 May 2033, leaving at most 24 minus 6 equals 18 available. Five D checks are unavoidable on several surrounding days, so even 20 is ruled out there. Lower availability before or after the window cannot remove these mandatory days.</w:t>
      </w:r>
    </w:p>
    <w:p>
      <w:pPr>
        <w:pStyle w:val="Heading2"/>
      </w:pPr>
      <w:r>
        <w:t>What was allowed to change</w:t>
      </w:r>
    </w:p>
    <w:p>
      <w:r>
        <w:t>As requested, I allowed lower availability outside the September to October window. Maintenance durations, legal start windows, due resets, check sequence and non-overlap remained mandatory. I also retained the loose scenario’s 70-day displacement limit and its two dependency groups, each requiring at least two of four aircraft available every day. The original busy-period availability filters were replaced by the new target. No maintenance exemption was needed.</w:t>
      </w:r>
    </w:p>
    <w:p>
      <w:r>
        <w:t>These are the existing dummy operational dates and groups. The surrounding period was measured over the 30 days immediately before and after the target; availability changes across the rest of the forecast were recorded as well.</w:t>
      </w:r>
    </w:p>
    <w:p>
      <w:r>
        <w:br w:type="page"/>
      </w:r>
    </w:p>
    <w:p>
      <w:pPr>
        <w:pStyle w:val="Heading1"/>
      </w:pPr>
      <w:r>
        <w:t>The availability gained and the cost elsewhere</w:t>
      </w:r>
    </w:p>
    <w:p>
      <w:r>
        <w:t>The original score maximises the lowest availability anywhere in the forecast. It can reject a useful busy-period improvement if availability falls elsewhere. In this experiment I first maximised the busy-period minimum up to 20, then minimised shortage below 20, then improved availability outside the period and smoothness. The target was allowed to be unmet during repair, but a reported success had to meet it on every day.</w:t>
      </w:r>
    </w:p>
    <w:p>
      <w:pPr>
        <w:pStyle w:val="Heading2"/>
      </w:pPr>
      <w:r>
        <w:t>Measured priority result</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528"/>
        <w:gridCol w:w="1656"/>
        <w:gridCol w:w="2448"/>
        <w:gridCol w:w="2304"/>
      </w:tblGrid>
      <w:tr>
        <w:trPr>
          <w:cantSplit/>
          <w:tblHeader/>
        </w:trPr>
        <w:tc>
          <w:tcPr>
            <w:tcW w:type="dxa" w:w="3528"/>
            <w:vAlign w:val="center"/>
            <w:shd w:fill="263746"/>
            <w:tcMar>
              <w:top w:w="95" w:type="dxa"/>
              <w:bottom w:w="95" w:type="dxa"/>
              <w:left w:w="95" w:type="dxa"/>
              <w:right w:w="95" w:type="dxa"/>
            </w:tcMar>
          </w:tcPr>
          <w:p>
            <w:pPr>
              <w:spacing w:after="0" w:line="252" w:lineRule="auto"/>
              <w:jc w:val="left"/>
            </w:pPr>
            <w:r>
              <w:rPr>
                <w:b/>
                <w:color w:val="FFFFFF"/>
                <w:sz w:val="20"/>
              </w:rPr>
              <w:t>Measure</w:t>
            </w:r>
          </w:p>
        </w:tc>
        <w:tc>
          <w:tcPr>
            <w:tcW w:type="dxa" w:w="1656"/>
            <w:vAlign w:val="center"/>
            <w:shd w:fill="263746"/>
            <w:tcMar>
              <w:top w:w="95" w:type="dxa"/>
              <w:bottom w:w="95" w:type="dxa"/>
              <w:left w:w="95" w:type="dxa"/>
              <w:right w:w="95" w:type="dxa"/>
            </w:tcMar>
          </w:tcPr>
          <w:p>
            <w:pPr>
              <w:spacing w:after="0" w:line="252" w:lineRule="auto"/>
              <w:jc w:val="center"/>
            </w:pPr>
            <w:r>
              <w:rPr>
                <w:b/>
                <w:color w:val="FFFFFF"/>
                <w:sz w:val="20"/>
              </w:rPr>
              <w:t>As loaded</w:t>
            </w:r>
          </w:p>
        </w:tc>
        <w:tc>
          <w:tcPr>
            <w:tcW w:type="dxa" w:w="2448"/>
            <w:vAlign w:val="center"/>
            <w:shd w:fill="263746"/>
            <w:tcMar>
              <w:top w:w="95" w:type="dxa"/>
              <w:bottom w:w="95" w:type="dxa"/>
              <w:left w:w="95" w:type="dxa"/>
              <w:right w:w="95" w:type="dxa"/>
            </w:tcMar>
          </w:tcPr>
          <w:p>
            <w:pPr>
              <w:spacing w:after="0" w:line="252" w:lineRule="auto"/>
              <w:jc w:val="center"/>
            </w:pPr>
            <w:r>
              <w:rPr>
                <w:b/>
                <w:color w:val="FFFFFF"/>
                <w:sz w:val="20"/>
              </w:rPr>
              <w:t>Earlier saved priority</w:t>
            </w:r>
          </w:p>
        </w:tc>
        <w:tc>
          <w:tcPr>
            <w:tcW w:type="dxa" w:w="2304"/>
            <w:vAlign w:val="center"/>
            <w:shd w:fill="263746"/>
            <w:tcMar>
              <w:top w:w="95" w:type="dxa"/>
              <w:bottom w:w="95" w:type="dxa"/>
              <w:left w:w="95" w:type="dxa"/>
              <w:right w:w="95" w:type="dxa"/>
            </w:tcMar>
          </w:tcPr>
          <w:p>
            <w:pPr>
              <w:spacing w:after="0" w:line="252" w:lineRule="auto"/>
              <w:jc w:val="center"/>
            </w:pPr>
            <w:r>
              <w:rPr>
                <w:b/>
                <w:color w:val="FFFFFF"/>
                <w:sz w:val="20"/>
              </w:rPr>
              <w:t>Busy period priority</w:t>
            </w:r>
          </w:p>
        </w:tc>
      </w:tr>
      <w:tr>
        <w:trPr>
          <w:cantSplit/>
        </w:trPr>
        <w:tc>
          <w:tcPr>
            <w:tcW w:type="dxa" w:w="3528"/>
            <w:vAlign w:val="center"/>
            <w:shd w:fill="F2F4F6"/>
            <w:tcMar>
              <w:top w:w="95" w:type="dxa"/>
              <w:bottom w:w="95" w:type="dxa"/>
              <w:left w:w="95" w:type="dxa"/>
              <w:right w:w="95" w:type="dxa"/>
            </w:tcMar>
          </w:tcPr>
          <w:p>
            <w:pPr>
              <w:spacing w:after="0" w:line="252" w:lineRule="auto"/>
              <w:jc w:val="left"/>
            </w:pPr>
            <w:r>
              <w:rPr>
                <w:b w:val="0"/>
                <w:color w:val="000000"/>
                <w:sz w:val="20"/>
              </w:rPr>
              <w:t>Busy-period minimum</w:t>
            </w:r>
          </w:p>
        </w:tc>
        <w:tc>
          <w:tcPr>
            <w:tcW w:type="dxa" w:w="1656"/>
            <w:vAlign w:val="center"/>
            <w:shd w:fill="F2F4F6"/>
            <w:tcMar>
              <w:top w:w="95" w:type="dxa"/>
              <w:bottom w:w="95" w:type="dxa"/>
              <w:left w:w="95" w:type="dxa"/>
              <w:right w:w="95" w:type="dxa"/>
            </w:tcMar>
          </w:tcPr>
          <w:p>
            <w:pPr>
              <w:spacing w:after="0" w:line="252" w:lineRule="auto"/>
              <w:jc w:val="center"/>
            </w:pPr>
            <w:r>
              <w:rPr>
                <w:b w:val="0"/>
                <w:color w:val="000000"/>
                <w:sz w:val="20"/>
              </w:rPr>
              <w:t>15</w:t>
            </w:r>
          </w:p>
        </w:tc>
        <w:tc>
          <w:tcPr>
            <w:tcW w:type="dxa" w:w="2448"/>
            <w:vAlign w:val="center"/>
            <w:shd w:fill="F2F4F6"/>
            <w:tcMar>
              <w:top w:w="95" w:type="dxa"/>
              <w:bottom w:w="95" w:type="dxa"/>
              <w:left w:w="95" w:type="dxa"/>
              <w:right w:w="95" w:type="dxa"/>
            </w:tcMar>
          </w:tcPr>
          <w:p>
            <w:pPr>
              <w:spacing w:after="0" w:line="252" w:lineRule="auto"/>
              <w:jc w:val="center"/>
            </w:pPr>
            <w:r>
              <w:rPr>
                <w:b w:val="0"/>
                <w:color w:val="000000"/>
                <w:sz w:val="20"/>
              </w:rPr>
              <w:t>18</w:t>
            </w:r>
          </w:p>
        </w:tc>
        <w:tc>
          <w:tcPr>
            <w:tcW w:type="dxa" w:w="2304"/>
            <w:vAlign w:val="center"/>
            <w:shd w:fill="F2F4F6"/>
            <w:tcMar>
              <w:top w:w="95" w:type="dxa"/>
              <w:bottom w:w="95" w:type="dxa"/>
              <w:left w:w="95" w:type="dxa"/>
              <w:right w:w="95" w:type="dxa"/>
            </w:tcMar>
          </w:tcPr>
          <w:p>
            <w:pPr>
              <w:spacing w:after="0" w:line="252" w:lineRule="auto"/>
              <w:jc w:val="center"/>
            </w:pPr>
            <w:r>
              <w:rPr>
                <w:b w:val="0"/>
                <w:color w:val="000000"/>
                <w:sz w:val="20"/>
              </w:rPr>
              <w:t>20</w:t>
            </w:r>
          </w:p>
        </w:tc>
      </w:tr>
      <w:tr>
        <w:trPr>
          <w:cantSplit/>
        </w:trPr>
        <w:tc>
          <w:tcPr>
            <w:tcW w:type="dxa" w:w="3528"/>
            <w:vAlign w:val="center"/>
            <w:shd w:fill="FFFFFF"/>
            <w:tcMar>
              <w:top w:w="95" w:type="dxa"/>
              <w:bottom w:w="95" w:type="dxa"/>
              <w:left w:w="95" w:type="dxa"/>
              <w:right w:w="95" w:type="dxa"/>
            </w:tcMar>
          </w:tcPr>
          <w:p>
            <w:pPr>
              <w:spacing w:after="0" w:line="252" w:lineRule="auto"/>
              <w:jc w:val="left"/>
            </w:pPr>
            <w:r>
              <w:rPr>
                <w:b w:val="0"/>
                <w:color w:val="000000"/>
                <w:sz w:val="20"/>
              </w:rPr>
              <w:t>Days below 20 in the period</w:t>
            </w:r>
          </w:p>
        </w:tc>
        <w:tc>
          <w:tcPr>
            <w:tcW w:type="dxa" w:w="1656"/>
            <w:vAlign w:val="center"/>
            <w:shd w:fill="FFFFFF"/>
            <w:tcMar>
              <w:top w:w="95" w:type="dxa"/>
              <w:bottom w:w="95" w:type="dxa"/>
              <w:left w:w="95" w:type="dxa"/>
              <w:right w:w="95" w:type="dxa"/>
            </w:tcMar>
          </w:tcPr>
          <w:p>
            <w:pPr>
              <w:spacing w:after="0" w:line="252" w:lineRule="auto"/>
              <w:jc w:val="center"/>
            </w:pPr>
            <w:r>
              <w:rPr>
                <w:b w:val="0"/>
                <w:color w:val="000000"/>
                <w:sz w:val="20"/>
              </w:rPr>
              <w:t>25</w:t>
            </w:r>
          </w:p>
        </w:tc>
        <w:tc>
          <w:tcPr>
            <w:tcW w:type="dxa" w:w="2448"/>
            <w:vAlign w:val="center"/>
            <w:shd w:fill="FFFFFF"/>
            <w:tcMar>
              <w:top w:w="95" w:type="dxa"/>
              <w:bottom w:w="95" w:type="dxa"/>
              <w:left w:w="95" w:type="dxa"/>
              <w:right w:w="95" w:type="dxa"/>
            </w:tcMar>
          </w:tcPr>
          <w:p>
            <w:pPr>
              <w:spacing w:after="0" w:line="252" w:lineRule="auto"/>
              <w:jc w:val="center"/>
            </w:pPr>
            <w:r>
              <w:rPr>
                <w:b w:val="0"/>
                <w:color w:val="000000"/>
                <w:sz w:val="20"/>
              </w:rPr>
              <w:t>30</w:t>
            </w:r>
          </w:p>
        </w:tc>
        <w:tc>
          <w:tcPr>
            <w:tcW w:type="dxa" w:w="2304"/>
            <w:vAlign w:val="center"/>
            <w:shd w:fill="FFFFFF"/>
            <w:tcMar>
              <w:top w:w="95" w:type="dxa"/>
              <w:bottom w:w="95" w:type="dxa"/>
              <w:left w:w="95" w:type="dxa"/>
              <w:right w:w="95" w:type="dxa"/>
            </w:tcMar>
          </w:tcPr>
          <w:p>
            <w:pPr>
              <w:spacing w:after="0" w:line="252" w:lineRule="auto"/>
              <w:jc w:val="center"/>
            </w:pPr>
            <w:r>
              <w:rPr>
                <w:b w:val="0"/>
                <w:color w:val="000000"/>
                <w:sz w:val="20"/>
              </w:rPr>
              <w:t>0</w:t>
            </w:r>
          </w:p>
        </w:tc>
      </w:tr>
      <w:tr>
        <w:trPr>
          <w:cantSplit/>
        </w:trPr>
        <w:tc>
          <w:tcPr>
            <w:tcW w:type="dxa" w:w="3528"/>
            <w:vAlign w:val="center"/>
            <w:shd w:fill="F2F4F6"/>
            <w:tcMar>
              <w:top w:w="95" w:type="dxa"/>
              <w:bottom w:w="95" w:type="dxa"/>
              <w:left w:w="95" w:type="dxa"/>
              <w:right w:w="95" w:type="dxa"/>
            </w:tcMar>
          </w:tcPr>
          <w:p>
            <w:pPr>
              <w:spacing w:after="0" w:line="252" w:lineRule="auto"/>
              <w:jc w:val="left"/>
            </w:pPr>
            <w:r>
              <w:rPr>
                <w:b w:val="0"/>
                <w:color w:val="000000"/>
                <w:sz w:val="20"/>
              </w:rPr>
              <w:t>Whole-forecast minimum</w:t>
            </w:r>
          </w:p>
        </w:tc>
        <w:tc>
          <w:tcPr>
            <w:tcW w:type="dxa" w:w="1656"/>
            <w:vAlign w:val="center"/>
            <w:shd w:fill="F2F4F6"/>
            <w:tcMar>
              <w:top w:w="95" w:type="dxa"/>
              <w:bottom w:w="95" w:type="dxa"/>
              <w:left w:w="95" w:type="dxa"/>
              <w:right w:w="95" w:type="dxa"/>
            </w:tcMar>
          </w:tcPr>
          <w:p>
            <w:pPr>
              <w:spacing w:after="0" w:line="252" w:lineRule="auto"/>
              <w:jc w:val="center"/>
            </w:pPr>
            <w:r>
              <w:rPr>
                <w:b w:val="0"/>
                <w:color w:val="000000"/>
                <w:sz w:val="20"/>
              </w:rPr>
              <w:t>15</w:t>
            </w:r>
          </w:p>
        </w:tc>
        <w:tc>
          <w:tcPr>
            <w:tcW w:type="dxa" w:w="2448"/>
            <w:vAlign w:val="center"/>
            <w:shd w:fill="F2F4F6"/>
            <w:tcMar>
              <w:top w:w="95" w:type="dxa"/>
              <w:bottom w:w="95" w:type="dxa"/>
              <w:left w:w="95" w:type="dxa"/>
              <w:right w:w="95" w:type="dxa"/>
            </w:tcMar>
          </w:tcPr>
          <w:p>
            <w:pPr>
              <w:spacing w:after="0" w:line="252" w:lineRule="auto"/>
              <w:jc w:val="center"/>
            </w:pPr>
            <w:r>
              <w:rPr>
                <w:b w:val="0"/>
                <w:color w:val="000000"/>
                <w:sz w:val="20"/>
              </w:rPr>
              <w:t>18</w:t>
            </w:r>
          </w:p>
        </w:tc>
        <w:tc>
          <w:tcPr>
            <w:tcW w:type="dxa" w:w="2304"/>
            <w:vAlign w:val="center"/>
            <w:shd w:fill="F2F4F6"/>
            <w:tcMar>
              <w:top w:w="95" w:type="dxa"/>
              <w:bottom w:w="95" w:type="dxa"/>
              <w:left w:w="95" w:type="dxa"/>
              <w:right w:w="95" w:type="dxa"/>
            </w:tcMar>
          </w:tcPr>
          <w:p>
            <w:pPr>
              <w:spacing w:after="0" w:line="252" w:lineRule="auto"/>
              <w:jc w:val="center"/>
            </w:pPr>
            <w:r>
              <w:rPr>
                <w:b w:val="0"/>
                <w:color w:val="000000"/>
                <w:sz w:val="20"/>
              </w:rPr>
              <w:t>18</w:t>
            </w:r>
          </w:p>
        </w:tc>
      </w:tr>
      <w:tr>
        <w:trPr>
          <w:cantSplit/>
        </w:trPr>
        <w:tc>
          <w:tcPr>
            <w:tcW w:type="dxa" w:w="3528"/>
            <w:vAlign w:val="center"/>
            <w:shd w:fill="FFFFFF"/>
            <w:tcMar>
              <w:top w:w="95" w:type="dxa"/>
              <w:bottom w:w="95" w:type="dxa"/>
              <w:left w:w="95" w:type="dxa"/>
              <w:right w:w="95" w:type="dxa"/>
            </w:tcMar>
          </w:tcPr>
          <w:p>
            <w:pPr>
              <w:spacing w:after="0" w:line="252" w:lineRule="auto"/>
              <w:jc w:val="left"/>
            </w:pPr>
            <w:r>
              <w:rPr>
                <w:b w:val="0"/>
                <w:color w:val="000000"/>
                <w:sz w:val="20"/>
              </w:rPr>
              <w:t>Minimum in 30 days before</w:t>
            </w:r>
          </w:p>
        </w:tc>
        <w:tc>
          <w:tcPr>
            <w:tcW w:type="dxa" w:w="1656"/>
            <w:vAlign w:val="center"/>
            <w:shd w:fill="FFFFFF"/>
            <w:tcMar>
              <w:top w:w="95" w:type="dxa"/>
              <w:bottom w:w="95" w:type="dxa"/>
              <w:left w:w="95" w:type="dxa"/>
              <w:right w:w="95" w:type="dxa"/>
            </w:tcMar>
          </w:tcPr>
          <w:p>
            <w:pPr>
              <w:spacing w:after="0" w:line="252" w:lineRule="auto"/>
              <w:jc w:val="center"/>
            </w:pPr>
            <w:r>
              <w:rPr>
                <w:b w:val="0"/>
                <w:color w:val="000000"/>
                <w:sz w:val="20"/>
              </w:rPr>
              <w:t>18</w:t>
            </w:r>
          </w:p>
        </w:tc>
        <w:tc>
          <w:tcPr>
            <w:tcW w:type="dxa" w:w="2448"/>
            <w:vAlign w:val="center"/>
            <w:shd w:fill="FFFFFF"/>
            <w:tcMar>
              <w:top w:w="95" w:type="dxa"/>
              <w:bottom w:w="95" w:type="dxa"/>
              <w:left w:w="95" w:type="dxa"/>
              <w:right w:w="95" w:type="dxa"/>
            </w:tcMar>
          </w:tcPr>
          <w:p>
            <w:pPr>
              <w:spacing w:after="0" w:line="252" w:lineRule="auto"/>
              <w:jc w:val="center"/>
            </w:pPr>
            <w:r>
              <w:rPr>
                <w:b w:val="0"/>
                <w:color w:val="000000"/>
                <w:sz w:val="20"/>
              </w:rPr>
              <w:t>19</w:t>
            </w:r>
          </w:p>
        </w:tc>
        <w:tc>
          <w:tcPr>
            <w:tcW w:type="dxa" w:w="2304"/>
            <w:vAlign w:val="center"/>
            <w:shd w:fill="FFFFFF"/>
            <w:tcMar>
              <w:top w:w="95" w:type="dxa"/>
              <w:bottom w:w="95" w:type="dxa"/>
              <w:left w:w="95" w:type="dxa"/>
              <w:right w:w="95" w:type="dxa"/>
            </w:tcMar>
          </w:tcPr>
          <w:p>
            <w:pPr>
              <w:spacing w:after="0" w:line="252" w:lineRule="auto"/>
              <w:jc w:val="center"/>
            </w:pPr>
            <w:r>
              <w:rPr>
                <w:b w:val="0"/>
                <w:color w:val="000000"/>
                <w:sz w:val="20"/>
              </w:rPr>
              <w:t>18</w:t>
            </w:r>
          </w:p>
        </w:tc>
      </w:tr>
      <w:tr>
        <w:trPr>
          <w:cantSplit/>
        </w:trPr>
        <w:tc>
          <w:tcPr>
            <w:tcW w:type="dxa" w:w="3528"/>
            <w:vAlign w:val="center"/>
            <w:shd w:fill="F2F4F6"/>
            <w:tcMar>
              <w:top w:w="95" w:type="dxa"/>
              <w:bottom w:w="95" w:type="dxa"/>
              <w:left w:w="95" w:type="dxa"/>
              <w:right w:w="95" w:type="dxa"/>
            </w:tcMar>
          </w:tcPr>
          <w:p>
            <w:pPr>
              <w:spacing w:after="0" w:line="252" w:lineRule="auto"/>
              <w:jc w:val="left"/>
            </w:pPr>
            <w:r>
              <w:rPr>
                <w:b w:val="0"/>
                <w:color w:val="000000"/>
                <w:sz w:val="20"/>
              </w:rPr>
              <w:t>Minimum in 30 days after</w:t>
            </w:r>
          </w:p>
        </w:tc>
        <w:tc>
          <w:tcPr>
            <w:tcW w:type="dxa" w:w="1656"/>
            <w:vAlign w:val="center"/>
            <w:shd w:fill="F2F4F6"/>
            <w:tcMar>
              <w:top w:w="95" w:type="dxa"/>
              <w:bottom w:w="95" w:type="dxa"/>
              <w:left w:w="95" w:type="dxa"/>
              <w:right w:w="95" w:type="dxa"/>
            </w:tcMar>
          </w:tcPr>
          <w:p>
            <w:pPr>
              <w:spacing w:after="0" w:line="252" w:lineRule="auto"/>
              <w:jc w:val="center"/>
            </w:pPr>
            <w:r>
              <w:rPr>
                <w:b w:val="0"/>
                <w:color w:val="000000"/>
                <w:sz w:val="20"/>
              </w:rPr>
              <w:t>15</w:t>
            </w:r>
          </w:p>
        </w:tc>
        <w:tc>
          <w:tcPr>
            <w:tcW w:type="dxa" w:w="2448"/>
            <w:vAlign w:val="center"/>
            <w:shd w:fill="F2F4F6"/>
            <w:tcMar>
              <w:top w:w="95" w:type="dxa"/>
              <w:bottom w:w="95" w:type="dxa"/>
              <w:left w:w="95" w:type="dxa"/>
              <w:right w:w="95" w:type="dxa"/>
            </w:tcMar>
          </w:tcPr>
          <w:p>
            <w:pPr>
              <w:spacing w:after="0" w:line="252" w:lineRule="auto"/>
              <w:jc w:val="center"/>
            </w:pPr>
            <w:r>
              <w:rPr>
                <w:b w:val="0"/>
                <w:color w:val="000000"/>
                <w:sz w:val="20"/>
              </w:rPr>
              <w:t>19</w:t>
            </w:r>
          </w:p>
        </w:tc>
        <w:tc>
          <w:tcPr>
            <w:tcW w:type="dxa" w:w="2304"/>
            <w:vAlign w:val="center"/>
            <w:shd w:fill="F2F4F6"/>
            <w:tcMar>
              <w:top w:w="95" w:type="dxa"/>
              <w:bottom w:w="95" w:type="dxa"/>
              <w:left w:w="95" w:type="dxa"/>
              <w:right w:w="95" w:type="dxa"/>
            </w:tcMar>
          </w:tcPr>
          <w:p>
            <w:pPr>
              <w:spacing w:after="0" w:line="252" w:lineRule="auto"/>
              <w:jc w:val="center"/>
            </w:pPr>
            <w:r>
              <w:rPr>
                <w:b w:val="0"/>
                <w:color w:val="000000"/>
                <w:sz w:val="20"/>
              </w:rPr>
              <w:t>19</w:t>
            </w:r>
          </w:p>
        </w:tc>
      </w:tr>
      <w:tr>
        <w:trPr>
          <w:cantSplit/>
        </w:trPr>
        <w:tc>
          <w:tcPr>
            <w:tcW w:type="dxa" w:w="3528"/>
            <w:vAlign w:val="center"/>
            <w:shd w:fill="FFFFFF"/>
            <w:tcMar>
              <w:top w:w="95" w:type="dxa"/>
              <w:bottom w:w="95" w:type="dxa"/>
              <w:left w:w="95" w:type="dxa"/>
              <w:right w:w="95" w:type="dxa"/>
            </w:tcMar>
          </w:tcPr>
          <w:p>
            <w:pPr>
              <w:spacing w:after="0" w:line="252" w:lineRule="auto"/>
              <w:jc w:val="left"/>
            </w:pPr>
            <w:r>
              <w:rPr>
                <w:b w:val="0"/>
                <w:color w:val="000000"/>
                <w:sz w:val="20"/>
              </w:rPr>
              <w:t>Forecast standard deviation</w:t>
            </w:r>
          </w:p>
        </w:tc>
        <w:tc>
          <w:tcPr>
            <w:tcW w:type="dxa" w:w="1656"/>
            <w:vAlign w:val="center"/>
            <w:shd w:fill="FFFFFF"/>
            <w:tcMar>
              <w:top w:w="95" w:type="dxa"/>
              <w:bottom w:w="95" w:type="dxa"/>
              <w:left w:w="95" w:type="dxa"/>
              <w:right w:w="95" w:type="dxa"/>
            </w:tcMar>
          </w:tcPr>
          <w:p>
            <w:pPr>
              <w:spacing w:after="0" w:line="252" w:lineRule="auto"/>
              <w:jc w:val="center"/>
            </w:pPr>
            <w:r>
              <w:rPr>
                <w:b w:val="0"/>
                <w:color w:val="000000"/>
                <w:sz w:val="20"/>
              </w:rPr>
              <w:t>1.949767</w:t>
            </w:r>
          </w:p>
        </w:tc>
        <w:tc>
          <w:tcPr>
            <w:tcW w:type="dxa" w:w="2448"/>
            <w:vAlign w:val="center"/>
            <w:shd w:fill="FFFFFF"/>
            <w:tcMar>
              <w:top w:w="95" w:type="dxa"/>
              <w:bottom w:w="95" w:type="dxa"/>
              <w:left w:w="95" w:type="dxa"/>
              <w:right w:w="95" w:type="dxa"/>
            </w:tcMar>
          </w:tcPr>
          <w:p>
            <w:pPr>
              <w:spacing w:after="0" w:line="252" w:lineRule="auto"/>
              <w:jc w:val="center"/>
            </w:pPr>
            <w:r>
              <w:rPr>
                <w:b w:val="0"/>
                <w:color w:val="000000"/>
                <w:sz w:val="20"/>
              </w:rPr>
              <w:t>1.413971</w:t>
            </w:r>
          </w:p>
        </w:tc>
        <w:tc>
          <w:tcPr>
            <w:tcW w:type="dxa" w:w="2304"/>
            <w:vAlign w:val="center"/>
            <w:shd w:fill="FFFFFF"/>
            <w:tcMar>
              <w:top w:w="95" w:type="dxa"/>
              <w:bottom w:w="95" w:type="dxa"/>
              <w:left w:w="95" w:type="dxa"/>
              <w:right w:w="95" w:type="dxa"/>
            </w:tcMar>
          </w:tcPr>
          <w:p>
            <w:pPr>
              <w:spacing w:after="0" w:line="252" w:lineRule="auto"/>
              <w:jc w:val="center"/>
            </w:pPr>
            <w:r>
              <w:rPr>
                <w:b w:val="0"/>
                <w:color w:val="000000"/>
                <w:sz w:val="20"/>
              </w:rPr>
              <w:t>1.459788</w:t>
            </w:r>
          </w:p>
        </w:tc>
      </w:tr>
      <w:tr>
        <w:trPr>
          <w:cantSplit/>
        </w:trPr>
        <w:tc>
          <w:tcPr>
            <w:tcW w:type="dxa" w:w="3528"/>
            <w:vAlign w:val="center"/>
            <w:shd w:fill="F2F4F6"/>
            <w:tcMar>
              <w:top w:w="95" w:type="dxa"/>
              <w:bottom w:w="95" w:type="dxa"/>
              <w:left w:w="95" w:type="dxa"/>
              <w:right w:w="95" w:type="dxa"/>
            </w:tcMar>
          </w:tcPr>
          <w:p>
            <w:pPr>
              <w:spacing w:after="0" w:line="252" w:lineRule="auto"/>
              <w:jc w:val="left"/>
            </w:pPr>
            <w:r>
              <w:rPr>
                <w:b w:val="0"/>
                <w:color w:val="000000"/>
                <w:sz w:val="20"/>
              </w:rPr>
              <w:t>Mean availability</w:t>
            </w:r>
          </w:p>
        </w:tc>
        <w:tc>
          <w:tcPr>
            <w:tcW w:type="dxa" w:w="1656"/>
            <w:vAlign w:val="center"/>
            <w:shd w:fill="F2F4F6"/>
            <w:tcMar>
              <w:top w:w="95" w:type="dxa"/>
              <w:bottom w:w="95" w:type="dxa"/>
              <w:left w:w="95" w:type="dxa"/>
              <w:right w:w="95" w:type="dxa"/>
            </w:tcMar>
          </w:tcPr>
          <w:p>
            <w:pPr>
              <w:spacing w:after="0" w:line="252" w:lineRule="auto"/>
              <w:jc w:val="center"/>
            </w:pPr>
            <w:r>
              <w:rPr>
                <w:b w:val="0"/>
                <w:color w:val="000000"/>
                <w:sz w:val="20"/>
              </w:rPr>
              <w:t>21.713010</w:t>
            </w:r>
          </w:p>
        </w:tc>
        <w:tc>
          <w:tcPr>
            <w:tcW w:type="dxa" w:w="2448"/>
            <w:vAlign w:val="center"/>
            <w:shd w:fill="F2F4F6"/>
            <w:tcMar>
              <w:top w:w="95" w:type="dxa"/>
              <w:bottom w:w="95" w:type="dxa"/>
              <w:left w:w="95" w:type="dxa"/>
              <w:right w:w="95" w:type="dxa"/>
            </w:tcMar>
          </w:tcPr>
          <w:p>
            <w:pPr>
              <w:spacing w:after="0" w:line="252" w:lineRule="auto"/>
              <w:jc w:val="center"/>
            </w:pPr>
            <w:r>
              <w:rPr>
                <w:b w:val="0"/>
                <w:color w:val="000000"/>
                <w:sz w:val="20"/>
              </w:rPr>
              <w:t>21.713010</w:t>
            </w:r>
          </w:p>
        </w:tc>
        <w:tc>
          <w:tcPr>
            <w:tcW w:type="dxa" w:w="2304"/>
            <w:vAlign w:val="center"/>
            <w:shd w:fill="F2F4F6"/>
            <w:tcMar>
              <w:top w:w="95" w:type="dxa"/>
              <w:bottom w:w="95" w:type="dxa"/>
              <w:left w:w="95" w:type="dxa"/>
              <w:right w:w="95" w:type="dxa"/>
            </w:tcMar>
          </w:tcPr>
          <w:p>
            <w:pPr>
              <w:spacing w:after="0" w:line="252" w:lineRule="auto"/>
              <w:jc w:val="center"/>
            </w:pPr>
            <w:r>
              <w:rPr>
                <w:b w:val="0"/>
                <w:color w:val="000000"/>
                <w:sz w:val="20"/>
              </w:rPr>
              <w:t>21.713010</w:t>
            </w:r>
          </w:p>
        </w:tc>
      </w:tr>
    </w:tbl>
    <w:p>
      <w:pPr>
        <w:spacing w:after="0"/>
      </w:pPr>
    </w:p>
    <w:p>
      <w:r>
        <w:t>The adapted search first reached 20 after seven accepted priority moves, then continued improving the surrounding schedule. Its returned result used about 60 seconds and all checks passed maintenance replay, displacement and dependency validation. The largest displacement was 69 days.</w:t>
      </w:r>
    </w:p>
    <w:p>
      <w:pPr>
        <w:pStyle w:val="Heading2"/>
      </w:pPr>
      <w:r>
        <w:t>What sacrificing nearby availability means here</w:t>
      </w:r>
    </w:p>
    <w:p>
      <w:r>
        <w:t>The returned schedule gained 56 aircraft-days inside the busy period compared with the earlier saved priority export, and lost exactly that amount outside it. In the 30 days before the busy period, worst-day availability fell from 19 to 18; the 30 days after it stayed at 19. The whole-forecast minimum still remained 18. Thus this example did not require reducing the global minimum to 17 or breaking maintenance rules.</w:t>
      </w:r>
    </w:p>
    <w:p>
      <w:r>
        <w:t>Compared with the as-loaded forecast, the busy period gained 65 aircraft-days and the rest of the forecast lost the same net amount. Other dates also improved, so net loss should not be confused with the sum of all individual daily reductions. Total maintenance downtime and whole-forecast mean availability did not change.</w:t>
      </w:r>
    </w:p>
    <w:p>
      <w:r>
        <w:t>The earlier saved export is a historical maintenance-only reference, not the latest tuned result or a fair constrained competitor: it exceeds the current 70-day displacement limit on four checks. Its daily counts illustrate the trade-off; the new method comparison uses the same as-loaded start and retained constraints for both methods.</w:t>
      </w:r>
    </w:p>
    <w:p>
      <w:r>
        <w:br w:type="page"/>
      </w:r>
    </w:p>
    <w:p>
      <w:pPr>
        <w:pStyle w:val="Heading1"/>
      </w:pPr>
      <w:r>
        <w:t>Whether annealing adds value</w:t>
      </w:r>
    </w:p>
    <w:p>
      <w:r>
        <w:t>I also tested the existing basin-hopping candidate with the same adapted score, target-day priority, legal moves and retained constraints. Each run had a 60-second search budget, and the candidate used seeds 1, 2 and 3. Its warm-start and polish cap was reduced to 80 iterations to leave time for actual annealing escapes; the priority run retained its 400-iteration cap. This is an exploratory comparison under a time budget.</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2952"/>
        <w:gridCol w:w="1512"/>
        <w:gridCol w:w="1728"/>
        <w:gridCol w:w="1872"/>
        <w:gridCol w:w="1872"/>
      </w:tblGrid>
      <w:tr>
        <w:trPr>
          <w:cantSplit/>
          <w:tblHeader/>
        </w:trPr>
        <w:tc>
          <w:tcPr>
            <w:tcW w:type="dxa" w:w="2952"/>
            <w:vAlign w:val="center"/>
            <w:shd w:fill="263746"/>
            <w:tcMar>
              <w:top w:w="95" w:type="dxa"/>
              <w:bottom w:w="95" w:type="dxa"/>
              <w:left w:w="95" w:type="dxa"/>
              <w:right w:w="95" w:type="dxa"/>
            </w:tcMar>
          </w:tcPr>
          <w:p>
            <w:pPr>
              <w:spacing w:after="0" w:line="252" w:lineRule="auto"/>
              <w:jc w:val="left"/>
            </w:pPr>
            <w:r>
              <w:rPr>
                <w:b/>
                <w:color w:val="FFFFFF"/>
                <w:sz w:val="20"/>
              </w:rPr>
              <w:t>Method</w:t>
            </w:r>
          </w:p>
        </w:tc>
        <w:tc>
          <w:tcPr>
            <w:tcW w:type="dxa" w:w="1512"/>
            <w:vAlign w:val="center"/>
            <w:shd w:fill="263746"/>
            <w:tcMar>
              <w:top w:w="95" w:type="dxa"/>
              <w:bottom w:w="95" w:type="dxa"/>
              <w:left w:w="95" w:type="dxa"/>
              <w:right w:w="95" w:type="dxa"/>
            </w:tcMar>
          </w:tcPr>
          <w:p>
            <w:pPr>
              <w:spacing w:after="0" w:line="252" w:lineRule="auto"/>
              <w:jc w:val="center"/>
            </w:pPr>
            <w:r>
              <w:rPr>
                <w:b/>
                <w:color w:val="FFFFFF"/>
                <w:sz w:val="20"/>
              </w:rPr>
              <w:t>Period min</w:t>
            </w:r>
          </w:p>
        </w:tc>
        <w:tc>
          <w:tcPr>
            <w:tcW w:type="dxa" w:w="1728"/>
            <w:vAlign w:val="center"/>
            <w:shd w:fill="263746"/>
            <w:tcMar>
              <w:top w:w="95" w:type="dxa"/>
              <w:bottom w:w="95" w:type="dxa"/>
              <w:left w:w="95" w:type="dxa"/>
              <w:right w:w="95" w:type="dxa"/>
            </w:tcMar>
          </w:tcPr>
          <w:p>
            <w:pPr>
              <w:spacing w:after="0" w:line="252" w:lineRule="auto"/>
              <w:jc w:val="center"/>
            </w:pPr>
            <w:r>
              <w:rPr>
                <w:b/>
                <w:color w:val="FFFFFF"/>
                <w:sz w:val="20"/>
              </w:rPr>
              <w:t>Outside min</w:t>
            </w:r>
          </w:p>
        </w:tc>
        <w:tc>
          <w:tcPr>
            <w:tcW w:type="dxa" w:w="1872"/>
            <w:vAlign w:val="center"/>
            <w:shd w:fill="263746"/>
            <w:tcMar>
              <w:top w:w="95" w:type="dxa"/>
              <w:bottom w:w="95" w:type="dxa"/>
              <w:left w:w="95" w:type="dxa"/>
              <w:right w:w="95" w:type="dxa"/>
            </w:tcMar>
          </w:tcPr>
          <w:p>
            <w:pPr>
              <w:spacing w:after="0" w:line="252" w:lineRule="auto"/>
              <w:jc w:val="center"/>
            </w:pPr>
            <w:r>
              <w:rPr>
                <w:b/>
                <w:color w:val="FFFFFF"/>
                <w:sz w:val="20"/>
              </w:rPr>
              <w:t>Std dev</w:t>
            </w:r>
          </w:p>
        </w:tc>
        <w:tc>
          <w:tcPr>
            <w:tcW w:type="dxa" w:w="1872"/>
            <w:vAlign w:val="center"/>
            <w:shd w:fill="263746"/>
            <w:tcMar>
              <w:top w:w="95" w:type="dxa"/>
              <w:bottom w:w="95" w:type="dxa"/>
              <w:left w:w="95" w:type="dxa"/>
              <w:right w:w="95" w:type="dxa"/>
            </w:tcMar>
          </w:tcPr>
          <w:p>
            <w:pPr>
              <w:spacing w:after="0" w:line="252" w:lineRule="auto"/>
              <w:jc w:val="center"/>
            </w:pPr>
            <w:r>
              <w:rPr>
                <w:b/>
                <w:color w:val="FFFFFF"/>
                <w:sz w:val="20"/>
              </w:rPr>
              <w:t>Seconds</w:t>
            </w:r>
          </w:p>
        </w:tc>
      </w:tr>
      <w:tr>
        <w:trPr>
          <w:cantSplit/>
        </w:trPr>
        <w:tc>
          <w:tcPr>
            <w:tcW w:type="dxa" w:w="2952"/>
            <w:vAlign w:val="center"/>
            <w:shd w:fill="F2F4F6"/>
            <w:tcMar>
              <w:top w:w="95" w:type="dxa"/>
              <w:bottom w:w="95" w:type="dxa"/>
              <w:left w:w="95" w:type="dxa"/>
              <w:right w:w="95" w:type="dxa"/>
            </w:tcMar>
          </w:tcPr>
          <w:p>
            <w:pPr>
              <w:spacing w:after="0" w:line="252" w:lineRule="auto"/>
              <w:jc w:val="left"/>
            </w:pPr>
            <w:r>
              <w:rPr>
                <w:b w:val="0"/>
                <w:color w:val="000000"/>
                <w:sz w:val="20"/>
              </w:rPr>
              <w:t>Priority</w:t>
            </w:r>
          </w:p>
        </w:tc>
        <w:tc>
          <w:tcPr>
            <w:tcW w:type="dxa" w:w="1512"/>
            <w:vAlign w:val="center"/>
            <w:shd w:fill="F2F4F6"/>
            <w:tcMar>
              <w:top w:w="95" w:type="dxa"/>
              <w:bottom w:w="95" w:type="dxa"/>
              <w:left w:w="95" w:type="dxa"/>
              <w:right w:w="95" w:type="dxa"/>
            </w:tcMar>
          </w:tcPr>
          <w:p>
            <w:pPr>
              <w:spacing w:after="0" w:line="252" w:lineRule="auto"/>
              <w:jc w:val="center"/>
            </w:pPr>
            <w:r>
              <w:rPr>
                <w:b w:val="0"/>
                <w:color w:val="000000"/>
                <w:sz w:val="20"/>
              </w:rPr>
              <w:t>20</w:t>
            </w:r>
          </w:p>
        </w:tc>
        <w:tc>
          <w:tcPr>
            <w:tcW w:type="dxa" w:w="1728"/>
            <w:vAlign w:val="center"/>
            <w:shd w:fill="F2F4F6"/>
            <w:tcMar>
              <w:top w:w="95" w:type="dxa"/>
              <w:bottom w:w="95" w:type="dxa"/>
              <w:left w:w="95" w:type="dxa"/>
              <w:right w:w="95" w:type="dxa"/>
            </w:tcMar>
          </w:tcPr>
          <w:p>
            <w:pPr>
              <w:spacing w:after="0" w:line="252" w:lineRule="auto"/>
              <w:jc w:val="center"/>
            </w:pPr>
            <w:r>
              <w:rPr>
                <w:b w:val="0"/>
                <w:color w:val="000000"/>
                <w:sz w:val="20"/>
              </w:rPr>
              <w:t>18</w:t>
            </w:r>
          </w:p>
        </w:tc>
        <w:tc>
          <w:tcPr>
            <w:tcW w:type="dxa" w:w="1872"/>
            <w:vAlign w:val="center"/>
            <w:shd w:fill="F2F4F6"/>
            <w:tcMar>
              <w:top w:w="95" w:type="dxa"/>
              <w:bottom w:w="95" w:type="dxa"/>
              <w:left w:w="95" w:type="dxa"/>
              <w:right w:w="95" w:type="dxa"/>
            </w:tcMar>
          </w:tcPr>
          <w:p>
            <w:pPr>
              <w:spacing w:after="0" w:line="252" w:lineRule="auto"/>
              <w:jc w:val="center"/>
            </w:pPr>
            <w:r>
              <w:rPr>
                <w:b w:val="0"/>
                <w:color w:val="000000"/>
                <w:sz w:val="20"/>
              </w:rPr>
              <w:t>1.459788</w:t>
            </w:r>
          </w:p>
        </w:tc>
        <w:tc>
          <w:tcPr>
            <w:tcW w:type="dxa" w:w="1872"/>
            <w:vAlign w:val="center"/>
            <w:shd w:fill="F2F4F6"/>
            <w:tcMar>
              <w:top w:w="95" w:type="dxa"/>
              <w:bottom w:w="95" w:type="dxa"/>
              <w:left w:w="95" w:type="dxa"/>
              <w:right w:w="95" w:type="dxa"/>
            </w:tcMar>
          </w:tcPr>
          <w:p>
            <w:pPr>
              <w:spacing w:after="0" w:line="252" w:lineRule="auto"/>
              <w:jc w:val="center"/>
            </w:pPr>
            <w:r>
              <w:rPr>
                <w:b w:val="0"/>
                <w:color w:val="000000"/>
                <w:sz w:val="20"/>
              </w:rPr>
              <w:t>60.3</w:t>
            </w:r>
          </w:p>
        </w:tc>
      </w:tr>
      <w:tr>
        <w:trPr>
          <w:cantSplit/>
        </w:trPr>
        <w:tc>
          <w:tcPr>
            <w:tcW w:type="dxa" w:w="2952"/>
            <w:vAlign w:val="center"/>
            <w:shd w:fill="FFFFFF"/>
            <w:tcMar>
              <w:top w:w="95" w:type="dxa"/>
              <w:bottom w:w="95" w:type="dxa"/>
              <w:left w:w="95" w:type="dxa"/>
              <w:right w:w="95" w:type="dxa"/>
            </w:tcMar>
          </w:tcPr>
          <w:p>
            <w:pPr>
              <w:spacing w:after="0" w:line="252" w:lineRule="auto"/>
              <w:jc w:val="left"/>
            </w:pPr>
            <w:r>
              <w:rPr>
                <w:b w:val="0"/>
                <w:color w:val="000000"/>
                <w:sz w:val="20"/>
              </w:rPr>
              <w:t>Candidate seed 1</w:t>
            </w:r>
          </w:p>
        </w:tc>
        <w:tc>
          <w:tcPr>
            <w:tcW w:type="dxa" w:w="1512"/>
            <w:vAlign w:val="center"/>
            <w:shd w:fill="FFFFFF"/>
            <w:tcMar>
              <w:top w:w="95" w:type="dxa"/>
              <w:bottom w:w="95" w:type="dxa"/>
              <w:left w:w="95" w:type="dxa"/>
              <w:right w:w="95" w:type="dxa"/>
            </w:tcMar>
          </w:tcPr>
          <w:p>
            <w:pPr>
              <w:spacing w:after="0" w:line="252" w:lineRule="auto"/>
              <w:jc w:val="center"/>
            </w:pPr>
            <w:r>
              <w:rPr>
                <w:b w:val="0"/>
                <w:color w:val="000000"/>
                <w:sz w:val="20"/>
              </w:rPr>
              <w:t>20</w:t>
            </w:r>
          </w:p>
        </w:tc>
        <w:tc>
          <w:tcPr>
            <w:tcW w:type="dxa" w:w="1728"/>
            <w:vAlign w:val="center"/>
            <w:shd w:fill="FFFFFF"/>
            <w:tcMar>
              <w:top w:w="95" w:type="dxa"/>
              <w:bottom w:w="95" w:type="dxa"/>
              <w:left w:w="95" w:type="dxa"/>
              <w:right w:w="95" w:type="dxa"/>
            </w:tcMar>
          </w:tcPr>
          <w:p>
            <w:pPr>
              <w:spacing w:after="0" w:line="252" w:lineRule="auto"/>
              <w:jc w:val="center"/>
            </w:pPr>
            <w:r>
              <w:rPr>
                <w:b w:val="0"/>
                <w:color w:val="000000"/>
                <w:sz w:val="20"/>
              </w:rPr>
              <w:t>17</w:t>
            </w:r>
          </w:p>
        </w:tc>
        <w:tc>
          <w:tcPr>
            <w:tcW w:type="dxa" w:w="1872"/>
            <w:vAlign w:val="center"/>
            <w:shd w:fill="FFFFFF"/>
            <w:tcMar>
              <w:top w:w="95" w:type="dxa"/>
              <w:bottom w:w="95" w:type="dxa"/>
              <w:left w:w="95" w:type="dxa"/>
              <w:right w:w="95" w:type="dxa"/>
            </w:tcMar>
          </w:tcPr>
          <w:p>
            <w:pPr>
              <w:spacing w:after="0" w:line="252" w:lineRule="auto"/>
              <w:jc w:val="center"/>
            </w:pPr>
            <w:r>
              <w:rPr>
                <w:b w:val="0"/>
                <w:color w:val="000000"/>
                <w:sz w:val="20"/>
              </w:rPr>
              <w:t>1.486601</w:t>
            </w:r>
          </w:p>
        </w:tc>
        <w:tc>
          <w:tcPr>
            <w:tcW w:type="dxa" w:w="1872"/>
            <w:vAlign w:val="center"/>
            <w:shd w:fill="FFFFFF"/>
            <w:tcMar>
              <w:top w:w="95" w:type="dxa"/>
              <w:bottom w:w="95" w:type="dxa"/>
              <w:left w:w="95" w:type="dxa"/>
              <w:right w:w="95" w:type="dxa"/>
            </w:tcMar>
          </w:tcPr>
          <w:p>
            <w:pPr>
              <w:spacing w:after="0" w:line="252" w:lineRule="auto"/>
              <w:jc w:val="center"/>
            </w:pPr>
            <w:r>
              <w:rPr>
                <w:b w:val="0"/>
                <w:color w:val="000000"/>
                <w:sz w:val="20"/>
              </w:rPr>
              <w:t>60.2</w:t>
            </w:r>
          </w:p>
        </w:tc>
      </w:tr>
      <w:tr>
        <w:trPr>
          <w:cantSplit/>
        </w:trPr>
        <w:tc>
          <w:tcPr>
            <w:tcW w:type="dxa" w:w="2952"/>
            <w:vAlign w:val="center"/>
            <w:shd w:fill="F2F4F6"/>
            <w:tcMar>
              <w:top w:w="95" w:type="dxa"/>
              <w:bottom w:w="95" w:type="dxa"/>
              <w:left w:w="95" w:type="dxa"/>
              <w:right w:w="95" w:type="dxa"/>
            </w:tcMar>
          </w:tcPr>
          <w:p>
            <w:pPr>
              <w:spacing w:after="0" w:line="252" w:lineRule="auto"/>
              <w:jc w:val="left"/>
            </w:pPr>
            <w:r>
              <w:rPr>
                <w:b w:val="0"/>
                <w:color w:val="000000"/>
                <w:sz w:val="20"/>
              </w:rPr>
              <w:t>Candidate seed 2</w:t>
            </w:r>
          </w:p>
        </w:tc>
        <w:tc>
          <w:tcPr>
            <w:tcW w:type="dxa" w:w="1512"/>
            <w:vAlign w:val="center"/>
            <w:shd w:fill="F2F4F6"/>
            <w:tcMar>
              <w:top w:w="95" w:type="dxa"/>
              <w:bottom w:w="95" w:type="dxa"/>
              <w:left w:w="95" w:type="dxa"/>
              <w:right w:w="95" w:type="dxa"/>
            </w:tcMar>
          </w:tcPr>
          <w:p>
            <w:pPr>
              <w:spacing w:after="0" w:line="252" w:lineRule="auto"/>
              <w:jc w:val="center"/>
            </w:pPr>
            <w:r>
              <w:rPr>
                <w:b w:val="0"/>
                <w:color w:val="000000"/>
                <w:sz w:val="20"/>
              </w:rPr>
              <w:t>20</w:t>
            </w:r>
          </w:p>
        </w:tc>
        <w:tc>
          <w:tcPr>
            <w:tcW w:type="dxa" w:w="1728"/>
            <w:vAlign w:val="center"/>
            <w:shd w:fill="F2F4F6"/>
            <w:tcMar>
              <w:top w:w="95" w:type="dxa"/>
              <w:bottom w:w="95" w:type="dxa"/>
              <w:left w:w="95" w:type="dxa"/>
              <w:right w:w="95" w:type="dxa"/>
            </w:tcMar>
          </w:tcPr>
          <w:p>
            <w:pPr>
              <w:spacing w:after="0" w:line="252" w:lineRule="auto"/>
              <w:jc w:val="center"/>
            </w:pPr>
            <w:r>
              <w:rPr>
                <w:b w:val="0"/>
                <w:color w:val="000000"/>
                <w:sz w:val="20"/>
              </w:rPr>
              <w:t>17</w:t>
            </w:r>
          </w:p>
        </w:tc>
        <w:tc>
          <w:tcPr>
            <w:tcW w:type="dxa" w:w="1872"/>
            <w:vAlign w:val="center"/>
            <w:shd w:fill="F2F4F6"/>
            <w:tcMar>
              <w:top w:w="95" w:type="dxa"/>
              <w:bottom w:w="95" w:type="dxa"/>
              <w:left w:w="95" w:type="dxa"/>
              <w:right w:w="95" w:type="dxa"/>
            </w:tcMar>
          </w:tcPr>
          <w:p>
            <w:pPr>
              <w:spacing w:after="0" w:line="252" w:lineRule="auto"/>
              <w:jc w:val="center"/>
            </w:pPr>
            <w:r>
              <w:rPr>
                <w:b w:val="0"/>
                <w:color w:val="000000"/>
                <w:sz w:val="20"/>
              </w:rPr>
              <w:t>1.469236</w:t>
            </w:r>
          </w:p>
        </w:tc>
        <w:tc>
          <w:tcPr>
            <w:tcW w:type="dxa" w:w="1872"/>
            <w:vAlign w:val="center"/>
            <w:shd w:fill="F2F4F6"/>
            <w:tcMar>
              <w:top w:w="95" w:type="dxa"/>
              <w:bottom w:w="95" w:type="dxa"/>
              <w:left w:w="95" w:type="dxa"/>
              <w:right w:w="95" w:type="dxa"/>
            </w:tcMar>
          </w:tcPr>
          <w:p>
            <w:pPr>
              <w:spacing w:after="0" w:line="252" w:lineRule="auto"/>
              <w:jc w:val="center"/>
            </w:pPr>
            <w:r>
              <w:rPr>
                <w:b w:val="0"/>
                <w:color w:val="000000"/>
                <w:sz w:val="20"/>
              </w:rPr>
              <w:t>60.2</w:t>
            </w:r>
          </w:p>
        </w:tc>
      </w:tr>
      <w:tr>
        <w:trPr>
          <w:cantSplit/>
        </w:trPr>
        <w:tc>
          <w:tcPr>
            <w:tcW w:type="dxa" w:w="2952"/>
            <w:vAlign w:val="center"/>
            <w:shd w:fill="FFFFFF"/>
            <w:tcMar>
              <w:top w:w="95" w:type="dxa"/>
              <w:bottom w:w="95" w:type="dxa"/>
              <w:left w:w="95" w:type="dxa"/>
              <w:right w:w="95" w:type="dxa"/>
            </w:tcMar>
          </w:tcPr>
          <w:p>
            <w:pPr>
              <w:spacing w:after="0" w:line="252" w:lineRule="auto"/>
              <w:jc w:val="left"/>
            </w:pPr>
            <w:r>
              <w:rPr>
                <w:b w:val="0"/>
                <w:color w:val="000000"/>
                <w:sz w:val="20"/>
              </w:rPr>
              <w:t>Candidate seed 3</w:t>
            </w:r>
          </w:p>
        </w:tc>
        <w:tc>
          <w:tcPr>
            <w:tcW w:type="dxa" w:w="1512"/>
            <w:vAlign w:val="center"/>
            <w:shd w:fill="FFFFFF"/>
            <w:tcMar>
              <w:top w:w="95" w:type="dxa"/>
              <w:bottom w:w="95" w:type="dxa"/>
              <w:left w:w="95" w:type="dxa"/>
              <w:right w:w="95" w:type="dxa"/>
            </w:tcMar>
          </w:tcPr>
          <w:p>
            <w:pPr>
              <w:spacing w:after="0" w:line="252" w:lineRule="auto"/>
              <w:jc w:val="center"/>
            </w:pPr>
            <w:r>
              <w:rPr>
                <w:b w:val="0"/>
                <w:color w:val="000000"/>
                <w:sz w:val="20"/>
              </w:rPr>
              <w:t>20</w:t>
            </w:r>
          </w:p>
        </w:tc>
        <w:tc>
          <w:tcPr>
            <w:tcW w:type="dxa" w:w="1728"/>
            <w:vAlign w:val="center"/>
            <w:shd w:fill="FFFFFF"/>
            <w:tcMar>
              <w:top w:w="95" w:type="dxa"/>
              <w:bottom w:w="95" w:type="dxa"/>
              <w:left w:w="95" w:type="dxa"/>
              <w:right w:w="95" w:type="dxa"/>
            </w:tcMar>
          </w:tcPr>
          <w:p>
            <w:pPr>
              <w:spacing w:after="0" w:line="252" w:lineRule="auto"/>
              <w:jc w:val="center"/>
            </w:pPr>
            <w:r>
              <w:rPr>
                <w:b w:val="0"/>
                <w:color w:val="000000"/>
                <w:sz w:val="20"/>
              </w:rPr>
              <w:t>17</w:t>
            </w:r>
          </w:p>
        </w:tc>
        <w:tc>
          <w:tcPr>
            <w:tcW w:type="dxa" w:w="1872"/>
            <w:vAlign w:val="center"/>
            <w:shd w:fill="FFFFFF"/>
            <w:tcMar>
              <w:top w:w="95" w:type="dxa"/>
              <w:bottom w:w="95" w:type="dxa"/>
              <w:left w:w="95" w:type="dxa"/>
              <w:right w:w="95" w:type="dxa"/>
            </w:tcMar>
          </w:tcPr>
          <w:p>
            <w:pPr>
              <w:spacing w:after="0" w:line="252" w:lineRule="auto"/>
              <w:jc w:val="center"/>
            </w:pPr>
            <w:r>
              <w:rPr>
                <w:b w:val="0"/>
                <w:color w:val="000000"/>
                <w:sz w:val="20"/>
              </w:rPr>
              <w:t>1.472725</w:t>
            </w:r>
          </w:p>
        </w:tc>
        <w:tc>
          <w:tcPr>
            <w:tcW w:type="dxa" w:w="1872"/>
            <w:vAlign w:val="center"/>
            <w:shd w:fill="FFFFFF"/>
            <w:tcMar>
              <w:top w:w="95" w:type="dxa"/>
              <w:bottom w:w="95" w:type="dxa"/>
              <w:left w:w="95" w:type="dxa"/>
              <w:right w:w="95" w:type="dxa"/>
            </w:tcMar>
          </w:tcPr>
          <w:p>
            <w:pPr>
              <w:spacing w:after="0" w:line="252" w:lineRule="auto"/>
              <w:jc w:val="center"/>
            </w:pPr>
            <w:r>
              <w:rPr>
                <w:b w:val="0"/>
                <w:color w:val="000000"/>
                <w:sz w:val="20"/>
              </w:rPr>
              <w:t>60.3</w:t>
            </w:r>
          </w:p>
        </w:tc>
      </w:tr>
    </w:tbl>
    <w:p>
      <w:pPr>
        <w:spacing w:after="0"/>
      </w:pPr>
    </w:p>
    <w:p>
      <w:r>
        <w:t>All three candidate runs reached 20 and performed actual escape moves. Their median outside minimum was 17, and median full-forecast standard deviation was 1.472725. All reported plans passed maintenance and other retained operational checks. Every search reached its runtime budget, so these are best-so-far schedules rather than convergence claims.</w:t>
      </w:r>
    </w:p>
    <w:p>
      <w:pPr>
        <w:pStyle w:val="Heading2"/>
      </w:pPr>
      <w:r>
        <w:t>Recommendation for this case</w:t>
      </w:r>
    </w:p>
    <w:p>
      <w:r>
        <w:t>The adapted priority-based method is the practical choice for this tested window and budget. It already achieves 20 without reducing the whole-forecast minimum below 18; the candidate did not improve that result. The important change was giving the busy period priority in the objective. Annealing was not needed to find a feasible schedule here.</w:t>
      </w:r>
    </w:p>
    <w:p>
      <w:r>
        <w:t>For another feasible window, annealing may help if improving the period requires several coordinated moves through temporarily worse schedules. It cannot overcome an unavoidable maintenance overlap. A definitive method ranking would need more date windows and the usual 300-second budget, with settings and acceptable surrounding availability specified in advance.</w:t>
      </w:r>
    </w:p>
    <w:p>
      <w:pPr>
        <w:pStyle w:val="Heading2"/>
      </w:pPr>
      <w:r>
        <w:t>Relevant files</w:t>
      </w:r>
    </w:p>
    <w:p>
      <w:pPr>
        <w:spacing w:after="40"/>
      </w:pPr>
      <w:hyperlink r:id="rId10">
        <w:r>
          <w:t>.scratch/busy-period-tradeoff/run_comparison.py</w:t>
        </w:r>
      </w:hyperlink>
    </w:p>
    <w:p>
      <w:r>
        <w:rPr>
          <w:sz w:val="19"/>
        </w:rPr>
        <w:t>Reproducible isolated experiment. Published baseline and candidate files were not edited.</w:t>
      </w:r>
    </w:p>
    <w:p>
      <w:pPr>
        <w:spacing w:after="40"/>
      </w:pPr>
      <w:hyperlink r:id="rId11">
        <w:r>
          <w:t>.scratch/busy-period-tradeoff/comparison-results.json</w:t>
        </w:r>
      </w:hyperlink>
    </w:p>
    <w:p>
      <w:r>
        <w:rPr>
          <w:sz w:val="19"/>
        </w:rPr>
        <w:t>All reported measurements and experimental settings. Individual schedule JSON files are saved in the same folder.</w:t>
      </w:r>
    </w:p>
    <w:p>
      <w:pPr>
        <w:spacing w:after="40"/>
      </w:pPr>
      <w:hyperlink r:id="rId12">
        <w:r>
          <w:t>.scratch/busy-period-tradeoff/window-check.json</w:t>
        </w:r>
      </w:hyperlink>
    </w:p>
    <w:p>
      <w:r>
        <w:rPr>
          <w:sz w:val="19"/>
        </w:rPr>
        <w:t>Daily unavoidable D overlap and window feasibility bounds.</w:t>
      </w:r>
    </w:p>
    <w:p>
      <w:pPr>
        <w:spacing w:after="40"/>
      </w:pPr>
      <w:hyperlink r:id="rId13">
        <w:r>
          <w:t>operational_constraints.json</w:t>
        </w:r>
      </w:hyperlink>
    </w:p>
    <w:p>
      <w:r>
        <w:rPr>
          <w:sz w:val="19"/>
        </w:rPr>
        <w:t>Existing busy dates, displacement limits and dependency groups.</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Semester 2 operational constraints addendum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6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16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16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60" w:line="259" w:lineRule="auto" w:before="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davsk/OneDrive/The%20University%20of%20Queensland/Northrop%20Grumman/Iteration%201/.scratch/busy-period-tradeoff/run_comparison.py" TargetMode="External"/><Relationship Id="rId11" Type="http://schemas.openxmlformats.org/officeDocument/2006/relationships/hyperlink" Target="file:///C:/Users/davsk/OneDrive/The%20University%20of%20Queensland/Northrop%20Grumman/Iteration%201/.scratch/busy-period-tradeoff/comparison-results.json" TargetMode="External"/><Relationship Id="rId12" Type="http://schemas.openxmlformats.org/officeDocument/2006/relationships/hyperlink" Target="file:///C:/Users/davsk/OneDrive/The%20University%20of%20Queensland/Northrop%20Grumman/Iteration%201/.scratch/busy-period-tradeoff/window-check.json" TargetMode="External"/><Relationship Id="rId13" Type="http://schemas.openxmlformats.org/officeDocument/2006/relationships/hyperlink" Target="file:///C:/Users/davsk/OneDrive/The%20University%20of%20Queensland/Northrop%20Grumman/Iteration%201/operational_constraint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Availability 20 During a Busy Period</dc:title>
  <dc:subject>Feasibility and availability trade-offs under a period-focused objective</dc:subject>
  <dc:creator>David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