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Variable-neighbourhood parameter analysis</w:t>
      </w:r>
    </w:p>
    <w:p>
      <w:r>
        <w:t>Use the wide-to-fine shift ladder (±56, ±42, ±28, ±14, ±7, ±3 and ±1 days) with a 400-iteration limit. It gave the strongest overall result across the three forecasts and was best on the moderate and wide stagger forecasts. The baseline ladder (±28, ±14, ±7, ±3 and ±1 days) reached the same minimum availability—18, 19 and 20 aircraft—but its day-to-day availability varied slightly more. The difference in standard deviation was 0.0037 to 0.0233 aircraft. The improvement is small, but it is consistent across all three forecasts.</w:t>
      </w:r>
    </w:p>
    <w:p>
      <w:pPr>
        <w:pStyle w:val="Heading1"/>
      </w:pPr>
      <w:r>
        <w:t>What we tested</w:t>
      </w:r>
    </w:p>
    <w:p>
      <w:r>
        <w:t>The analysis compared 13 ordered shift strategies on the original, moderate stagger and wide stagger forecasts. Each strategy was tested at 200, 400 and 800 iterations. The two slowest-converging strategies were also tested at 1600 iterations, giving 123 trials in total. A shift moves a candidate maintenance event earlier or later, and the optimiser accepts the move that gives the best improvement.</w:t>
      </w:r>
    </w:p>
    <w:p>
      <w:r>
        <w:t>Results were ranked by minimum available aircraft first, then lower standard deviation, then higher average availability. Standard deviation measures how much daily availability changes across the forecast. Availability was measured from 21 January 2026 to 18 January 2038. All schedules passed the implemented maintenance checks.</w:t>
      </w:r>
    </w:p>
    <w:p>
      <w:pPr>
        <w:pStyle w:val="Heading1"/>
      </w:pPr>
      <w:r>
        <w:t>Best results</w:t>
      </w:r>
    </w:p>
    <w:tbl>
      <w:tblPr>
        <w:tblStyle w:val="TableGrid"/>
        <w:tblW w:type="auto" w:w="0"/>
        <w:jc w:val="center"/>
        <w:tblLayout w:type="fixed"/>
        <w:tblLook w:firstColumn="1" w:firstRow="1" w:lastColumn="0" w:lastRow="0" w:noHBand="0" w:noVBand="1" w:val="04A0"/>
      </w:tblPr>
      <w:tblGrid>
        <w:gridCol w:w="1701"/>
        <w:gridCol w:w="3402"/>
        <w:gridCol w:w="1020"/>
        <w:gridCol w:w="964"/>
        <w:gridCol w:w="964"/>
        <w:gridCol w:w="1134"/>
      </w:tblGrid>
      <w:tr>
        <w:tc>
          <w:tcPr>
            <w:tcW w:type="dxa" w:w="1701"/>
            <w:shd w:val="clear" w:color="auto" w:fill="E6E6E6"/>
          </w:tcPr>
          <w:p>
            <w:pPr>
              <w:spacing w:after="0" w:line="240" w:lineRule="auto"/>
            </w:pPr>
            <w:r>
              <w:rPr>
                <w:b/>
                <w:sz w:val="17"/>
              </w:rPr>
              <w:t>Forecast</w:t>
            </w:r>
          </w:p>
        </w:tc>
        <w:tc>
          <w:tcPr>
            <w:tcW w:type="dxa" w:w="3402"/>
            <w:shd w:val="clear" w:color="auto" w:fill="E6E6E6"/>
          </w:tcPr>
          <w:p>
            <w:pPr>
              <w:spacing w:after="0" w:line="240" w:lineRule="auto"/>
            </w:pPr>
            <w:r>
              <w:rPr>
                <w:b/>
                <w:sz w:val="17"/>
              </w:rPr>
              <w:t>Best strategy</w:t>
            </w:r>
          </w:p>
        </w:tc>
        <w:tc>
          <w:tcPr>
            <w:tcW w:type="dxa" w:w="1020"/>
            <w:shd w:val="clear" w:color="auto" w:fill="E6E6E6"/>
          </w:tcPr>
          <w:p>
            <w:pPr>
              <w:spacing w:after="0" w:line="240" w:lineRule="auto"/>
            </w:pPr>
            <w:r>
              <w:rPr>
                <w:b/>
                <w:sz w:val="17"/>
              </w:rPr>
              <w:t>Iterations</w:t>
            </w:r>
          </w:p>
        </w:tc>
        <w:tc>
          <w:tcPr>
            <w:tcW w:type="dxa" w:w="964"/>
            <w:shd w:val="clear" w:color="auto" w:fill="E6E6E6"/>
          </w:tcPr>
          <w:p>
            <w:pPr>
              <w:spacing w:after="0" w:line="240" w:lineRule="auto"/>
            </w:pPr>
            <w:r>
              <w:rPr>
                <w:b/>
                <w:sz w:val="17"/>
              </w:rPr>
              <w:t>Minimum</w:t>
            </w:r>
          </w:p>
        </w:tc>
        <w:tc>
          <w:tcPr>
            <w:tcW w:type="dxa" w:w="964"/>
            <w:shd w:val="clear" w:color="auto" w:fill="E6E6E6"/>
          </w:tcPr>
          <w:p>
            <w:pPr>
              <w:spacing w:after="0" w:line="240" w:lineRule="auto"/>
            </w:pPr>
            <w:r>
              <w:rPr>
                <w:b/>
                <w:sz w:val="17"/>
              </w:rPr>
              <w:t>SD</w:t>
            </w:r>
          </w:p>
        </w:tc>
        <w:tc>
          <w:tcPr>
            <w:tcW w:type="dxa" w:w="1134"/>
            <w:shd w:val="clear" w:color="auto" w:fill="E6E6E6"/>
          </w:tcPr>
          <w:p>
            <w:pPr>
              <w:spacing w:after="0" w:line="240" w:lineRule="auto"/>
            </w:pPr>
            <w:r>
              <w:rPr>
                <w:b/>
                <w:sz w:val="17"/>
              </w:rPr>
              <w:t>Average</w:t>
            </w:r>
          </w:p>
        </w:tc>
      </w:tr>
      <w:tr>
        <w:tc>
          <w:tcPr>
            <w:tcW w:type="dxa" w:w="1701"/>
          </w:tcPr>
          <w:p>
            <w:pPr>
              <w:spacing w:after="0" w:line="240" w:lineRule="auto"/>
            </w:pPr>
            <w:r>
              <w:rPr>
                <w:b w:val="0"/>
                <w:sz w:val="17"/>
              </w:rPr>
              <w:t>Original</w:t>
            </w:r>
          </w:p>
        </w:tc>
        <w:tc>
          <w:tcPr>
            <w:tcW w:type="dxa" w:w="3402"/>
          </w:tcPr>
          <w:p>
            <w:pPr>
              <w:spacing w:after="0" w:line="240" w:lineRule="auto"/>
            </w:pPr>
            <w:r>
              <w:rPr>
                <w:b w:val="0"/>
                <w:sz w:val="17"/>
              </w:rPr>
              <w:t>Overlapping half-step sets plus ±42</w:t>
            </w:r>
          </w:p>
        </w:tc>
        <w:tc>
          <w:tcPr>
            <w:tcW w:type="dxa" w:w="1020"/>
          </w:tcPr>
          <w:p>
            <w:pPr>
              <w:spacing w:after="0" w:line="240" w:lineRule="auto"/>
              <w:jc w:val="right"/>
            </w:pPr>
            <w:r>
              <w:rPr>
                <w:b w:val="0"/>
                <w:sz w:val="17"/>
              </w:rPr>
              <w:t>400</w:t>
            </w:r>
          </w:p>
        </w:tc>
        <w:tc>
          <w:tcPr>
            <w:tcW w:type="dxa" w:w="964"/>
          </w:tcPr>
          <w:p>
            <w:pPr>
              <w:spacing w:after="0" w:line="240" w:lineRule="auto"/>
              <w:jc w:val="right"/>
            </w:pPr>
            <w:r>
              <w:rPr>
                <w:b w:val="0"/>
                <w:sz w:val="17"/>
              </w:rPr>
              <w:t>18</w:t>
            </w:r>
          </w:p>
        </w:tc>
        <w:tc>
          <w:tcPr>
            <w:tcW w:type="dxa" w:w="964"/>
          </w:tcPr>
          <w:p>
            <w:pPr>
              <w:spacing w:after="0" w:line="240" w:lineRule="auto"/>
              <w:jc w:val="right"/>
            </w:pPr>
            <w:r>
              <w:rPr>
                <w:b w:val="0"/>
                <w:sz w:val="17"/>
              </w:rPr>
              <w:t>1.4019</w:t>
            </w:r>
          </w:p>
        </w:tc>
        <w:tc>
          <w:tcPr>
            <w:tcW w:type="dxa" w:w="1134"/>
          </w:tcPr>
          <w:p>
            <w:pPr>
              <w:spacing w:after="0" w:line="240" w:lineRule="auto"/>
              <w:jc w:val="right"/>
            </w:pPr>
            <w:r>
              <w:rPr>
                <w:b w:val="0"/>
                <w:sz w:val="17"/>
              </w:rPr>
              <w:t>21.7076</w:t>
            </w:r>
          </w:p>
        </w:tc>
      </w:tr>
      <w:tr>
        <w:tc>
          <w:tcPr>
            <w:tcW w:type="dxa" w:w="1701"/>
          </w:tcPr>
          <w:p>
            <w:pPr>
              <w:spacing w:after="0" w:line="240" w:lineRule="auto"/>
            </w:pPr>
            <w:r>
              <w:rPr>
                <w:b w:val="0"/>
                <w:sz w:val="17"/>
              </w:rPr>
              <w:t>Moderate stagger</w:t>
            </w:r>
          </w:p>
        </w:tc>
        <w:tc>
          <w:tcPr>
            <w:tcW w:type="dxa" w:w="3402"/>
          </w:tcPr>
          <w:p>
            <w:pPr>
              <w:spacing w:after="0" w:line="240" w:lineRule="auto"/>
            </w:pPr>
            <w:r>
              <w:rPr>
                <w:b w:val="0"/>
                <w:sz w:val="17"/>
              </w:rPr>
              <w:t>Wide-to-fine ladder (±56 to ±1)</w:t>
            </w:r>
          </w:p>
        </w:tc>
        <w:tc>
          <w:tcPr>
            <w:tcW w:type="dxa" w:w="1020"/>
          </w:tcPr>
          <w:p>
            <w:pPr>
              <w:spacing w:after="0" w:line="240" w:lineRule="auto"/>
              <w:jc w:val="right"/>
            </w:pPr>
            <w:r>
              <w:rPr>
                <w:b w:val="0"/>
                <w:sz w:val="17"/>
              </w:rPr>
              <w:t>400</w:t>
            </w:r>
          </w:p>
        </w:tc>
        <w:tc>
          <w:tcPr>
            <w:tcW w:type="dxa" w:w="964"/>
          </w:tcPr>
          <w:p>
            <w:pPr>
              <w:spacing w:after="0" w:line="240" w:lineRule="auto"/>
              <w:jc w:val="right"/>
            </w:pPr>
            <w:r>
              <w:rPr>
                <w:b w:val="0"/>
                <w:sz w:val="17"/>
              </w:rPr>
              <w:t>19</w:t>
            </w:r>
          </w:p>
        </w:tc>
        <w:tc>
          <w:tcPr>
            <w:tcW w:type="dxa" w:w="964"/>
          </w:tcPr>
          <w:p>
            <w:pPr>
              <w:spacing w:after="0" w:line="240" w:lineRule="auto"/>
              <w:jc w:val="right"/>
            </w:pPr>
            <w:r>
              <w:rPr>
                <w:b w:val="0"/>
                <w:sz w:val="17"/>
              </w:rPr>
              <w:t>0.8834</w:t>
            </w:r>
          </w:p>
        </w:tc>
        <w:tc>
          <w:tcPr>
            <w:tcW w:type="dxa" w:w="1134"/>
          </w:tcPr>
          <w:p>
            <w:pPr>
              <w:spacing w:after="0" w:line="240" w:lineRule="auto"/>
              <w:jc w:val="right"/>
            </w:pPr>
            <w:r>
              <w:rPr>
                <w:b w:val="0"/>
                <w:sz w:val="17"/>
              </w:rPr>
              <w:t>21.4691</w:t>
            </w:r>
          </w:p>
        </w:tc>
      </w:tr>
      <w:tr>
        <w:tc>
          <w:tcPr>
            <w:tcW w:type="dxa" w:w="1701"/>
          </w:tcPr>
          <w:p>
            <w:pPr>
              <w:spacing w:after="0" w:line="240" w:lineRule="auto"/>
            </w:pPr>
            <w:r>
              <w:rPr>
                <w:b w:val="0"/>
                <w:sz w:val="17"/>
              </w:rPr>
              <w:t>Wide stagger</w:t>
            </w:r>
          </w:p>
        </w:tc>
        <w:tc>
          <w:tcPr>
            <w:tcW w:type="dxa" w:w="3402"/>
          </w:tcPr>
          <w:p>
            <w:pPr>
              <w:spacing w:after="0" w:line="240" w:lineRule="auto"/>
            </w:pPr>
            <w:r>
              <w:rPr>
                <w:b w:val="0"/>
                <w:sz w:val="17"/>
              </w:rPr>
              <w:t>Wide-to-fine ladder (±56 to ±1)</w:t>
            </w:r>
          </w:p>
        </w:tc>
        <w:tc>
          <w:tcPr>
            <w:tcW w:type="dxa" w:w="1020"/>
          </w:tcPr>
          <w:p>
            <w:pPr>
              <w:spacing w:after="0" w:line="240" w:lineRule="auto"/>
              <w:jc w:val="right"/>
            </w:pPr>
            <w:r>
              <w:rPr>
                <w:b w:val="0"/>
                <w:sz w:val="17"/>
              </w:rPr>
              <w:t>400</w:t>
            </w:r>
          </w:p>
        </w:tc>
        <w:tc>
          <w:tcPr>
            <w:tcW w:type="dxa" w:w="964"/>
          </w:tcPr>
          <w:p>
            <w:pPr>
              <w:spacing w:after="0" w:line="240" w:lineRule="auto"/>
              <w:jc w:val="right"/>
            </w:pPr>
            <w:r>
              <w:rPr>
                <w:b w:val="0"/>
                <w:sz w:val="17"/>
              </w:rPr>
              <w:t>20</w:t>
            </w:r>
          </w:p>
        </w:tc>
        <w:tc>
          <w:tcPr>
            <w:tcW w:type="dxa" w:w="964"/>
          </w:tcPr>
          <w:p>
            <w:pPr>
              <w:spacing w:after="0" w:line="240" w:lineRule="auto"/>
              <w:jc w:val="right"/>
            </w:pPr>
            <w:r>
              <w:rPr>
                <w:b w:val="0"/>
                <w:sz w:val="17"/>
              </w:rPr>
              <w:t>0.5868</w:t>
            </w:r>
          </w:p>
        </w:tc>
        <w:tc>
          <w:tcPr>
            <w:tcW w:type="dxa" w:w="1134"/>
          </w:tcPr>
          <w:p>
            <w:pPr>
              <w:spacing w:after="0" w:line="240" w:lineRule="auto"/>
              <w:jc w:val="right"/>
            </w:pPr>
            <w:r>
              <w:rPr>
                <w:b w:val="0"/>
                <w:sz w:val="17"/>
              </w:rPr>
              <w:t>21.4750</w:t>
            </w:r>
          </w:p>
        </w:tc>
      </w:tr>
    </w:tbl>
    <w:p>
      <w:pPr>
        <w:spacing w:after="0" w:line="80" w:lineRule="exact"/>
      </w:pPr>
    </w:p>
    <w:p>
      <w:r>
        <w:t>The forecasts begin from different maintenance states, so their availability levels should not be compared directly. The original forecast favoured the overlapping half-step ladder with ±42, while the wide-to-fine ladder was best on the two staggered forecasts. A single shared setting avoids changing the optimiser between forecasts for a very small loss on the original forecast: it kept the same minimum of 18 aircraft and increased standard deviation by only 0.0078 aircraft.</w:t>
      </w:r>
    </w:p>
    <w:p>
      <w:r>
        <w:br w:type="page"/>
      </w:r>
    </w:p>
    <w:p>
      <w:pPr>
        <w:pStyle w:val="Heading1"/>
      </w:pPr>
      <w:r>
        <w:t>All strategies at 400 iterations</w:t>
      </w:r>
    </w:p>
    <w:tbl>
      <w:tblPr>
        <w:tblStyle w:val="TableGrid"/>
        <w:tblW w:type="auto" w:w="0"/>
        <w:jc w:val="center"/>
        <w:tblLayout w:type="fixed"/>
        <w:tblLook w:firstColumn="1" w:firstRow="1" w:lastColumn="0" w:lastRow="0" w:noHBand="0" w:noVBand="1" w:val="04A0"/>
      </w:tblPr>
      <w:tblGrid>
        <w:gridCol w:w="3969"/>
        <w:gridCol w:w="1814"/>
        <w:gridCol w:w="1814"/>
        <w:gridCol w:w="1814"/>
      </w:tblGrid>
      <w:tr>
        <w:tc>
          <w:tcPr>
            <w:tcW w:type="dxa" w:w="3969"/>
            <w:shd w:val="clear" w:color="auto" w:fill="E6E6E6"/>
          </w:tcPr>
          <w:p>
            <w:pPr>
              <w:spacing w:after="0" w:line="240" w:lineRule="auto"/>
            </w:pPr>
            <w:r>
              <w:rPr>
                <w:b/>
                <w:sz w:val="15"/>
              </w:rPr>
              <w:t>Strategy</w:t>
            </w:r>
          </w:p>
        </w:tc>
        <w:tc>
          <w:tcPr>
            <w:tcW w:type="dxa" w:w="1814"/>
            <w:shd w:val="clear" w:color="auto" w:fill="E6E6E6"/>
          </w:tcPr>
          <w:p>
            <w:pPr>
              <w:spacing w:after="0" w:line="240" w:lineRule="auto"/>
            </w:pPr>
            <w:r>
              <w:rPr>
                <w:b/>
                <w:sz w:val="15"/>
              </w:rPr>
              <w:t>Original</w:t>
            </w:r>
          </w:p>
        </w:tc>
        <w:tc>
          <w:tcPr>
            <w:tcW w:type="dxa" w:w="1814"/>
            <w:shd w:val="clear" w:color="auto" w:fill="E6E6E6"/>
          </w:tcPr>
          <w:p>
            <w:pPr>
              <w:spacing w:after="0" w:line="240" w:lineRule="auto"/>
            </w:pPr>
            <w:r>
              <w:rPr>
                <w:b/>
                <w:sz w:val="15"/>
              </w:rPr>
              <w:t>Moderate</w:t>
            </w:r>
          </w:p>
        </w:tc>
        <w:tc>
          <w:tcPr>
            <w:tcW w:type="dxa" w:w="1814"/>
            <w:shd w:val="clear" w:color="auto" w:fill="E6E6E6"/>
          </w:tcPr>
          <w:p>
            <w:pPr>
              <w:spacing w:after="0" w:line="240" w:lineRule="auto"/>
            </w:pPr>
            <w:r>
              <w:rPr>
                <w:b/>
                <w:sz w:val="15"/>
              </w:rPr>
              <w:t>Wide</w:t>
            </w:r>
          </w:p>
        </w:tc>
      </w:tr>
      <w:tr>
        <w:tc>
          <w:tcPr>
            <w:tcW w:type="dxa" w:w="3969"/>
          </w:tcPr>
          <w:p>
            <w:pPr>
              <w:spacing w:after="0" w:line="240" w:lineRule="auto"/>
            </w:pPr>
            <w:r>
              <w:rPr>
                <w:b/>
                <w:sz w:val="15"/>
              </w:rPr>
              <w:t>Wide-to-fine ladder (±56 to ±1)</w:t>
            </w:r>
          </w:p>
        </w:tc>
        <w:tc>
          <w:tcPr>
            <w:tcW w:type="dxa" w:w="1814"/>
          </w:tcPr>
          <w:p>
            <w:pPr>
              <w:spacing w:after="0" w:line="240" w:lineRule="auto"/>
              <w:jc w:val="right"/>
            </w:pPr>
            <w:r>
              <w:rPr>
                <w:b/>
                <w:sz w:val="15"/>
              </w:rPr>
              <w:t>18 / 1.4097</w:t>
            </w:r>
          </w:p>
        </w:tc>
        <w:tc>
          <w:tcPr>
            <w:tcW w:type="dxa" w:w="1814"/>
          </w:tcPr>
          <w:p>
            <w:pPr>
              <w:spacing w:after="0" w:line="240" w:lineRule="auto"/>
              <w:jc w:val="right"/>
            </w:pPr>
            <w:r>
              <w:rPr>
                <w:b/>
                <w:sz w:val="15"/>
              </w:rPr>
              <w:t>19 / 0.8834</w:t>
            </w:r>
          </w:p>
        </w:tc>
        <w:tc>
          <w:tcPr>
            <w:tcW w:type="dxa" w:w="1814"/>
          </w:tcPr>
          <w:p>
            <w:pPr>
              <w:spacing w:after="0" w:line="240" w:lineRule="auto"/>
              <w:jc w:val="right"/>
            </w:pPr>
            <w:r>
              <w:rPr>
                <w:b/>
                <w:sz w:val="15"/>
              </w:rPr>
              <w:t>20 / 0.5868</w:t>
            </w:r>
          </w:p>
        </w:tc>
      </w:tr>
      <w:tr>
        <w:tc>
          <w:tcPr>
            <w:tcW w:type="dxa" w:w="3969"/>
          </w:tcPr>
          <w:p>
            <w:pPr>
              <w:spacing w:after="0" w:line="240" w:lineRule="auto"/>
            </w:pPr>
            <w:r>
              <w:rPr>
                <w:b w:val="0"/>
                <w:sz w:val="15"/>
              </w:rPr>
              <w:t>Overlapping half-step sets plus ±42</w:t>
            </w:r>
          </w:p>
        </w:tc>
        <w:tc>
          <w:tcPr>
            <w:tcW w:type="dxa" w:w="1814"/>
          </w:tcPr>
          <w:p>
            <w:pPr>
              <w:spacing w:after="0" w:line="240" w:lineRule="auto"/>
              <w:jc w:val="right"/>
            </w:pPr>
            <w:r>
              <w:rPr>
                <w:b w:val="0"/>
                <w:sz w:val="15"/>
              </w:rPr>
              <w:t>18 / 1.4019</w:t>
            </w:r>
          </w:p>
        </w:tc>
        <w:tc>
          <w:tcPr>
            <w:tcW w:type="dxa" w:w="1814"/>
          </w:tcPr>
          <w:p>
            <w:pPr>
              <w:spacing w:after="0" w:line="240" w:lineRule="auto"/>
              <w:jc w:val="right"/>
            </w:pPr>
            <w:r>
              <w:rPr>
                <w:b w:val="0"/>
                <w:sz w:val="15"/>
              </w:rPr>
              <w:t>19 / 0.8922</w:t>
            </w:r>
          </w:p>
        </w:tc>
        <w:tc>
          <w:tcPr>
            <w:tcW w:type="dxa" w:w="1814"/>
          </w:tcPr>
          <w:p>
            <w:pPr>
              <w:spacing w:after="0" w:line="240" w:lineRule="auto"/>
              <w:jc w:val="right"/>
            </w:pPr>
            <w:r>
              <w:rPr>
                <w:b w:val="0"/>
                <w:sz w:val="15"/>
              </w:rPr>
              <w:t>20 / 0.6090</w:t>
            </w:r>
          </w:p>
        </w:tc>
      </w:tr>
      <w:tr>
        <w:tc>
          <w:tcPr>
            <w:tcW w:type="dxa" w:w="3969"/>
          </w:tcPr>
          <w:p>
            <w:pPr>
              <w:spacing w:after="0" w:line="240" w:lineRule="auto"/>
            </w:pPr>
            <w:r>
              <w:rPr>
                <w:b w:val="0"/>
                <w:sz w:val="15"/>
              </w:rPr>
              <w:t>Pairs from ±42 (±42 to ±1)</w:t>
            </w:r>
          </w:p>
        </w:tc>
        <w:tc>
          <w:tcPr>
            <w:tcW w:type="dxa" w:w="1814"/>
          </w:tcPr>
          <w:p>
            <w:pPr>
              <w:spacing w:after="0" w:line="240" w:lineRule="auto"/>
              <w:jc w:val="right"/>
            </w:pPr>
            <w:r>
              <w:rPr>
                <w:b w:val="0"/>
                <w:sz w:val="15"/>
              </w:rPr>
              <w:t>18 / 1.4034</w:t>
            </w:r>
          </w:p>
        </w:tc>
        <w:tc>
          <w:tcPr>
            <w:tcW w:type="dxa" w:w="1814"/>
          </w:tcPr>
          <w:p>
            <w:pPr>
              <w:spacing w:after="0" w:line="240" w:lineRule="auto"/>
              <w:jc w:val="right"/>
            </w:pPr>
            <w:r>
              <w:rPr>
                <w:b w:val="0"/>
                <w:sz w:val="15"/>
              </w:rPr>
              <w:t>19 / 0.8886</w:t>
            </w:r>
          </w:p>
        </w:tc>
        <w:tc>
          <w:tcPr>
            <w:tcW w:type="dxa" w:w="1814"/>
          </w:tcPr>
          <w:p>
            <w:pPr>
              <w:spacing w:after="0" w:line="240" w:lineRule="auto"/>
              <w:jc w:val="right"/>
            </w:pPr>
            <w:r>
              <w:rPr>
                <w:b w:val="0"/>
                <w:sz w:val="15"/>
              </w:rPr>
              <w:t>20 / 0.6219</w:t>
            </w:r>
          </w:p>
        </w:tc>
      </w:tr>
      <w:tr>
        <w:tc>
          <w:tcPr>
            <w:tcW w:type="dxa" w:w="3969"/>
          </w:tcPr>
          <w:p>
            <w:pPr>
              <w:spacing w:after="0" w:line="240" w:lineRule="auto"/>
            </w:pPr>
            <w:r>
              <w:rPr>
                <w:b w:val="0"/>
                <w:sz w:val="15"/>
              </w:rPr>
              <w:t>Dense paired ladder</w:t>
            </w:r>
          </w:p>
        </w:tc>
        <w:tc>
          <w:tcPr>
            <w:tcW w:type="dxa" w:w="1814"/>
          </w:tcPr>
          <w:p>
            <w:pPr>
              <w:spacing w:after="0" w:line="240" w:lineRule="auto"/>
              <w:jc w:val="right"/>
            </w:pPr>
            <w:r>
              <w:rPr>
                <w:b w:val="0"/>
                <w:sz w:val="15"/>
              </w:rPr>
              <w:t>18 / 1.4106</w:t>
            </w:r>
          </w:p>
        </w:tc>
        <w:tc>
          <w:tcPr>
            <w:tcW w:type="dxa" w:w="1814"/>
          </w:tcPr>
          <w:p>
            <w:pPr>
              <w:spacing w:after="0" w:line="240" w:lineRule="auto"/>
              <w:jc w:val="right"/>
            </w:pPr>
            <w:r>
              <w:rPr>
                <w:b w:val="0"/>
                <w:sz w:val="15"/>
              </w:rPr>
              <w:t>19 / 0.8912*</w:t>
            </w:r>
          </w:p>
        </w:tc>
        <w:tc>
          <w:tcPr>
            <w:tcW w:type="dxa" w:w="1814"/>
          </w:tcPr>
          <w:p>
            <w:pPr>
              <w:spacing w:after="0" w:line="240" w:lineRule="auto"/>
              <w:jc w:val="right"/>
            </w:pPr>
            <w:r>
              <w:rPr>
                <w:b w:val="0"/>
                <w:sz w:val="15"/>
              </w:rPr>
              <w:t>20 / 0.6077</w:t>
            </w:r>
          </w:p>
        </w:tc>
      </w:tr>
      <w:tr>
        <w:tc>
          <w:tcPr>
            <w:tcW w:type="dxa" w:w="3969"/>
          </w:tcPr>
          <w:p>
            <w:pPr>
              <w:spacing w:after="0" w:line="240" w:lineRule="auto"/>
            </w:pPr>
            <w:r>
              <w:rPr>
                <w:b w:val="0"/>
                <w:sz w:val="15"/>
              </w:rPr>
              <w:t>Baseline (±28, ±14, ±7, ±3, ±1)</w:t>
            </w:r>
          </w:p>
        </w:tc>
        <w:tc>
          <w:tcPr>
            <w:tcW w:type="dxa" w:w="1814"/>
          </w:tcPr>
          <w:p>
            <w:pPr>
              <w:spacing w:after="0" w:line="240" w:lineRule="auto"/>
              <w:jc w:val="right"/>
            </w:pPr>
            <w:r>
              <w:rPr>
                <w:b w:val="0"/>
                <w:sz w:val="15"/>
              </w:rPr>
              <w:t>18 / 1.4135</w:t>
            </w:r>
          </w:p>
        </w:tc>
        <w:tc>
          <w:tcPr>
            <w:tcW w:type="dxa" w:w="1814"/>
          </w:tcPr>
          <w:p>
            <w:pPr>
              <w:spacing w:after="0" w:line="240" w:lineRule="auto"/>
              <w:jc w:val="right"/>
            </w:pPr>
            <w:r>
              <w:rPr>
                <w:b w:val="0"/>
                <w:sz w:val="15"/>
              </w:rPr>
              <w:t>19 / 0.9067</w:t>
            </w:r>
          </w:p>
        </w:tc>
        <w:tc>
          <w:tcPr>
            <w:tcW w:type="dxa" w:w="1814"/>
          </w:tcPr>
          <w:p>
            <w:pPr>
              <w:spacing w:after="0" w:line="240" w:lineRule="auto"/>
              <w:jc w:val="right"/>
            </w:pPr>
            <w:r>
              <w:rPr>
                <w:b w:val="0"/>
                <w:sz w:val="15"/>
              </w:rPr>
              <w:t>20 / 0.6062</w:t>
            </w:r>
          </w:p>
        </w:tc>
      </w:tr>
      <w:tr>
        <w:tc>
          <w:tcPr>
            <w:tcW w:type="dxa" w:w="3969"/>
          </w:tcPr>
          <w:p>
            <w:pPr>
              <w:spacing w:after="0" w:line="240" w:lineRule="auto"/>
            </w:pPr>
            <w:r>
              <w:rPr>
                <w:b w:val="0"/>
                <w:sz w:val="15"/>
              </w:rPr>
              <w:t>Overlapping half-step sets</w:t>
            </w:r>
          </w:p>
        </w:tc>
        <w:tc>
          <w:tcPr>
            <w:tcW w:type="dxa" w:w="1814"/>
          </w:tcPr>
          <w:p>
            <w:pPr>
              <w:spacing w:after="0" w:line="240" w:lineRule="auto"/>
              <w:jc w:val="right"/>
            </w:pPr>
            <w:r>
              <w:rPr>
                <w:b w:val="0"/>
                <w:sz w:val="15"/>
              </w:rPr>
              <w:t>18 / 1.4041</w:t>
            </w:r>
          </w:p>
        </w:tc>
        <w:tc>
          <w:tcPr>
            <w:tcW w:type="dxa" w:w="1814"/>
          </w:tcPr>
          <w:p>
            <w:pPr>
              <w:spacing w:after="0" w:line="240" w:lineRule="auto"/>
              <w:jc w:val="right"/>
            </w:pPr>
            <w:r>
              <w:rPr>
                <w:b w:val="0"/>
                <w:sz w:val="15"/>
              </w:rPr>
              <w:t>19 / 0.8985</w:t>
            </w:r>
          </w:p>
        </w:tc>
        <w:tc>
          <w:tcPr>
            <w:tcW w:type="dxa" w:w="1814"/>
          </w:tcPr>
          <w:p>
            <w:pPr>
              <w:spacing w:after="0" w:line="240" w:lineRule="auto"/>
              <w:jc w:val="right"/>
            </w:pPr>
            <w:r>
              <w:rPr>
                <w:b w:val="0"/>
                <w:sz w:val="15"/>
              </w:rPr>
              <w:t>19 / 0.6333</w:t>
            </w:r>
          </w:p>
        </w:tc>
      </w:tr>
      <w:tr>
        <w:tc>
          <w:tcPr>
            <w:tcW w:type="dxa" w:w="3969"/>
          </w:tcPr>
          <w:p>
            <w:pPr>
              <w:spacing w:after="0" w:line="240" w:lineRule="auto"/>
            </w:pPr>
            <w:r>
              <w:rPr>
                <w:b w:val="0"/>
                <w:sz w:val="15"/>
              </w:rPr>
              <w:t>Baseline steps in one set</w:t>
            </w:r>
          </w:p>
        </w:tc>
        <w:tc>
          <w:tcPr>
            <w:tcW w:type="dxa" w:w="1814"/>
          </w:tcPr>
          <w:p>
            <w:pPr>
              <w:spacing w:after="0" w:line="240" w:lineRule="auto"/>
              <w:jc w:val="right"/>
            </w:pPr>
            <w:r>
              <w:rPr>
                <w:b w:val="0"/>
                <w:sz w:val="15"/>
              </w:rPr>
              <w:t>18 / 1.4093</w:t>
            </w:r>
          </w:p>
        </w:tc>
        <w:tc>
          <w:tcPr>
            <w:tcW w:type="dxa" w:w="1814"/>
          </w:tcPr>
          <w:p>
            <w:pPr>
              <w:spacing w:after="0" w:line="240" w:lineRule="auto"/>
              <w:jc w:val="right"/>
            </w:pPr>
            <w:r>
              <w:rPr>
                <w:b w:val="0"/>
                <w:sz w:val="15"/>
              </w:rPr>
              <w:t>19 / 0.9436</w:t>
            </w:r>
          </w:p>
        </w:tc>
        <w:tc>
          <w:tcPr>
            <w:tcW w:type="dxa" w:w="1814"/>
          </w:tcPr>
          <w:p>
            <w:pPr>
              <w:spacing w:after="0" w:line="240" w:lineRule="auto"/>
              <w:jc w:val="right"/>
            </w:pPr>
            <w:r>
              <w:rPr>
                <w:b w:val="0"/>
                <w:sz w:val="15"/>
              </w:rPr>
              <w:t>19 / 0.6680</w:t>
            </w:r>
          </w:p>
        </w:tc>
      </w:tr>
      <w:tr>
        <w:tc>
          <w:tcPr>
            <w:tcW w:type="dxa" w:w="3969"/>
          </w:tcPr>
          <w:p>
            <w:pPr>
              <w:spacing w:after="0" w:line="240" w:lineRule="auto"/>
            </w:pPr>
            <w:r>
              <w:rPr>
                <w:b w:val="0"/>
                <w:sz w:val="15"/>
              </w:rPr>
              <w:t>Pairs from ±14 (±14 to ±1)</w:t>
            </w:r>
          </w:p>
        </w:tc>
        <w:tc>
          <w:tcPr>
            <w:tcW w:type="dxa" w:w="1814"/>
          </w:tcPr>
          <w:p>
            <w:pPr>
              <w:spacing w:after="0" w:line="240" w:lineRule="auto"/>
              <w:jc w:val="right"/>
            </w:pPr>
            <w:r>
              <w:rPr>
                <w:b w:val="0"/>
                <w:sz w:val="15"/>
              </w:rPr>
              <w:t>18 / 1.4167</w:t>
            </w:r>
          </w:p>
        </w:tc>
        <w:tc>
          <w:tcPr>
            <w:tcW w:type="dxa" w:w="1814"/>
          </w:tcPr>
          <w:p>
            <w:pPr>
              <w:spacing w:after="0" w:line="240" w:lineRule="auto"/>
              <w:jc w:val="right"/>
            </w:pPr>
            <w:r>
              <w:rPr>
                <w:b w:val="0"/>
                <w:sz w:val="15"/>
              </w:rPr>
              <w:t>19 / 0.9550*</w:t>
            </w:r>
          </w:p>
        </w:tc>
        <w:tc>
          <w:tcPr>
            <w:tcW w:type="dxa" w:w="1814"/>
          </w:tcPr>
          <w:p>
            <w:pPr>
              <w:spacing w:after="0" w:line="240" w:lineRule="auto"/>
              <w:jc w:val="right"/>
            </w:pPr>
            <w:r>
              <w:rPr>
                <w:b w:val="0"/>
                <w:sz w:val="15"/>
              </w:rPr>
              <w:t>20 / 0.6559</w:t>
            </w:r>
          </w:p>
        </w:tc>
      </w:tr>
      <w:tr>
        <w:tc>
          <w:tcPr>
            <w:tcW w:type="dxa" w:w="3969"/>
          </w:tcPr>
          <w:p>
            <w:pPr>
              <w:spacing w:after="0" w:line="240" w:lineRule="auto"/>
            </w:pPr>
            <w:r>
              <w:rPr>
                <w:b w:val="0"/>
                <w:sz w:val="15"/>
              </w:rPr>
              <w:t>Overlapping sets without ±28</w:t>
            </w:r>
          </w:p>
        </w:tc>
        <w:tc>
          <w:tcPr>
            <w:tcW w:type="dxa" w:w="1814"/>
          </w:tcPr>
          <w:p>
            <w:pPr>
              <w:spacing w:after="0" w:line="240" w:lineRule="auto"/>
              <w:jc w:val="right"/>
            </w:pPr>
            <w:r>
              <w:rPr>
                <w:b w:val="0"/>
                <w:sz w:val="15"/>
              </w:rPr>
              <w:t>18 / 1.4152</w:t>
            </w:r>
          </w:p>
        </w:tc>
        <w:tc>
          <w:tcPr>
            <w:tcW w:type="dxa" w:w="1814"/>
          </w:tcPr>
          <w:p>
            <w:pPr>
              <w:spacing w:after="0" w:line="240" w:lineRule="auto"/>
              <w:jc w:val="right"/>
            </w:pPr>
            <w:r>
              <w:rPr>
                <w:b w:val="0"/>
                <w:sz w:val="15"/>
              </w:rPr>
              <w:t>19 / 0.9706*</w:t>
            </w:r>
          </w:p>
        </w:tc>
        <w:tc>
          <w:tcPr>
            <w:tcW w:type="dxa" w:w="1814"/>
          </w:tcPr>
          <w:p>
            <w:pPr>
              <w:spacing w:after="0" w:line="240" w:lineRule="auto"/>
              <w:jc w:val="right"/>
            </w:pPr>
            <w:r>
              <w:rPr>
                <w:b w:val="0"/>
                <w:sz w:val="15"/>
              </w:rPr>
              <w:t>20 / 0.6757</w:t>
            </w:r>
          </w:p>
        </w:tc>
      </w:tr>
      <w:tr>
        <w:tc>
          <w:tcPr>
            <w:tcW w:type="dxa" w:w="3969"/>
          </w:tcPr>
          <w:p>
            <w:pPr>
              <w:spacing w:after="0" w:line="240" w:lineRule="auto"/>
            </w:pPr>
            <w:r>
              <w:rPr>
                <w:b w:val="0"/>
                <w:sz w:val="15"/>
              </w:rPr>
              <w:t>Pairs from ±7 (±7 to ±1)</w:t>
            </w:r>
          </w:p>
        </w:tc>
        <w:tc>
          <w:tcPr>
            <w:tcW w:type="dxa" w:w="1814"/>
          </w:tcPr>
          <w:p>
            <w:pPr>
              <w:spacing w:after="0" w:line="240" w:lineRule="auto"/>
              <w:jc w:val="right"/>
            </w:pPr>
            <w:r>
              <w:rPr>
                <w:b w:val="0"/>
                <w:sz w:val="15"/>
              </w:rPr>
              <w:t>18 / 1.4480*</w:t>
            </w:r>
          </w:p>
        </w:tc>
        <w:tc>
          <w:tcPr>
            <w:tcW w:type="dxa" w:w="1814"/>
          </w:tcPr>
          <w:p>
            <w:pPr>
              <w:spacing w:after="0" w:line="240" w:lineRule="auto"/>
              <w:jc w:val="right"/>
            </w:pPr>
            <w:r>
              <w:rPr>
                <w:b w:val="0"/>
                <w:sz w:val="15"/>
              </w:rPr>
              <w:t>19 / 1.0812*</w:t>
            </w:r>
          </w:p>
        </w:tc>
        <w:tc>
          <w:tcPr>
            <w:tcW w:type="dxa" w:w="1814"/>
          </w:tcPr>
          <w:p>
            <w:pPr>
              <w:spacing w:after="0" w:line="240" w:lineRule="auto"/>
              <w:jc w:val="right"/>
            </w:pPr>
            <w:r>
              <w:rPr>
                <w:b w:val="0"/>
                <w:sz w:val="15"/>
              </w:rPr>
              <w:t>20 / 0.7695*</w:t>
            </w:r>
          </w:p>
        </w:tc>
      </w:tr>
      <w:tr>
        <w:tc>
          <w:tcPr>
            <w:tcW w:type="dxa" w:w="3969"/>
          </w:tcPr>
          <w:p>
            <w:pPr>
              <w:spacing w:after="0" w:line="240" w:lineRule="auto"/>
            </w:pPr>
            <w:r>
              <w:rPr>
                <w:b w:val="0"/>
                <w:sz w:val="15"/>
              </w:rPr>
              <w:t>Pairs from ±3 (±3, ±1)</w:t>
            </w:r>
          </w:p>
        </w:tc>
        <w:tc>
          <w:tcPr>
            <w:tcW w:type="dxa" w:w="1814"/>
          </w:tcPr>
          <w:p>
            <w:pPr>
              <w:spacing w:after="0" w:line="240" w:lineRule="auto"/>
              <w:jc w:val="right"/>
            </w:pPr>
            <w:r>
              <w:rPr>
                <w:b w:val="0"/>
                <w:sz w:val="15"/>
              </w:rPr>
              <w:t>17 / 1.6104*</w:t>
            </w:r>
          </w:p>
        </w:tc>
        <w:tc>
          <w:tcPr>
            <w:tcW w:type="dxa" w:w="1814"/>
          </w:tcPr>
          <w:p>
            <w:pPr>
              <w:spacing w:after="0" w:line="240" w:lineRule="auto"/>
              <w:jc w:val="right"/>
            </w:pPr>
            <w:r>
              <w:rPr>
                <w:b w:val="0"/>
                <w:sz w:val="15"/>
              </w:rPr>
              <w:t>19 / 1.2687*</w:t>
            </w:r>
          </w:p>
        </w:tc>
        <w:tc>
          <w:tcPr>
            <w:tcW w:type="dxa" w:w="1814"/>
          </w:tcPr>
          <w:p>
            <w:pPr>
              <w:spacing w:after="0" w:line="240" w:lineRule="auto"/>
              <w:jc w:val="right"/>
            </w:pPr>
            <w:r>
              <w:rPr>
                <w:b w:val="0"/>
                <w:sz w:val="15"/>
              </w:rPr>
              <w:t>19 / 0.9929*</w:t>
            </w:r>
          </w:p>
        </w:tc>
      </w:tr>
      <w:tr>
        <w:tc>
          <w:tcPr>
            <w:tcW w:type="dxa" w:w="3969"/>
          </w:tcPr>
          <w:p>
            <w:pPr>
              <w:spacing w:after="0" w:line="240" w:lineRule="auto"/>
            </w:pPr>
            <w:r>
              <w:rPr>
                <w:b w:val="0"/>
                <w:sz w:val="15"/>
              </w:rPr>
              <w:t>±1 only</w:t>
            </w:r>
          </w:p>
        </w:tc>
        <w:tc>
          <w:tcPr>
            <w:tcW w:type="dxa" w:w="1814"/>
          </w:tcPr>
          <w:p>
            <w:pPr>
              <w:spacing w:after="0" w:line="240" w:lineRule="auto"/>
              <w:jc w:val="right"/>
            </w:pPr>
            <w:r>
              <w:rPr>
                <w:b w:val="0"/>
                <w:sz w:val="15"/>
              </w:rPr>
              <w:t>17 / 1.7650*</w:t>
            </w:r>
          </w:p>
        </w:tc>
        <w:tc>
          <w:tcPr>
            <w:tcW w:type="dxa" w:w="1814"/>
          </w:tcPr>
          <w:p>
            <w:pPr>
              <w:spacing w:after="0" w:line="240" w:lineRule="auto"/>
              <w:jc w:val="right"/>
            </w:pPr>
            <w:r>
              <w:rPr>
                <w:b w:val="0"/>
                <w:sz w:val="15"/>
              </w:rPr>
              <w:t>18 / 1.5220*</w:t>
            </w:r>
          </w:p>
        </w:tc>
        <w:tc>
          <w:tcPr>
            <w:tcW w:type="dxa" w:w="1814"/>
          </w:tcPr>
          <w:p>
            <w:pPr>
              <w:spacing w:after="0" w:line="240" w:lineRule="auto"/>
              <w:jc w:val="right"/>
            </w:pPr>
            <w:r>
              <w:rPr>
                <w:b w:val="0"/>
                <w:sz w:val="15"/>
              </w:rPr>
              <w:t>18 / 1.2258*</w:t>
            </w:r>
          </w:p>
        </w:tc>
      </w:tr>
      <w:tr>
        <w:tc>
          <w:tcPr>
            <w:tcW w:type="dxa" w:w="3969"/>
          </w:tcPr>
          <w:p>
            <w:pPr>
              <w:spacing w:after="0" w:line="240" w:lineRule="auto"/>
            </w:pPr>
            <w:r>
              <w:rPr>
                <w:b w:val="0"/>
                <w:sz w:val="15"/>
              </w:rPr>
              <w:t>Baseline steps, fine first (±1 to ±28)</w:t>
            </w:r>
          </w:p>
        </w:tc>
        <w:tc>
          <w:tcPr>
            <w:tcW w:type="dxa" w:w="1814"/>
          </w:tcPr>
          <w:p>
            <w:pPr>
              <w:spacing w:after="0" w:line="240" w:lineRule="auto"/>
              <w:jc w:val="right"/>
            </w:pPr>
            <w:r>
              <w:rPr>
                <w:b w:val="0"/>
                <w:sz w:val="15"/>
              </w:rPr>
              <w:t>17 / 1.7650*</w:t>
            </w:r>
          </w:p>
        </w:tc>
        <w:tc>
          <w:tcPr>
            <w:tcW w:type="dxa" w:w="1814"/>
          </w:tcPr>
          <w:p>
            <w:pPr>
              <w:spacing w:after="0" w:line="240" w:lineRule="auto"/>
              <w:jc w:val="right"/>
            </w:pPr>
            <w:r>
              <w:rPr>
                <w:b w:val="0"/>
                <w:sz w:val="15"/>
              </w:rPr>
              <w:t>18 / 1.5220*</w:t>
            </w:r>
          </w:p>
        </w:tc>
        <w:tc>
          <w:tcPr>
            <w:tcW w:type="dxa" w:w="1814"/>
          </w:tcPr>
          <w:p>
            <w:pPr>
              <w:spacing w:after="0" w:line="240" w:lineRule="auto"/>
              <w:jc w:val="right"/>
            </w:pPr>
            <w:r>
              <w:rPr>
                <w:b w:val="0"/>
                <w:sz w:val="15"/>
              </w:rPr>
              <w:t>18 / 1.2258*</w:t>
            </w:r>
          </w:p>
        </w:tc>
      </w:tr>
    </w:tbl>
    <w:p>
      <w:pPr>
        <w:spacing w:after="0" w:line="80" w:lineRule="exact"/>
      </w:pPr>
    </w:p>
    <w:p>
      <w:r>
        <w:t>Each result is minimum available aircraft / standard deviation. Lower standard deviation is better when minimum availability is equal. * indicates that the search reached the 400-iteration limit and may improve with more passes.</w:t>
      </w:r>
    </w:p>
    <w:p>
      <w:pPr>
        <w:jc w:val="center"/>
      </w:pPr>
      <w:r>
        <w:drawing>
          <wp:inline xmlns:a="http://schemas.openxmlformats.org/drawingml/2006/main" xmlns:pic="http://schemas.openxmlformats.org/drawingml/2006/picture">
            <wp:extent cx="5220000" cy="2537500"/>
            <wp:docPr id="1" name="Picture 1"/>
            <wp:cNvGraphicFramePr>
              <a:graphicFrameLocks noChangeAspect="1"/>
            </wp:cNvGraphicFramePr>
            <a:graphic>
              <a:graphicData uri="http://schemas.openxmlformats.org/drawingml/2006/picture">
                <pic:pic>
                  <pic:nvPicPr>
                    <pic:cNvPr id="0" name="sd-by-strategy-400.png"/>
                    <pic:cNvPicPr/>
                  </pic:nvPicPr>
                  <pic:blipFill>
                    <a:blip r:embed="rId9"/>
                    <a:stretch>
                      <a:fillRect/>
                    </a:stretch>
                  </pic:blipFill>
                  <pic:spPr>
                    <a:xfrm>
                      <a:off x="0" y="0"/>
                      <a:ext cx="5220000" cy="2537500"/>
                    </a:xfrm>
                    <a:prstGeom prst="rect"/>
                  </pic:spPr>
                </pic:pic>
              </a:graphicData>
            </a:graphic>
          </wp:inline>
        </w:drawing>
      </w:r>
    </w:p>
    <w:p>
      <w:r>
        <w:rPr>
          <w:i/>
          <w:sz w:val="17"/>
        </w:rPr>
        <w:t>Figure 1. Standard deviation at 400 iterations. Point labels show minimum available aircraft; filled points reach the best minimum for that forecast.</w:t>
      </w:r>
    </w:p>
    <w:p>
      <w:r>
        <w:br w:type="page"/>
      </w:r>
    </w:p>
    <w:p>
      <w:pPr>
        <w:pStyle w:val="Heading1"/>
      </w:pPr>
      <w:r>
        <w:t>What the results show</w:t>
      </w:r>
    </w:p>
    <w:p>
      <w:r>
        <w:rPr>
          <w:b/>
        </w:rPr>
        <w:t xml:space="preserve">Large shifts help. </w:t>
      </w:r>
      <w:r>
        <w:t>Removing the largest shifts progressively increased variability. Ladders beginning at ±28, ±14 and ±7 retained the same minimum availability at 400 iterations, but ±3 and ±1 lost aircraft on at least two forecasts. In the recommended ladder, 36% of accepted moves were ±42 or ±56, showing that the larger shifts were actively used rather than simply adding search cost.</w:t>
      </w:r>
    </w:p>
    <w:p>
      <w:r>
        <w:rPr>
          <w:b/>
        </w:rPr>
        <w:t xml:space="preserve">Search coarse to fine. </w:t>
      </w:r>
      <w:r>
        <w:t>Reversing the baseline ladder so that ±1 was searched first produced the same schedules as using ±1 alone through 800 iterations. Small improvements kept the search in the first neighbourhood, so it never reached the larger shifts. At 400 iterations this reduced the minimum availability from 18/19/20 aircraft to 17/18/18. Larger shifts should therefore be searched first.</w:t>
      </w:r>
    </w:p>
    <w:p>
      <w:r>
        <w:rPr>
          <w:b/>
        </w:rPr>
        <w:t xml:space="preserve">Use 400 iterations. </w:t>
      </w:r>
      <w:r>
        <w:t>Every 200-iteration run reached its limit, so 200 is too short. The recommended ladder found no further improving move after 291 to 367 accepted moves on the three forecasts, and its 800-iteration results were identical. A 400-iteration limit captures its full result without unnecessary work.</w:t>
      </w:r>
    </w:p>
    <w:p>
      <w:pPr>
        <w:jc w:val="center"/>
      </w:pPr>
      <w:r>
        <w:drawing>
          <wp:inline xmlns:a="http://schemas.openxmlformats.org/drawingml/2006/main" xmlns:pic="http://schemas.openxmlformats.org/drawingml/2006/picture">
            <wp:extent cx="5220000" cy="2175000"/>
            <wp:docPr id="2" name="Picture 2"/>
            <wp:cNvGraphicFramePr>
              <a:graphicFrameLocks noChangeAspect="1"/>
            </wp:cNvGraphicFramePr>
            <a:graphic>
              <a:graphicData uri="http://schemas.openxmlformats.org/drawingml/2006/picture">
                <pic:pic>
                  <pic:nvPicPr>
                    <pic:cNvPr id="0" name="runtime-vs-sd-400.png"/>
                    <pic:cNvPicPr/>
                  </pic:nvPicPr>
                  <pic:blipFill>
                    <a:blip r:embed="rId10"/>
                    <a:stretch>
                      <a:fillRect/>
                    </a:stretch>
                  </pic:blipFill>
                  <pic:spPr>
                    <a:xfrm>
                      <a:off x="0" y="0"/>
                      <a:ext cx="5220000" cy="2175000"/>
                    </a:xfrm>
                    <a:prstGeom prst="rect"/>
                  </pic:spPr>
                </pic:pic>
              </a:graphicData>
            </a:graphic>
          </wp:inline>
        </w:drawing>
      </w:r>
    </w:p>
    <w:p>
      <w:r>
        <w:rPr>
          <w:i/>
          <w:sz w:val="17"/>
        </w:rPr>
        <w:t>Figure 2. Search time against standard deviation at 400 iterations. Timings are single observations and are useful for relative comparison only.</w:t>
      </w:r>
    </w:p>
    <w:p>
      <w:pPr>
        <w:pStyle w:val="Heading1"/>
      </w:pPr>
      <w:r>
        <w:t>Limits and next step</w:t>
      </w:r>
    </w:p>
    <w:p>
      <w:r>
        <w:t>The analysis covers three related forecasts and deterministic runs, so it does not show variation across repeated trials or establish a global optimum. Differences between the leading strategies are only hundredths of an aircraft in standard deviation and may change on a different fleet or starting schedule. The optimiser also does not enforce the separate loose, medium and tight operational scenarios; those constraints still need review before deployment.</w:t>
      </w:r>
    </w:p>
    <w:p>
      <w:r>
        <w:t>Keep the wide-to-fine ladder at 400 iterations as the shared setting. If simplicity is more important than the small reduction in variability, the ±28 baseline is a reasonable alternative because it preserves the same minimum availability. Repeat the comparison when the fleet, maintenance rules or starting schedule changes. The workbook contains the complete trial results.</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s="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Arial" w:hAnsi="Arial" w:eastAsia="Arial" w:cs="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Arial" w:hAnsi="Arial" w:eastAsia="Arial" w:cs="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Variable-neighbourhood parameter analysis</dc:title>
  <dc:subject/>
  <dc:creator>UQ / Northrop Grumman fleet schedule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