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Maintenance optimiser parameter results</w:t>
      </w:r>
    </w:p>
    <w:p>
      <w:r>
        <w:t>We recommend the current shift ladder with a 400-iteration limit as the shared setting for the three forecasts. It achieved the best results on the moderate and wide stagger datasets. The original dataset performed slightly better with the baseline plus an initial ±42-day shift.</w:t>
      </w:r>
    </w:p>
    <w:p>
      <w:pPr>
        <w:pStyle w:val="Heading1"/>
      </w:pPr>
      <w:r>
        <w:t>What we tested</w:t>
      </w:r>
    </w:p>
    <w:p>
      <w:r>
        <w:t>We compared four shift strategies at limits of 200, 400 and 800 iterations across three starting forecasts, giving 36 trials. The maintenance rules and search policy stayed the same. Availability was measured from 21 January 2026 to 18 January 2038.</w:t>
      </w:r>
    </w:p>
    <w:p>
      <w:r>
        <w:t>Results were ranked by minimum available aircraft first, then lower standard deviation, then higher average availability. Standard deviation measures how much daily availability varies. Exact quality ties favour the lower iteration limit.</w:t>
      </w:r>
    </w:p>
    <w:p>
      <w:pPr>
        <w:pStyle w:val="Heading1"/>
      </w:pPr>
      <w:r>
        <w:t>Best results for each forecast</w:t>
      </w:r>
    </w:p>
    <w:tbl>
      <w:tblPr>
        <w:tblW w:type="auto" w:w="0"/>
        <w:jc w:val="center"/>
        <w:tblLayout w:type="fixed"/>
        <w:tblLook w:firstColumn="1" w:firstRow="1" w:lastColumn="0" w:lastRow="0" w:noHBand="0" w:noVBand="1" w:val="04A0"/>
      </w:tblPr>
      <w:tblGrid>
        <w:gridCol w:w="1699"/>
        <w:gridCol w:w="3485"/>
        <w:gridCol w:w="1368"/>
        <w:gridCol w:w="1483"/>
        <w:gridCol w:w="2045"/>
      </w:tblGrid>
      <w:tr>
        <w:tc>
          <w:tcPr>
            <w:tcW w:type="dxa" w:w="1699"/>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53"/>
          </w:tcPr>
          <w:p>
            <w:pPr>
              <w:spacing w:after="0" w:line="240" w:lineRule="auto"/>
              <w:jc w:val="left"/>
            </w:pPr>
            <w:r>
              <w:rPr>
                <w:b/>
                <w:color w:val="FFFFFF"/>
                <w:sz w:val="20"/>
              </w:rPr>
              <w:t>Forecast</w:t>
            </w:r>
          </w:p>
        </w:tc>
        <w:tc>
          <w:tcPr>
            <w:tcW w:type="dxa" w:w="34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53"/>
          </w:tcPr>
          <w:p>
            <w:pPr>
              <w:spacing w:after="0" w:line="240" w:lineRule="auto"/>
              <w:jc w:val="left"/>
            </w:pPr>
            <w:r>
              <w:rPr>
                <w:b/>
                <w:color w:val="FFFFFF"/>
                <w:sz w:val="20"/>
              </w:rPr>
              <w:t>Strategy at 400 iterations</w:t>
            </w:r>
          </w:p>
        </w:tc>
        <w:tc>
          <w:tcPr>
            <w:tcW w:type="dxa" w:w="13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53"/>
          </w:tcPr>
          <w:p>
            <w:pPr>
              <w:spacing w:after="0" w:line="240" w:lineRule="auto"/>
              <w:jc w:val="center"/>
            </w:pPr>
            <w:r>
              <w:rPr>
                <w:b/>
                <w:color w:val="FFFFFF"/>
                <w:sz w:val="20"/>
              </w:rPr>
              <w:t>Minimum</w:t>
              <w:br/>
              <w:t>aircraft</w:t>
            </w:r>
          </w:p>
        </w:tc>
        <w:tc>
          <w:tcPr>
            <w:tcW w:type="dxa" w:w="148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53"/>
          </w:tcPr>
          <w:p>
            <w:pPr>
              <w:spacing w:after="0" w:line="240" w:lineRule="auto"/>
              <w:jc w:val="center"/>
            </w:pPr>
            <w:r>
              <w:rPr>
                <w:b/>
                <w:color w:val="FFFFFF"/>
                <w:sz w:val="20"/>
              </w:rPr>
              <w:t>Standard</w:t>
              <w:br/>
              <w:t>deviation</w:t>
            </w:r>
          </w:p>
        </w:tc>
        <w:tc>
          <w:tcPr>
            <w:tcW w:type="dxa" w:w="20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243B53"/>
          </w:tcPr>
          <w:p>
            <w:pPr>
              <w:spacing w:after="0" w:line="240" w:lineRule="auto"/>
              <w:jc w:val="center"/>
            </w:pPr>
            <w:r>
              <w:rPr>
                <w:b/>
                <w:color w:val="FFFFFF"/>
                <w:sz w:val="20"/>
              </w:rPr>
              <w:t>Average</w:t>
              <w:br/>
              <w:t>aircraft</w:t>
            </w:r>
          </w:p>
        </w:tc>
      </w:tr>
      <w:tr>
        <w:tc>
          <w:tcPr>
            <w:tcW w:type="dxa" w:w="1699"/>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jc w:val="left"/>
            </w:pPr>
            <w:r>
              <w:rPr>
                <w:sz w:val="20"/>
              </w:rPr>
              <w:t>Original</w:t>
            </w:r>
          </w:p>
        </w:tc>
        <w:tc>
          <w:tcPr>
            <w:tcW w:type="dxa" w:w="34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jc w:val="left"/>
            </w:pPr>
            <w:r>
              <w:rPr>
                <w:sz w:val="20"/>
              </w:rPr>
              <w:t>Baseline plus 42 days</w:t>
            </w:r>
          </w:p>
        </w:tc>
        <w:tc>
          <w:tcPr>
            <w:tcW w:type="dxa" w:w="13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jc w:val="center"/>
            </w:pPr>
            <w:r>
              <w:rPr>
                <w:sz w:val="20"/>
              </w:rPr>
              <w:t>18</w:t>
            </w:r>
          </w:p>
        </w:tc>
        <w:tc>
          <w:tcPr>
            <w:tcW w:type="dxa" w:w="148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jc w:val="center"/>
            </w:pPr>
            <w:r>
              <w:rPr>
                <w:sz w:val="20"/>
              </w:rPr>
              <w:t>1.4019</w:t>
            </w:r>
          </w:p>
        </w:tc>
        <w:tc>
          <w:tcPr>
            <w:tcW w:type="dxa" w:w="20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jc w:val="center"/>
            </w:pPr>
            <w:r>
              <w:rPr>
                <w:sz w:val="20"/>
              </w:rPr>
              <w:t>21.7076</w:t>
            </w:r>
          </w:p>
        </w:tc>
      </w:tr>
      <w:tr>
        <w:tc>
          <w:tcPr>
            <w:tcW w:type="dxa" w:w="1699"/>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8"/>
          </w:tcPr>
          <w:p>
            <w:pPr>
              <w:spacing w:after="0" w:line="240" w:lineRule="auto"/>
              <w:jc w:val="left"/>
            </w:pPr>
            <w:r>
              <w:rPr>
                <w:sz w:val="20"/>
              </w:rPr>
              <w:t>Moderate stagger</w:t>
            </w:r>
          </w:p>
        </w:tc>
        <w:tc>
          <w:tcPr>
            <w:tcW w:type="dxa" w:w="34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8"/>
          </w:tcPr>
          <w:p>
            <w:pPr>
              <w:spacing w:after="0" w:line="240" w:lineRule="auto"/>
              <w:jc w:val="left"/>
            </w:pPr>
            <w:r>
              <w:rPr>
                <w:sz w:val="20"/>
              </w:rPr>
              <w:t>Current ladder</w:t>
            </w:r>
          </w:p>
        </w:tc>
        <w:tc>
          <w:tcPr>
            <w:tcW w:type="dxa" w:w="13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8"/>
          </w:tcPr>
          <w:p>
            <w:pPr>
              <w:spacing w:after="0" w:line="240" w:lineRule="auto"/>
              <w:jc w:val="center"/>
            </w:pPr>
            <w:r>
              <w:rPr>
                <w:sz w:val="20"/>
              </w:rPr>
              <w:t>19</w:t>
            </w:r>
          </w:p>
        </w:tc>
        <w:tc>
          <w:tcPr>
            <w:tcW w:type="dxa" w:w="148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8"/>
          </w:tcPr>
          <w:p>
            <w:pPr>
              <w:spacing w:after="0" w:line="240" w:lineRule="auto"/>
              <w:jc w:val="center"/>
            </w:pPr>
            <w:r>
              <w:rPr>
                <w:sz w:val="20"/>
              </w:rPr>
              <w:t>0.8834</w:t>
            </w:r>
          </w:p>
        </w:tc>
        <w:tc>
          <w:tcPr>
            <w:tcW w:type="dxa" w:w="20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shd w:fill="F2F5F8"/>
          </w:tcPr>
          <w:p>
            <w:pPr>
              <w:spacing w:after="0" w:line="240" w:lineRule="auto"/>
              <w:jc w:val="center"/>
            </w:pPr>
            <w:r>
              <w:rPr>
                <w:sz w:val="20"/>
              </w:rPr>
              <w:t>21.4691</w:t>
            </w:r>
          </w:p>
        </w:tc>
      </w:tr>
      <w:tr>
        <w:tc>
          <w:tcPr>
            <w:tcW w:type="dxa" w:w="1699"/>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jc w:val="left"/>
            </w:pPr>
            <w:r>
              <w:rPr>
                <w:sz w:val="20"/>
              </w:rPr>
              <w:t>Wide stagger</w:t>
            </w:r>
          </w:p>
        </w:tc>
        <w:tc>
          <w:tcPr>
            <w:tcW w:type="dxa" w:w="348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jc w:val="left"/>
            </w:pPr>
            <w:r>
              <w:rPr>
                <w:sz w:val="20"/>
              </w:rPr>
              <w:t>Current ladder</w:t>
            </w:r>
          </w:p>
        </w:tc>
        <w:tc>
          <w:tcPr>
            <w:tcW w:type="dxa" w:w="1368"/>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jc w:val="center"/>
            </w:pPr>
            <w:r>
              <w:rPr>
                <w:sz w:val="20"/>
              </w:rPr>
              <w:t>20</w:t>
            </w:r>
          </w:p>
        </w:tc>
        <w:tc>
          <w:tcPr>
            <w:tcW w:type="dxa" w:w="1483"/>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jc w:val="center"/>
            </w:pPr>
            <w:r>
              <w:rPr>
                <w:sz w:val="20"/>
              </w:rPr>
              <w:t>0.5868</w:t>
            </w:r>
          </w:p>
        </w:tc>
        <w:tc>
          <w:tcPr>
            <w:tcW w:type="dxa" w:w="2045"/>
            <w:vAlign w:val="center"/>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0" w:line="240" w:lineRule="auto"/>
              <w:jc w:val="center"/>
            </w:pPr>
            <w:r>
              <w:rPr>
                <w:sz w:val="20"/>
              </w:rPr>
              <w:t>21.4750</w:t>
            </w:r>
          </w:p>
        </w:tc>
      </w:tr>
    </w:tbl>
    <w:p>
      <w:pPr>
        <w:spacing w:before="140"/>
      </w:pPr>
      <w:r>
        <w:t>The current ladder tests shifts of ±56, ±42, ±28, ±14, ±7, ±3 and ±1 days, in that order. The forecasts have different starting maintenance states, so their availability levels should not be treated as gains caused by the optimiser.</w:t>
      </w:r>
    </w:p>
    <w:p>
      <w:pPr>
        <w:pStyle w:val="Heading1"/>
      </w:pPr>
      <w:r>
        <w:t>Why use 400 iterations</w:t>
      </w:r>
    </w:p>
    <w:p>
      <w:r>
        <w:t>400 and 800 produced identical quality in 11 of the 12 dataset–strategy comparisons. For the current ladder, all three searches found no further improving move by pass 368, and 800 gave no quality gain. Dense pairs on moderate stagger was the only strategy–dataset combination that improved at 800. All 200-iteration runs reached their limit, so 200 is a weaker default.</w:t>
      </w:r>
    </w:p>
    <w:p>
      <w:r>
        <w:t>All 36 schedules passed the implemented maintenance checks. Search times ranged from 2.31 to 15.72 seconds. Each timing is a single observation and excludes loading and validation.</w:t>
      </w:r>
    </w:p>
    <w:p>
      <w:pPr>
        <w:pStyle w:val="Heading1"/>
      </w:pPr>
      <w:r>
        <w:t>Limits and next step</w:t>
      </w:r>
    </w:p>
    <w:p>
      <w:r>
        <w:t>These results cover three related forecasts and four strategies. They do not establish a global optimum. The optimiser does not enforce the separate loose, medium and tight operational scenarios, so those constraints still need review before adoption. Rerun the comparison when the fleet, maintenance rules or starting state changes.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Maintenance optimiser parameter results</dc:title>
  <dc:subject/>
  <dc:creator>David Long</dc:creator>
  <cp:keywords/>
  <dc:description>generated by python-docx</dc:description>
  <cp:lastModifiedBy/>
  <cp:revision>1</cp:revision>
  <dcterms:created xsi:type="dcterms:W3CDTF">2013-12-23T23:15:00Z</dcterms:created>
  <dcterms:modified xsi:type="dcterms:W3CDTF">2013-12-23T23:15:00Z</dcterms:modified>
  <cp:category/>
</cp:coreProperties>
</file>