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36"/>
        </w:rPr>
        <w:t>×××课程 / PBL 大报告</w:t>
      </w:r>
    </w:p>
    <w:p>
      <w:pPr>
        <w:spacing w:after="240"/>
        <w:ind w:firstLine="0"/>
        <w:jc w:val="center"/>
      </w:pPr>
      <w:r>
        <w:rPr>
          <w:sz w:val="21"/>
        </w:rPr>
        <w:t>第 × 组　　执笔：×××　　成员：×××、×××、×××　　2026 年 10 月</w:t>
      </w:r>
    </w:p>
    <w:p>
      <w:r>
        <w:rPr>
          <w:b w:val="0"/>
        </w:rPr>
        <w:t>说明：一级标题写“每个人分配的问题”，二级、三级标题是其下的分析层次；第三级以下不再设标题，改用有序列表 (1)(2)(3)。正文一律小四；图题写作“图1. 说明文字（内容）”；参考文献采用 GB/T 7714—2015 顺序编码制。</w:t>
      </w:r>
    </w:p>
    <w:p>
      <w:pPr>
        <w:ind w:firstLine="0"/>
        <w:jc w:val="center"/>
      </w:pPr>
      <w:r>
        <w:rPr>
          <w:rFonts w:ascii="黑体" w:hAnsi="黑体" w:eastAsia="黑体"/>
          <w:b/>
          <w:sz w:val="28"/>
        </w:rPr>
        <w:t>目　录</w:t>
      </w:r>
    </w:p>
    <w:p>
      <w:pPr>
        <w:ind w:firstLine="0"/>
        <w:jc w:val="center"/>
      </w:pPr>
      <w:r>
        <w:rPr>
          <w:i/>
          <w:sz w:val="21"/>
        </w:rPr>
        <w:t>（此处插入目录：引用 → 目录 → 自动目录；本模板标题已按 1. / 1.1. / 1.1.1. 自动编号）</w:t>
      </w:r>
    </w:p>
    <w:p/>
    <w:p>
      <w:pPr>
        <w:pStyle w:val="Heading1"/>
      </w:pPr>
      <w:r>
        <w:t>问题一：×××（姓名）</w:t>
      </w:r>
    </w:p>
    <w:p>
      <w:r>
        <w:rPr>
          <w:b w:val="0"/>
        </w:rPr>
        <w:t>本部分回答第 1 位同学分配的问题。先给出问题界定与结论提要，再分层次展开。范式：一句话结论 → 三条依据 → 一个限定条件。</w:t>
      </w:r>
    </w:p>
    <w:p>
      <w:pPr>
        <w:pStyle w:val="Heading2"/>
      </w:pPr>
      <w:r>
        <w:t>研究背景与现状</w:t>
      </w:r>
    </w:p>
    <w:p>
      <w:r>
        <w:rPr>
          <w:b w:val="0"/>
        </w:rPr>
        <w:t>在此写该问题的背景、概念界定、研究现状。正文小四，1.5 倍行距，首行缩进 2 字符。</w:t>
      </w:r>
    </w:p>
    <w:p>
      <w:pPr>
        <w:pStyle w:val="Heading3"/>
      </w:pPr>
      <w:r>
        <w:t>国内研究进展</w:t>
      </w:r>
    </w:p>
    <w:p>
      <w:r>
        <w:rPr>
          <w:b w:val="0"/>
        </w:rPr>
        <w:t>三级标题下直接写正文；若还需分层，用有序列表，不再增加标题层级：</w:t>
      </w:r>
    </w:p>
    <w:p>
      <w:pPr>
        <w:pStyle w:val="ListParagraph"/>
      </w:pPr>
      <w:r>
        <w:t>第一层要点：××××××××××××××××。</w:t>
      </w:r>
    </w:p>
    <w:p>
      <w:pPr>
        <w:pStyle w:val="ListParagraph"/>
      </w:pPr>
      <w:r>
        <w:t>第二层要点：××××××××××××××××。</w:t>
      </w:r>
    </w:p>
    <w:p>
      <w:pPr>
        <w:pStyle w:val="ListParagraph"/>
      </w:pPr>
      <w:r>
        <w:t>第三层要点：××××××××××××××××。</w:t>
      </w:r>
    </w:p>
    <w:p>
      <w:pPr>
        <w:pStyle w:val="Heading3"/>
      </w:pPr>
      <w:r>
        <w:t>机制与证据</w:t>
      </w:r>
    </w:p>
    <w:p>
      <w:r>
        <w:rPr>
          <w:b w:val="0"/>
        </w:rPr>
        <w:t>此处插入机制图，图题格式为“图1. 说明文字（内容）”，并在正文中先引用“见图1”。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53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</w:t>
      </w:r>
      <w:r>
        <w:fldChar w:fldCharType="begin" w:dirty="true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t>. 下丘脑—垂体—甲状腺轴（机制示意图）</w:t>
      </w:r>
    </w:p>
    <w:p>
      <w:r>
        <w:rPr>
          <w:b w:val="0"/>
        </w:rPr>
        <w:t>（把图片插入到本行上方；图题用“引用 → 插入题注”或直接套用 Caption 题注样式，编号随 SEQ 域自动更新。）</w:t>
      </w:r>
    </w:p>
    <w:p>
      <w:pPr>
        <w:pStyle w:val="Heading2"/>
      </w:pPr>
      <w:r>
        <w:t>小结</w:t>
      </w:r>
    </w:p>
    <w:p>
      <w:r>
        <w:rPr>
          <w:b w:val="0"/>
        </w:rPr>
        <w:t>小结本问题：给出可检验的判断与临床落点。</w:t>
      </w:r>
    </w:p>
    <w:p>
      <w:pPr>
        <w:pStyle w:val="Heading1"/>
      </w:pPr>
      <w:r>
        <w:t>问题二：×××（姓名）</w:t>
      </w:r>
    </w:p>
    <w:p>
      <w:r>
        <w:rPr>
          <w:b w:val="0"/>
        </w:rPr>
        <w:t>第二问的问题陈述与结论提要。</w:t>
      </w:r>
    </w:p>
    <w:p>
      <w:pPr>
        <w:pStyle w:val="Heading2"/>
      </w:pPr>
      <w:r>
        <w:t>概念与分类</w:t>
      </w:r>
    </w:p>
    <w:p>
      <w:pPr>
        <w:pStyle w:val="Heading3"/>
      </w:pPr>
      <w:r>
        <w:t>定义与边界</w:t>
      </w:r>
    </w:p>
    <w:p>
      <w:r>
        <w:rPr>
          <w:b w:val="0"/>
        </w:rPr>
        <w:t>正文……</w:t>
      </w:r>
    </w:p>
    <w:p>
      <w:pPr>
        <w:pStyle w:val="Heading3"/>
      </w:pPr>
      <w:r>
        <w:t>分类依据</w:t>
      </w:r>
    </w:p>
    <w:p>
      <w:r>
        <w:rPr>
          <w:b w:val="0"/>
        </w:rPr>
        <w:t>正文……</w:t>
      </w:r>
    </w:p>
    <w:p>
      <w:pPr>
        <w:pStyle w:val="Heading2"/>
      </w:pPr>
      <w:r>
        <w:t>关键证据</w:t>
      </w:r>
    </w:p>
    <w:p>
      <w:r>
        <w:rPr>
          <w:b w:val="0"/>
        </w:rPr>
        <w:t>证据一：……[1]。证据二：……[2-3]。证据三：……[4]。</w:t>
      </w:r>
    </w:p>
    <w:p>
      <w:pPr>
        <w:pStyle w:val="Heading1"/>
      </w:pPr>
      <w:r>
        <w:t>问题三：×××（姓名）</w:t>
      </w:r>
    </w:p>
    <w:p>
      <w:r>
        <w:rPr>
          <w:b w:val="0"/>
        </w:rPr>
        <w:t>第三问……</w:t>
      </w:r>
    </w:p>
    <w:p>
      <w:pPr>
        <w:pStyle w:val="Heading2"/>
      </w:pPr>
      <w:r>
        <w:t>数据与指标</w:t>
      </w:r>
    </w:p>
    <w:p>
      <w:r>
        <w:rPr>
          <w:b w:val="0"/>
        </w:rPr>
        <w:t>正文……（表格示例见下，表题写法与图题一致）</w:t>
      </w:r>
    </w:p>
    <w:p>
      <w:pPr>
        <w:pStyle w:val="Caption"/>
      </w:pPr>
      <w:r>
        <w:t>表</w:t>
      </w:r>
      <w:r>
        <w:fldChar w:fldCharType="begin" w:dirty="true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t>. 本例主要实验室指标（CASE 指标）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5"/>
        <w:gridCol w:w="2435"/>
        <w:gridCol w:w="2435"/>
        <w:gridCol w:w="2435"/>
      </w:tblGrid>
      <w:tr>
        <w:tc>
          <w:tcPr>
            <w:tcW w:type="dxa" w:w="2435"/>
          </w:tcPr>
          <w:p>
            <w:pPr>
              <w:ind w:firstLine="0"/>
              <w:jc w:val="left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type="dxa" w:w="2435"/>
          </w:tcPr>
          <w:p>
            <w:pPr>
              <w:ind w:firstLine="0"/>
              <w:jc w:val="center"/>
            </w:pPr>
            <w:r>
              <w:rPr>
                <w:b/>
                <w:sz w:val="21"/>
              </w:rPr>
              <w:t>检测值</w:t>
            </w:r>
          </w:p>
        </w:tc>
        <w:tc>
          <w:tcPr>
            <w:tcW w:type="dxa" w:w="2435"/>
          </w:tcPr>
          <w:p>
            <w:pPr>
              <w:ind w:firstLine="0"/>
              <w:jc w:val="center"/>
            </w:pPr>
            <w:r>
              <w:rPr>
                <w:b/>
                <w:sz w:val="21"/>
              </w:rPr>
              <w:t>参考范围</w:t>
            </w:r>
          </w:p>
        </w:tc>
        <w:tc>
          <w:tcPr>
            <w:tcW w:type="dxa" w:w="2435"/>
          </w:tcPr>
          <w:p>
            <w:pPr>
              <w:ind w:firstLine="0"/>
              <w:jc w:val="center"/>
            </w:pPr>
            <w:r>
              <w:rPr>
                <w:b/>
                <w:sz w:val="21"/>
              </w:rPr>
              <w:t>判读</w:t>
            </w:r>
          </w:p>
        </w:tc>
      </w:tr>
      <w:tr>
        <w:tc>
          <w:tcPr>
            <w:tcW w:type="dxa" w:w="2435"/>
          </w:tcPr>
          <w:p>
            <w:pPr>
              <w:ind w:firstLine="0"/>
              <w:jc w:val="left"/>
            </w:pPr>
            <w:r>
              <w:rPr>
                <w:sz w:val="21"/>
              </w:rPr>
              <w:t>PRL</w:t>
            </w:r>
          </w:p>
        </w:tc>
        <w:tc>
          <w:tcPr>
            <w:tcW w:type="dxa" w:w="2435"/>
          </w:tcPr>
          <w:p>
            <w:pPr>
              <w:ind w:firstLine="0"/>
              <w:jc w:val="center"/>
            </w:pPr>
            <w:r>
              <w:rPr>
                <w:sz w:val="21"/>
              </w:rPr>
              <w:t>30.63 ng/mL</w:t>
            </w:r>
          </w:p>
        </w:tc>
        <w:tc>
          <w:tcPr>
            <w:tcW w:type="dxa" w:w="2435"/>
          </w:tcPr>
          <w:p>
            <w:pPr>
              <w:ind w:firstLine="0"/>
              <w:jc w:val="center"/>
            </w:pPr>
            <w:r>
              <w:rPr>
                <w:sz w:val="21"/>
              </w:rPr>
              <w:t>4.79–23.3</w:t>
            </w:r>
          </w:p>
        </w:tc>
        <w:tc>
          <w:tcPr>
            <w:tcW w:type="dxa" w:w="2435"/>
          </w:tcPr>
          <w:p>
            <w:pPr>
              <w:ind w:firstLine="0"/>
              <w:jc w:val="center"/>
            </w:pPr>
            <w:r>
              <w:rPr>
                <w:sz w:val="21"/>
              </w:rPr>
              <w:t>轻度升高（1.3×）</w:t>
            </w:r>
          </w:p>
        </w:tc>
      </w:tr>
      <w:tr>
        <w:tc>
          <w:tcPr>
            <w:tcW w:type="dxa" w:w="2435"/>
          </w:tcPr>
          <w:p>
            <w:pPr>
              <w:ind w:firstLine="0"/>
              <w:jc w:val="left"/>
            </w:pPr>
            <w:r>
              <w:rPr>
                <w:sz w:val="21"/>
              </w:rPr>
              <w:t>FT4</w:t>
            </w:r>
          </w:p>
        </w:tc>
        <w:tc>
          <w:tcPr>
            <w:tcW w:type="dxa" w:w="2435"/>
          </w:tcPr>
          <w:p>
            <w:pPr>
              <w:ind w:firstLine="0"/>
              <w:jc w:val="center"/>
            </w:pPr>
            <w:r>
              <w:rPr>
                <w:sz w:val="21"/>
              </w:rPr>
              <w:t>60.47 pmol/L</w:t>
            </w:r>
          </w:p>
        </w:tc>
        <w:tc>
          <w:tcPr>
            <w:tcW w:type="dxa" w:w="2435"/>
          </w:tcPr>
          <w:p>
            <w:pPr>
              <w:ind w:firstLine="0"/>
              <w:jc w:val="center"/>
            </w:pPr>
            <w:r>
              <w:rPr>
                <w:sz w:val="21"/>
              </w:rPr>
              <w:t>12.0–22.0</w:t>
            </w:r>
          </w:p>
        </w:tc>
        <w:tc>
          <w:tcPr>
            <w:tcW w:type="dxa" w:w="2435"/>
          </w:tcPr>
          <w:p>
            <w:pPr>
              <w:ind w:firstLine="0"/>
              <w:jc w:val="center"/>
            </w:pPr>
            <w:r>
              <w:rPr>
                <w:sz w:val="21"/>
              </w:rPr>
              <w:t>明显升高（2.7×）</w:t>
            </w:r>
          </w:p>
        </w:tc>
      </w:tr>
      <w:tr>
        <w:tc>
          <w:tcPr>
            <w:tcW w:type="dxa" w:w="2435"/>
          </w:tcPr>
          <w:p>
            <w:pPr>
              <w:ind w:firstLine="0"/>
              <w:jc w:val="left"/>
            </w:pPr>
            <w:r>
              <w:rPr>
                <w:sz w:val="21"/>
              </w:rPr>
              <w:t>TSH</w:t>
            </w:r>
          </w:p>
        </w:tc>
        <w:tc>
          <w:tcPr>
            <w:tcW w:type="dxa" w:w="2435"/>
          </w:tcPr>
          <w:p>
            <w:pPr>
              <w:ind w:firstLine="0"/>
              <w:jc w:val="center"/>
            </w:pPr>
            <w:r>
              <w:rPr>
                <w:sz w:val="21"/>
              </w:rPr>
              <w:t>&lt;0.01 μIU/mL</w:t>
            </w:r>
          </w:p>
        </w:tc>
        <w:tc>
          <w:tcPr>
            <w:tcW w:type="dxa" w:w="2435"/>
          </w:tcPr>
          <w:p>
            <w:pPr>
              <w:ind w:firstLine="0"/>
              <w:jc w:val="center"/>
            </w:pPr>
            <w:r>
              <w:rPr>
                <w:sz w:val="21"/>
              </w:rPr>
              <w:t>0.27–4.2</w:t>
            </w:r>
          </w:p>
        </w:tc>
        <w:tc>
          <w:tcPr>
            <w:tcW w:type="dxa" w:w="2435"/>
          </w:tcPr>
          <w:p>
            <w:pPr>
              <w:ind w:firstLine="0"/>
              <w:jc w:val="center"/>
            </w:pPr>
            <w:r>
              <w:rPr>
                <w:sz w:val="21"/>
              </w:rPr>
              <w:t>被抑制</w:t>
            </w:r>
          </w:p>
        </w:tc>
      </w:tr>
    </w:tbl>
    <w:p>
      <w:pPr>
        <w:pStyle w:val="Heading1"/>
      </w:pPr>
      <w:r>
        <w:t>问题四：×××（姓名）</w:t>
      </w:r>
    </w:p>
    <w:p>
      <w:r>
        <w:rPr>
          <w:b w:val="0"/>
        </w:rPr>
        <w:t>第四问……（需要更多问题就复制本段标题：选中“1. 问题一”整段 → 回车后会自动接续编号。）</w:t>
      </w:r>
    </w:p>
    <w:p>
      <w:pPr>
        <w:pStyle w:val="Heading1"/>
      </w:pPr>
      <w:r>
        <w:t>参考文献</w:t>
      </w:r>
    </w:p>
    <w:p>
      <w:r>
        <w:rPr>
          <w:b w:val="0"/>
        </w:rPr>
        <w:t>以下按 GB/T 7714—2015 顺序编码制（numeric）著录；Word 中请在“引用 → 样式”选择 “Chinese Std GBT7714 (numeric)”，或使用随附的 Chinese Std GBT7714 (numeric).ens（EndNote）样式；正文引用用上标方括号，如 [1]、[2-3]。</w:t>
      </w:r>
    </w:p>
    <w:p>
      <w:pPr>
        <w:spacing w:after="0"/>
        <w:ind w:firstLine="0" w:left="0"/>
      </w:pPr>
      <w:r>
        <w:rPr>
          <w:sz w:val="21"/>
        </w:rPr>
        <w:t>[1] 作者. 题名[M]. 版次. 出版地: 出版社, 年: 起止页.</w:t>
      </w:r>
    </w:p>
    <w:p>
      <w:pPr>
        <w:spacing w:after="0"/>
        <w:ind w:firstLine="0" w:left="0"/>
      </w:pPr>
      <w:r>
        <w:rPr>
          <w:sz w:val="21"/>
        </w:rPr>
        <w:t>[2] 作者, 作者. 题名[J]. 刊名, 年, 卷(期): 起止页.</w:t>
      </w:r>
    </w:p>
    <w:p>
      <w:pPr>
        <w:spacing w:after="0"/>
        <w:ind w:firstLine="0" w:left="0"/>
      </w:pPr>
      <w:r>
        <w:rPr>
          <w:sz w:val="21"/>
        </w:rPr>
        <w:t>[3] 作者. 题名[D]. 城市: 学校, 年.</w:t>
      </w:r>
    </w:p>
    <w:p>
      <w:pPr>
        <w:spacing w:after="0"/>
        <w:ind w:firstLine="0" w:left="0"/>
      </w:pPr>
      <w:r>
        <w:rPr>
          <w:sz w:val="21"/>
        </w:rPr>
        <w:t>[4] GRATTAN D R. 50 years of neuroendocrinology: prolactin and the prolactin receptor[J]. Journal of Endocrinology, 2015, 226(2): T101-T122.</w:t>
      </w:r>
    </w:p>
    <w:p/>
    <w:p>
      <w:r>
        <w:rPr>
          <w:b w:val="0"/>
        </w:rPr>
        <w:t>附：本模板已设置——页边距 上下 2.54 cm、左右 1.91 cm；A4；正文宋体小四、1.5 倍行距、首行缩进 2 字符；一级标题黑体四号加粗（自动编号 1. 2. 3.），二、三级黑体小四加粗（1.1. / 1.1.1.）；第三级以下一律用 (1)(2)(3) 有序列表；图/表题注五号居中，格式“图1. 说明文字（内容）”。</w:t>
      </w:r>
    </w:p>
    <w:sectPr w:rsidR="00FC693F" w:rsidRPr="0006063C" w:rsidSect="00034616">
      <w:pgSz w:w="11906" w:h="16838"/>
      <w:pgMar w:top="1440" w:right="1083" w:bottom="1440" w:left="1083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lvlText w:val="%1."/>
      <w:suff w:val="space"/>
      <w:lvlJc w:val="left"/>
      <w:pPr>
        <w:ind w:left="0" w:firstLine="0"/>
      </w:pPr>
      <w:rPr>
        <w:rFonts w:ascii="Times New Roman" w:hAnsi="Times New Roman" w:eastAsia="宋体" w:hint="default"/>
      </w:rPr>
    </w:lvl>
    <w:lvl w:ilvl="1">
      <w:start w:val="1"/>
      <w:numFmt w:val="decimal"/>
      <w:lvlText w:val="%1.%2."/>
      <w:suff w:val="space"/>
      <w:lvlJc w:val="left"/>
      <w:pPr>
        <w:ind w:left="0" w:firstLine="0"/>
      </w:pPr>
      <w:rPr>
        <w:rFonts w:ascii="Times New Roman" w:hAnsi="Times New Roman" w:eastAsia="宋体" w:hint="default"/>
      </w:rPr>
    </w:lvl>
    <w:lvl w:ilvl="2">
      <w:start w:val="1"/>
      <w:numFmt w:val="decimal"/>
      <w:lvlText w:val="%1.%2.%3."/>
      <w:suff w:val="space"/>
      <w:lvlJc w:val="left"/>
      <w:pPr>
        <w:ind w:left="0" w:firstLine="0"/>
      </w:pPr>
      <w:rPr>
        <w:rFonts w:ascii="Times New Roman" w:hAnsi="Times New Roman" w:eastAsia="宋体" w:hint="default"/>
      </w:rPr>
    </w:lvl>
  </w:abstractNum>
  <w:abstractNum w:abstractNumId="91">
    <w:multiLevelType w:val="multilevel"/>
    <w:lvl w:ilvl="0">
      <w:start w:val="1"/>
      <w:numFmt w:val="decimal"/>
      <w:lvlText w:val="(%1)"/>
      <w:suff w:val="space"/>
      <w:lvlJc w:val="left"/>
      <w:pPr>
        <w:ind w:left="0" w:firstLine="0"/>
      </w:pPr>
      <w:rPr>
        <w:rFonts w:ascii="Times New Roman" w:hAnsi="Times New Roman" w:eastAsia="宋体" w:hint="default"/>
      </w:rPr>
    </w:lvl>
    <w:lvl w:ilvl="1">
      <w:start w:val="1"/>
      <w:numFmt w:val="decimal"/>
      <w:lvlText w:val="(%1)"/>
      <w:suff w:val="space"/>
      <w:lvlJc w:val="left"/>
      <w:pPr>
        <w:ind w:left="0" w:firstLine="0"/>
      </w:pPr>
      <w:rPr>
        <w:rFonts w:ascii="Times New Roman" w:hAnsi="Times New Roman" w:eastAsia="宋体" w:hint="default"/>
      </w:rPr>
    </w:lvl>
    <w:lvl w:ilvl="2">
      <w:start w:val="1"/>
      <w:numFmt w:val="decimal"/>
      <w:lvlText w:val="(%1)"/>
      <w:suff w:val="space"/>
      <w:lvlJc w:val="left"/>
      <w:pPr>
        <w:ind w:left="0" w:firstLine="0"/>
      </w:pPr>
      <w:rPr>
        <w:rFonts w:ascii="Times New Roman" w:hAnsi="Times New Roman" w:eastAsia="宋体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auto"/>
      <w:jc w:val="both"/>
      <w:ind w:firstLineChars="200" w:firstLine="480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left"/>
      <w:outlineLvl w:val="0"/>
      <w:numPr>
        <w:ilvl w:val="0"/>
        <w:numId w:val="90"/>
      </w:numPr>
      <w:ind w:left="0" w:firstLine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60" w:lineRule="auto"/>
      <w:jc w:val="left"/>
      <w:outlineLvl w:val="1"/>
      <w:numPr>
        <w:ilvl w:val="1"/>
        <w:numId w:val="90"/>
      </w:numPr>
      <w:ind w:left="0" w:firstLine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jc w:val="left"/>
      <w:outlineLvl w:val="2"/>
      <w:numPr>
        <w:ilvl w:val="2"/>
        <w:numId w:val="90"/>
      </w:numPr>
      <w:ind w:left="0" w:firstLine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spacing w:before="0" w:after="0" w:line="360" w:lineRule="auto"/>
      <w:ind w:left="240" w:leftChars="100"/>
      <w:contextualSpacing/>
      <w:jc w:val="both"/>
      <w:numPr>
        <w:ilvl w:val="0"/>
        <w:numId w:val="91"/>
      </w:numPr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20"/>
      <w:jc w:val="center"/>
    </w:pPr>
    <w:rPr>
      <w:rFonts w:ascii="Times New Roman" w:hAnsi="Times New Roman" w:eastAsia="宋体" w:cs="Times New Roman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大报告模板</dc:title>
  <dc:subject>PBL 大报告（三级标题 + GB/T 7714 顺序编码制）</dc:subject>
  <dc:creator>朱俊铭</dc:creator>
  <cp:keywords/>
  <dc:description>模板：一级标题四号加粗，二级/三级小四；正文小四；图题“图x. 说明（内容）”；引用 GB/T 7714-2015 顺序编码制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