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×××课程 / PBL 大报告</w:t>
      </w:r>
    </w:p>
    <w:p>
      <w:pPr>
        <w:ind w:firstLine="0"/>
        <w:jc w:val="center"/>
      </w:pPr>
      <w:r>
        <w:rPr>
          <w:sz w:val="21"/>
        </w:rPr>
        <w:t>第 × 组　　2026 年 10 月　　成员：×××、×××、×××</w:t>
      </w:r>
    </w:p>
    <w:p/>
    <w:p>
      <w:pPr>
        <w:pStyle w:val="Heading1"/>
      </w:pPr>
      <w:r>
        <w:t>第一章　案例回顾</w:t>
      </w:r>
    </w:p>
    <w:p>
      <w:pPr>
        <w:pStyle w:val="Heading2"/>
      </w:pPr>
      <w:r>
        <w:t>病例摘要</w:t>
      </w:r>
    </w:p>
    <w:p>
      <w:r>
        <w:rPr>
          <w:b w:val="0"/>
        </w:rPr>
        <w:t>××岁女性，主诉……；现病史……；既往史……。本节把病例原始信息整理清楚，不展开分析。</w:t>
      </w:r>
    </w:p>
    <w:p>
      <w:pPr>
        <w:pStyle w:val="Heading2"/>
      </w:pPr>
      <w:r>
        <w:t>关键指标</w:t>
      </w:r>
    </w:p>
    <w:p>
      <w:r>
        <w:rPr>
          <w:b w:val="0"/>
        </w:rPr>
        <w:t>表格示例：把 CASE 指标按“指标—检测值—参考范围—判读”列清楚。</w:t>
      </w:r>
    </w:p>
    <w:p>
      <w:pPr>
        <w:pStyle w:val="Caption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>. 本例主要实验室指标（CASE 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5"/>
        <w:gridCol w:w="2435"/>
        <w:gridCol w:w="2435"/>
        <w:gridCol w:w="2435"/>
      </w:tblGrid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检测值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参考范围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判读</w:t>
            </w:r>
          </w:p>
        </w:tc>
      </w:tr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sz w:val="21"/>
              </w:rPr>
              <w:t>PRL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30.63 ng/mL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4.79–23.3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轻度升高（1.3×）</w:t>
            </w:r>
          </w:p>
        </w:tc>
      </w:tr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sz w:val="21"/>
              </w:rPr>
              <w:t>FT4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60.47 pmol/L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12.0–22.0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明显升高（2.7×）</w:t>
            </w:r>
          </w:p>
        </w:tc>
      </w:tr>
    </w:tbl>
    <w:p>
      <w:pPr>
        <w:pStyle w:val="Heading1"/>
      </w:pPr>
      <w:r>
        <w:t>第二章　重大问题</w:t>
      </w:r>
    </w:p>
    <w:p>
      <w:r>
        <w:rPr>
          <w:b w:val="0"/>
        </w:rPr>
        <w:t>本章回答“必须讲清楚”的问题：机制、因果、判读。每个问题用一个二级标题，标题里带问题名与负责人。</w:t>
      </w:r>
    </w:p>
    <w:p>
      <w:pPr>
        <w:pStyle w:val="Heading2"/>
      </w:pPr>
      <w:r>
        <w:t>催乳素为什么会升高（×同学）</w:t>
      </w:r>
    </w:p>
    <w:p>
      <w:r>
        <w:rPr>
          <w:b w:val="0"/>
        </w:rPr>
        <w:t>一句话结论 → 三条依据 → 一个限定条件。</w:t>
      </w:r>
    </w:p>
    <w:p>
      <w:pPr>
        <w:pStyle w:val="Heading3"/>
      </w:pPr>
      <w:r>
        <w:t>下丘脑与垂体的调控基础</w:t>
      </w:r>
    </w:p>
    <w:p>
      <w:r>
        <w:rPr>
          <w:b w:val="0"/>
        </w:rPr>
        <w:t>正文……（三级到此为止，再往下用有序列表）</w:t>
      </w:r>
    </w:p>
    <w:p>
      <w:pPr>
        <w:pStyle w:val="ListParagraph"/>
      </w:pPr>
      <w:r>
        <w:t>要点一：……</w:t>
      </w:r>
    </w:p>
    <w:p>
      <w:pPr>
        <w:pStyle w:val="ListParagraph"/>
      </w:pPr>
      <w:r>
        <w:t>要点二：……</w:t>
      </w:r>
    </w:p>
    <w:p>
      <w:pPr>
        <w:pStyle w:val="Heading2"/>
      </w:pPr>
      <w:r>
        <w:t>甲亢与 PRL 的因果链</w:t>
      </w:r>
    </w:p>
    <w:p>
      <w:r>
        <w:rPr>
          <w:b w:val="0"/>
        </w:rPr>
        <w:t>正文……，见图 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t>. 甲亢与应激抬高 PRL 的三条链（机制示意）</w:t>
      </w:r>
    </w:p>
    <w:p>
      <w:pPr>
        <w:pStyle w:val="Heading1"/>
      </w:pPr>
      <w:r>
        <w:t>第三章　次要问题</w:t>
      </w:r>
    </w:p>
    <w:p>
      <w:r>
        <w:rPr>
          <w:b w:val="0"/>
        </w:rPr>
        <w:t>本章放“可以简短回答”的问题：概念澄清、鉴别要点、细节补充。</w:t>
      </w:r>
    </w:p>
    <w:p>
      <w:pPr>
        <w:pStyle w:val="Heading2"/>
      </w:pPr>
      <w:r>
        <w:t>溢乳与闭经的鉴别（×同学）</w:t>
      </w:r>
    </w:p>
    <w:p>
      <w:r>
        <w:rPr>
          <w:b w:val="0"/>
        </w:rPr>
        <w:t>正文……</w:t>
      </w:r>
    </w:p>
    <w:p>
      <w:pPr>
        <w:pStyle w:val="Heading1"/>
      </w:pPr>
      <w:r>
        <w:t>第四章　机制图</w:t>
      </w:r>
    </w:p>
    <w:p>
      <w:r>
        <w:rPr>
          <w:b w:val="0"/>
        </w:rPr>
        <w:t>把全组画的机制图集中放在这里，每张图配一条图题，正文里用“见图 x”引用。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t>. 下丘脑—垂体—甲状腺轴与泌乳素轴的交汇（全景图）</w:t>
      </w:r>
    </w:p>
    <w:p>
      <w:pPr>
        <w:ind w:firstLine="0"/>
        <w:jc w:val="center"/>
      </w:pPr>
      <w:r>
        <w:rPr>
          <w:rFonts w:ascii="微软雅黑" w:hAnsi="微软雅黑" w:eastAsia="微软雅黑"/>
          <w:b/>
          <w:sz w:val="28"/>
        </w:rPr>
        <w:t>参考文献</w:t>
      </w:r>
    </w:p>
    <w:p>
      <w:r>
        <w:rPr>
          <w:b w:val="0"/>
        </w:rPr>
        <w:t>按 GB/T 7714—2015 顺序编码制著录：正文上标 [1]、[2-3]；Word 引用样式选 Chinese Std GBT7714 (numeric)，或 EndNote 载入同名 .ens。</w:t>
      </w:r>
    </w:p>
    <w:p>
      <w:pPr>
        <w:spacing w:after="0"/>
        <w:ind w:firstLine="0"/>
      </w:pPr>
      <w:r>
        <w:rPr>
          <w:sz w:val="21"/>
        </w:rPr>
        <w:t>[1] 作者. 题名[M]. 出版地: 出版社, 年: 起止页.</w:t>
      </w:r>
    </w:p>
    <w:p>
      <w:pPr>
        <w:spacing w:after="0"/>
        <w:ind w:firstLine="0"/>
      </w:pPr>
      <w:r>
        <w:rPr>
          <w:sz w:val="21"/>
        </w:rPr>
        <w:t>[2] 作者, 作者. 题名[J]. 刊名, 年, 卷(期): 起止页.</w:t>
      </w:r>
    </w:p>
    <w:p>
      <w:pPr>
        <w:spacing w:after="0"/>
        <w:ind w:firstLine="0"/>
      </w:pPr>
      <w:r>
        <w:rPr>
          <w:sz w:val="21"/>
        </w:rPr>
        <w:t>[3] GRATTAN D R. 50 years of neuroendocrinology[J]. Journal of Endocrinology, 2015, 226(2): T101-T122.</w:t>
      </w:r>
    </w:p>
    <w:sectPr w:rsidR="00FC693F" w:rsidRPr="0006063C" w:rsidSect="00034616"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1">
      <w:start w:val="1"/>
      <w:numFmt w:val="decimal"/>
      <w:lvlText w:val="%1.%2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2">
      <w:start w:val="1"/>
      <w:numFmt w:val="decimal"/>
      <w:lvlText w:val="%1.%2.%3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</w:abstractNum>
  <w:abstractNum w:abstractNumId="91">
    <w:multiLevelType w:val="multilevel"/>
    <w:lvl w:ilvl="0">
      <w:start w:val="1"/>
      <w:numFmt w:val="decimal"/>
      <w:lvlText w:val="(%1)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1">
      <w:start w:val="1"/>
      <w:numFmt w:val="decimal"/>
      <w:lvlText w:val="(%1)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2">
      <w:start w:val="1"/>
      <w:numFmt w:val="decimal"/>
      <w:lvlText w:val="(%1)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jc w:val="both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jc w:val="center"/>
      <w:outlineLvl w:val="0"/>
      <w:numPr>
        <w:ilvl w:val="0"/>
        <w:numId w:val="90"/>
      </w:numPr>
      <w:ind w:left="0" w:firstLine="0"/>
    </w:pPr>
    <w:rPr>
      <w:rFonts w:asciiTheme="majorHAnsi" w:eastAsiaTheme="majorEastAsia" w:hAnsiTheme="majorHAnsi" w:cstheme="majorBidi" w:ascii="Times New Roman" w:hAnsi="Times New Roman" w:eastAsia="微软雅黑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left"/>
      <w:outlineLvl w:val="1"/>
      <w:numPr>
        <w:ilvl w:val="1"/>
        <w:numId w:val="90"/>
      </w:numPr>
      <w:ind w:left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360" w:lineRule="auto"/>
      <w:jc w:val="left"/>
      <w:outlineLvl w:val="2"/>
      <w:numPr>
        <w:ilvl w:val="2"/>
        <w:numId w:val="90"/>
      </w:numPr>
      <w:ind w:left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0" w:line="360" w:lineRule="auto"/>
      <w:ind w:left="240" w:leftChars="100"/>
      <w:contextualSpacing/>
      <w:jc w:val="both"/>
      <w:numPr>
        <w:ilvl w:val="0"/>
        <w:numId w:val="91"/>
      </w:numPr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jc w:val="center"/>
    </w:pPr>
    <w:rPr>
      <w:rFonts w:ascii="Times New Roman" w:hAnsi="Times New Roman" w:eastAsia="宋体" w:cs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大报告模板（四章式）</dc:title>
  <dc:subject/>
  <dc:creator>python-docx</dc:creator>
  <cp:keywords/>
  <dc:description>章：微软雅黑 三号 加粗 居中；节 1.1 / 1.1.1 小四加粗；正文小四；图题“图x. 说明（内容）”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