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4"/>
        <w:spacing w:before="156" w:after="156"/>
        <w:ind w:start="0" w:end="720"/>
        <w:jc w:val="both"/>
        <w:rPr>
          <w:rFonts w:ascii="黑体" w:hAnsi="黑体" w:eastAsia="黑体" w:cs="Times New Roman"/>
          <w:b/>
          <w:bCs/>
          <w:smallCaps/>
          <w:sz w:val="28"/>
          <w:szCs w:val="28"/>
          <w:lang w:val="en-US"/>
        </w:rPr>
      </w:pPr>
      <w:r>
        <w:rPr>
          <w:rFonts w:eastAsia="Hiragino Sans GB" w:cs="Times New Roman" w:ascii="Arial" w:hAnsi="Arial"/>
          <w:b/>
          <w:bCs/>
          <w:smallCaps/>
          <w:sz w:val="28"/>
          <w:szCs w:val="28"/>
          <w:lang w:val="en-US"/>
        </w:rPr>
      </w:r>
    </w:p>
    <w:p>
      <w:pPr>
        <w:pStyle w:val="Style14"/>
        <w:keepNext w:val="0"/>
        <w:spacing w:before="0" w:after="240" w:line="288" w:lineRule="auto"/>
        <w:ind w:firstLineChars="0" w:startChars="0" w:start="0" w:endChars="0" w:end="0"/>
        <w:jc w:val="center"/>
        <w:rPr>
          <w:rFonts w:ascii="宋体" w:hAnsi="宋体" w:eastAsia="宋体" w:cs="宋体" w:hint="eastAsia"/>
          <w:b/>
          <w:bCs/>
          <w:smallCaps/>
          <w:sz w:val="28"/>
          <w:szCs w:val="28"/>
          <w:lang w:val="en-US"/>
        </w:rPr>
      </w:pPr>
      <w:r>
        <w:rPr>
          <w:rFonts w:ascii="Arial" w:hAnsi="Arial" w:eastAsia="Hiragino Sans GB"/>
        </w:rPr>
        <w:t>AI+研发协同：UI 需求示意助手项目</w:t>
      </w:r>
    </w:p>
    <w:p>
      <w:pPr>
        <w:pStyle w:val="Style14"/>
        <w:keepNext w:val="0"/>
        <w:tabs>
          <w:tab w:val="clear" w:pos="420"/>
          <w:tab w:val="left" w:pos="7560" w:leader="none"/>
        </w:tabs>
        <w:spacing w:before="0" w:after="80" w:line="288" w:lineRule="auto"/>
        <w:ind w:firstLineChars="0" w:startChars="0" w:start="0" w:endChars="0" w:end="0"/>
        <w:jc w:val="center"/>
        <w:rPr>
          <w:rFonts w:ascii="宋体" w:hAnsi="宋体" w:eastAsia="宋体" w:cs="宋体" w:hint="eastAsia"/>
          <w:b/>
          <w:bCs/>
          <w:smallCaps/>
          <w:sz w:val="28"/>
          <w:szCs w:val="28"/>
          <w:lang w:val="en-US"/>
        </w:rPr>
      </w:pPr>
      <w:r>
        <w:rPr>
          <w:rFonts w:ascii="Arial" w:hAnsi="Arial" w:eastAsia="Hiragino Sans GB"/>
        </w:rPr>
        <w:t>领域：数字金融</w:t>
      </w:r>
    </w:p>
    <w:p>
      <w:pPr>
        <w:pStyle w:val="Style14"/>
        <w:keepNext w:val="0"/>
        <w:tabs>
          <w:tab w:val="clear" w:pos="420"/>
          <w:tab w:val="left" w:pos="7560" w:leader="none"/>
        </w:tabs>
        <w:spacing w:before="0" w:after="80" w:line="288" w:lineRule="auto"/>
        <w:ind w:firstLineChars="0" w:startChars="0" w:start="0" w:endChars="0" w:end="0"/>
        <w:jc w:val="center"/>
        <w:rPr>
          <w:rFonts w:ascii="宋体" w:hAnsi="宋体" w:eastAsia="宋体" w:cs="宋体" w:hint="eastAsia"/>
          <w:b/>
          <w:bCs/>
          <w:smallCaps/>
          <w:color w:val="0000FF"/>
          <w:sz w:val="28"/>
          <w:szCs w:val="11"/>
          <w:lang w:val="en-US"/>
        </w:rPr>
      </w:pPr>
      <w:r>
        <w:rPr>
          <w:rFonts w:ascii="Arial" w:hAnsi="Arial" w:eastAsia="Hiragino Sans GB"/>
        </w:rPr>
        <w:t>赛道：AI+IT</w:t>
      </w:r>
    </w:p>
    <w:p>
      <w:pPr>
        <w:pStyle w:val="Style14"/>
        <w:tabs>
          <w:tab w:val="clear" w:pos="420"/>
          <w:tab w:val="left" w:pos="7560" w:leader="none"/>
        </w:tabs>
        <w:spacing w:before="156" w:after="156"/>
        <w:ind w:firstLineChars="0" w:firstLine="0" w:startChars="0" w:start="0" w:endChars="0" w:end="0"/>
        <w:jc w:val="center"/>
        <w:rPr>
          <w:rFonts w:ascii="宋体" w:hAnsi="宋体" w:eastAsia="宋体" w:cs="宋体" w:hint="eastAsia"/>
          <w:b/>
          <w:bCs/>
          <w:smallCaps/>
          <w:color w:val="0000FF"/>
          <w:sz w:val="28"/>
          <w:szCs w:val="11"/>
          <w:lang w:val="en-US"/>
        </w:rPr>
      </w:pPr>
    </w:p>
    <w:tbl>
      <w:tblPr>
        <w:tblpPr w:vertAnchor="text" w:horzAnchor="page" w:leftFromText="180" w:rightFromText="180" w:tblpX="1997" w:tblpY="282"/>
        <w:tblW w:w="8300" w:type="dxa"/>
        <w:jc w:val="left"/>
        <w:tblInd w:w="12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50"/>
        <w:gridCol w:w="6550"/>
      </w:tblGrid>
      <w:tr>
        <w:trPr/>
        <w:tc>
          <w:tcPr>
            <w:tcW w:w="1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Arial" w:hAnsi="Arial" w:eastAsia="宋体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 w:eastAsia="Hiragino Sans GB"/>
                <w:b/>
                <w:bCs/>
                <w:color w:val="1F2329"/>
                <w:sz w:val="21"/>
                <w:szCs w:val="24"/>
              </w:rPr>
              <w:t>参赛队名</w:t>
            </w:r>
          </w:p>
        </w:tc>
        <w:tc>
          <w:tcPr>
            <w:tcW w:w="6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Arial" w:hAnsi="Arial" w:eastAsia="Hiragino Sans GB"/>
                <w:color w:val="1F2329"/>
                <w:sz w:val="20"/>
              </w:rPr>
              <w:t>[待补充：参赛队名]</w:t>
            </w:r>
          </w:p>
        </w:tc>
      </w:tr>
      <w:tr>
        <w:trPr/>
        <w:tc>
          <w:tcPr>
            <w:tcW w:w="1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Arial" w:hAnsi="Arial" w:eastAsia="宋体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 w:eastAsia="Hiragino Sans GB"/>
                <w:b/>
                <w:bCs/>
                <w:color w:val="1F2329"/>
                <w:sz w:val="21"/>
                <w:szCs w:val="24"/>
              </w:rPr>
              <w:t>申报单位</w:t>
            </w:r>
          </w:p>
        </w:tc>
        <w:tc>
          <w:tcPr>
            <w:tcW w:w="6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Arial" w:hAnsi="Arial" w:eastAsia="Hiragino Sans GB"/>
                <w:color w:val="1F2329"/>
                <w:sz w:val="20"/>
              </w:rPr>
              <w:t>[待补充：申报单位]</w:t>
            </w:r>
          </w:p>
        </w:tc>
      </w:tr>
      <w:tr>
        <w:trPr/>
        <w:tc>
          <w:tcPr>
            <w:tcW w:w="1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Arial" w:hAnsi="Arial" w:cs="Arial" w:hint="eastAsia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 w:eastAsia="Hiragino Sans GB"/>
                <w:b/>
                <w:bCs/>
                <w:color w:val="1F2329"/>
                <w:sz w:val="21"/>
                <w:szCs w:val="24"/>
              </w:rPr>
              <w:t>队长</w:t>
            </w:r>
          </w:p>
        </w:tc>
        <w:tc>
          <w:tcPr>
            <w:tcW w:w="6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Arial" w:hAnsi="Arial" w:eastAsia="Hiragino Sans GB"/>
                <w:color w:val="1F2329"/>
                <w:sz w:val="20"/>
              </w:rPr>
              <w:t>[待补充：单位/部门/姓名/员工号]</w:t>
            </w:r>
          </w:p>
        </w:tc>
      </w:tr>
      <w:tr>
        <w:trPr/>
        <w:tc>
          <w:tcPr>
            <w:tcW w:w="1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Arial" w:hAnsi="Arial" w:cs="Arial" w:hint="eastAsia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 w:eastAsia="Hiragino Sans GB"/>
                <w:b/>
                <w:bCs/>
                <w:color w:val="1F2329"/>
                <w:sz w:val="21"/>
                <w:szCs w:val="24"/>
              </w:rPr>
              <w:t>队员</w:t>
            </w:r>
          </w:p>
        </w:tc>
        <w:tc>
          <w:tcPr>
            <w:tcW w:w="6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Arial" w:hAnsi="Arial" w:eastAsia="Hiragino Sans GB"/>
                <w:color w:val="1F2329"/>
                <w:sz w:val="20"/>
              </w:rPr>
              <w:t>[待补充：队员单位/部门/姓名/员工号及分工]</w:t>
            </w:r>
          </w:p>
        </w:tc>
      </w:tr>
      <w:tr>
        <w:trPr/>
        <w:tc>
          <w:tcPr>
            <w:tcW w:w="1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pStyle w:val="Normal"/>
              <w:spacing w:lineRule="auto" w:line="300"/>
              <w:ind w:firstLineChars="0" w:firstLine="0" w:startChars="0" w:start="0" w:endChars="0" w:end="0"/>
              <w:jc w:val="center"/>
              <w:rPr>
                <w:rFonts w:ascii="Arial" w:hAnsi="Arial" w:eastAsia="宋体" w:cs="Arial" w:hint="eastAsia"/>
                <w:b/>
                <w:bCs/>
                <w:sz w:val="24"/>
                <w:szCs w:val="24"/>
                <w:lang w:eastAsia="zh"/>
              </w:rPr>
            </w:pPr>
            <w:r>
              <w:rPr>
                <w:rFonts w:ascii="Arial" w:hAnsi="Arial" w:cs="Arial" w:hint="eastAsia" w:eastAsia="Hiragino Sans GB"/>
                <w:b/>
                <w:bCs/>
                <w:color w:val="1F2329"/>
                <w:sz w:val="21"/>
                <w:szCs w:val="24"/>
                <w:lang w:eastAsia="zh"/>
              </w:rPr>
              <w:t>落地效果</w:t>
            </w:r>
          </w:p>
        </w:tc>
        <w:tc>
          <w:tcPr>
            <w:tcW w:w="6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Hiragino Sans GB"/>
              </w:rPr>
              <w:t>部分落地（真实页面与跨电脑 Demo 已跑通，待内部试点）</w:t>
            </w:r>
          </w:p>
        </w:tc>
      </w:tr>
      <w:tr>
        <w:trPr/>
        <w:tc>
          <w:tcPr>
            <w:tcW w:w="1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pStyle w:val="Normal"/>
              <w:spacing w:lineRule="auto" w:line="300"/>
              <w:ind w:firstLineChars="0" w:firstLine="0" w:startChars="0" w:start="0" w:endChars="0" w:end="0"/>
              <w:jc w:val="center"/>
              <w:rPr>
                <w:rFonts w:ascii="Arial" w:hAnsi="Arial" w:cs="Arial" w:hint="eastAsia"/>
                <w:b/>
                <w:bCs/>
                <w:sz w:val="24"/>
                <w:szCs w:val="24"/>
                <w:lang w:eastAsia="zh"/>
              </w:rPr>
            </w:pPr>
            <w:r>
              <w:rPr>
                <w:rFonts w:ascii="Arial" w:hAnsi="Arial" w:cs="Arial" w:hint="eastAsia" w:eastAsia="Hiragino Sans GB"/>
                <w:b/>
                <w:bCs/>
                <w:color w:val="1F2329"/>
                <w:sz w:val="21"/>
                <w:szCs w:val="24"/>
                <w:lang w:eastAsia="zh"/>
              </w:rPr>
              <w:t>应用范围</w:t>
            </w:r>
          </w:p>
        </w:tc>
        <w:tc>
          <w:tcPr>
            <w:tcW w:w="6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Hiragino Sans GB"/>
              </w:rPr>
              <w:t>团队（当前受控 Demo 试用范围）</w:t>
            </w:r>
          </w:p>
        </w:tc>
      </w:tr>
      <w:tr>
        <w:trPr/>
        <w:tc>
          <w:tcPr>
            <w:tcW w:w="1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pStyle w:val="Normal"/>
              <w:spacing w:lineRule="auto" w:line="300"/>
              <w:ind w:firstLineChars="0" w:firstLine="0" w:startChars="0" w:start="0" w:endChars="0" w:end="0"/>
              <w:jc w:val="center"/>
              <w:rPr>
                <w:rFonts w:ascii="Arial" w:hAnsi="Arial" w:cs="Arial" w:hint="eastAsia"/>
                <w:b/>
                <w:bCs/>
                <w:sz w:val="24"/>
                <w:szCs w:val="24"/>
                <w:lang w:eastAsia="zh"/>
              </w:rPr>
            </w:pPr>
            <w:r>
              <w:rPr>
                <w:rFonts w:ascii="Arial" w:hAnsi="Arial" w:cs="Arial" w:hint="eastAsia" w:eastAsia="Hiragino Sans GB"/>
                <w:b/>
                <w:bCs/>
                <w:color w:val="1F2329"/>
                <w:sz w:val="21"/>
                <w:szCs w:val="24"/>
                <w:lang w:eastAsia="zh"/>
              </w:rPr>
              <w:t>应用频率</w:t>
            </w:r>
          </w:p>
        </w:tc>
        <w:tc>
          <w:tcPr>
            <w:tcW w:w="6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Hiragino Sans GB"/>
              </w:rPr>
              <w:t>周（按需求编写频率，待试点数据校准）</w:t>
            </w:r>
          </w:p>
        </w:tc>
      </w:tr>
      <w:tr>
        <w:trPr/>
        <w:tc>
          <w:tcPr>
            <w:tcW w:w="1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pStyle w:val="Normal"/>
              <w:spacing w:lineRule="auto" w:line="300"/>
              <w:ind w:firstLineChars="0" w:firstLine="0" w:startChars="0" w:start="0" w:endChars="0" w:end="0"/>
              <w:jc w:val="center"/>
              <w:rPr>
                <w:rFonts w:ascii="Arial" w:hAnsi="Arial" w:cs="Arial" w:hint="eastAsia"/>
                <w:b/>
                <w:bCs/>
                <w:sz w:val="24"/>
                <w:szCs w:val="24"/>
                <w:lang w:eastAsia="zh"/>
              </w:rPr>
            </w:pPr>
            <w:r>
              <w:rPr>
                <w:rFonts w:ascii="Arial" w:hAnsi="Arial" w:cs="Arial" w:hint="eastAsia" w:eastAsia="Hiragino Sans GB"/>
                <w:b/>
                <w:bCs/>
                <w:color w:val="1F2329"/>
                <w:sz w:val="21"/>
                <w:szCs w:val="24"/>
                <w:lang w:eastAsia="zh"/>
              </w:rPr>
              <w:t>技术及评奖</w:t>
            </w:r>
          </w:p>
        </w:tc>
        <w:tc>
          <w:tcPr>
            <w:tcW w:w="6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Hiragino Sans GB"/>
              </w:rPr>
              <w:t>暂未涉及专利；历史评奖：无（待确认）</w:t>
            </w:r>
          </w:p>
        </w:tc>
      </w:tr>
    </w:tbl>
    <w:p>
      <w:pPr>
        <w:pStyle w:val="Normal"/>
        <w:tabs>
          <w:tab w:val="clear" w:pos="420"/>
          <w:tab w:val="left" w:pos="1560" w:leader="none"/>
        </w:tabs>
        <w:jc w:val="center"/>
        <w:rPr>
          <w:rFonts w:hint="eastAsia"/>
          <w:b/>
          <w:bCs/>
          <w:sz w:val="44"/>
        </w:rPr>
      </w:pPr>
      <w:r>
        <w:rPr>
          <w:rFonts w:hint="eastAsia" w:eastAsia="Hiragino Sans GB" w:ascii="Arial" w:hAnsi="Arial"/>
          <w:b/>
          <w:bCs/>
          <w:sz w:val="44"/>
        </w:rPr>
      </w:r>
    </w:p>
    <w:p>
      <w:pPr>
        <w:pStyle w:val="Normal"/>
        <w:tabs>
          <w:tab w:val="clear" w:pos="420"/>
          <w:tab w:val="left" w:pos="1560" w:leader="none"/>
        </w:tabs>
        <w:jc w:val="center"/>
        <w:rPr>
          <w:rFonts w:hint="eastAsia"/>
          <w:b/>
          <w:bCs/>
          <w:sz w:val="44"/>
        </w:rPr>
      </w:pPr>
      <w:r>
        <w:rPr>
          <w:rFonts w:eastAsia="Hiragino Sans GB" w:ascii="Arial" w:hAnsi="Arial"/>
          <w:b/>
          <w:bCs/>
          <w:sz w:val="44"/>
        </w:rPr>
        <w:object w:dxaOrig="562" w:dyaOrig="562">
          <v:shapetype id="_x0000_tole_rId2" coordsize="21600,21600" o:spt="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27.8pt;height:27.8pt" filled="f" o:ole="">
            <v:imagedata r:id="rId3" o:title=""/>
          </v:shape>
          <o:OLEObject Type="Embed" ProgID="" ShapeID="ole_rId2" DrawAspect="Content" ObjectID="_333425690" r:id="rId2"/>
        </w:object>
      </w:r>
    </w:p>
    <w:p>
      <w:pPr>
        <w:pStyle w:val="Normal"/>
        <w:spacing w:lineRule="auto" w:line="300"/>
        <w:jc w:val="center"/>
        <w:rPr>
          <w:rFonts w:hint="eastAsia"/>
          <w:b/>
          <w:bCs/>
          <w:szCs w:val="21"/>
        </w:rPr>
      </w:pPr>
      <w:r>
        <w:rPr>
          <w:rFonts w:hint="eastAsia" w:ascii="Arial" w:hAnsi="Arial" w:eastAsia="Hiragino Sans GB"/>
          <w:b/>
          <w:bCs/>
          <w:color w:val="1F2329"/>
          <w:szCs w:val="21"/>
        </w:rPr>
        <w:t>招商银行</w:t>
      </w:r>
    </w:p>
    <w:p>
      <w:pPr>
        <w:pStyle w:val="Normal"/>
        <w:spacing w:lineRule="auto" w:line="300"/>
        <w:jc w:val="center"/>
        <w:rPr>
          <w:rFonts w:hint="eastAsia"/>
          <w:b/>
          <w:bCs/>
          <w:szCs w:val="21"/>
        </w:rPr>
      </w:pPr>
      <w:r>
        <w:rPr>
          <w:rFonts w:hint="eastAsia" w:ascii="Arial" w:hAnsi="Arial" w:eastAsia="Hiragino Sans GB"/>
          <w:b/>
          <w:bCs/>
          <w:color w:val="1F2329"/>
          <w:szCs w:val="21"/>
        </w:rPr>
        <w:t xml:space="preserve"> </w:t>
      </w:r>
      <w:r>
        <w:rPr>
          <w:rFonts w:hint="eastAsia" w:ascii="Arial" w:hAnsi="Arial" w:eastAsia="Hiragino Sans GB"/>
          <w:b/>
          <w:bCs/>
          <w:color w:val="1F2329"/>
          <w:szCs w:val="21"/>
        </w:rPr>
        <w:t>China Merchants Bank</w:t>
      </w:r>
    </w:p>
    <w:p>
      <w:pPr>
        <w:pStyle w:val="Normal"/>
        <w:spacing w:lineRule="auto" w:line="300"/>
        <w:jc w:val="center"/>
        <w:rPr>
          <w:rFonts w:hint="eastAsia"/>
          <w:b/>
          <w:bCs/>
          <w:sz w:val="24"/>
        </w:rPr>
      </w:pPr>
      <w:r>
        <w:rPr>
          <w:rFonts w:hint="eastAsia" w:ascii="Arial" w:hAnsi="Arial" w:eastAsia="Hiragino Sans GB"/>
          <w:b/>
          <w:bCs/>
          <w:color w:val="1F2329"/>
          <w:szCs w:val="21"/>
        </w:rPr>
        <w:t>版权所有 不得复制</w:t>
      </w:r>
      <w:r>
        <w:rPr>
          <w:rFonts w:ascii="Arial" w:hAnsi="Arial" w:eastAsia="Hiragino Sans GB"/>
          <w:color w:val="1F2329"/>
        </w:rPr>
        <w:br w:type="page"/>
      </w:r>
    </w:p>
    <w:p>
      <w:pPr>
        <w:pStyle w:val="Heading1"/>
        <w:keepNext/>
        <w:keepLines/>
        <w:pageBreakBefore w:val="0"/>
        <w:spacing w:before="240" w:after="120"/>
      </w:pPr>
      <w:r>
        <w:rPr>
          <w:rFonts w:ascii="Arial" w:hAnsi="Arial" w:eastAsia="Hiragino Sans GB"/>
          <w:b/>
          <w:color w:val="1F2329"/>
          <w:sz w:val="32"/>
        </w:rPr>
        <w:t>项目简介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项目名称：AI+研发协同：UI 需求示意助手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项目方向：数字金融｜AI+IT｜产品与研发协同</w:t>
      </w:r>
    </w:p>
    <w:p>
      <w:pPr>
        <w:spacing w:before="0" w:after="120" w:line="324" w:lineRule="auto"/>
        <w:ind w:firstLine="440"/>
      </w:pPr>
      <w:r>
        <w:rPr>
          <w:rFonts w:ascii="Arial" w:hAnsi="Arial" w:eastAsia="Hiragino Sans GB"/>
        </w:rPr>
        <w:t>本项目面向产品经理缺少设计资源、难以准确表达页面改动的问题，提供一款运行于 Chrome Side Panel 的 AI UI 需求示意助手。插件可将当前真实页面冻结为安全的静态源码副本，产品经理在副本中选择目标区域并用自然语言描述需求，通用源码 Agent 按需读取和修改 HTML/CSS，生成贴合原页面视觉的需求示意，并支持多轮调整、撤销重做和截图导出。</w:t>
      </w:r>
    </w:p>
    <w:p>
      <w:pPr>
        <w:spacing w:before="100" w:after="160" w:line="312" w:lineRule="auto"/>
        <w:ind w:left="200" w:right="200"/>
        <w:shd w:fill="EEF4FF"/>
        <w:pBdr>
          <w:left w:val="single" w:sz="18" w:space="8" w:color="1677FF"/>
        </w:pBdr>
      </w:pPr>
      <w:r>
        <w:rPr>
          <w:rFonts w:ascii="Arial" w:hAnsi="Arial" w:eastAsia="Hiragino Sans GB"/>
        </w:rPr>
        <w:t>当前阶段  已跑通固定测试页与真实业务页面、跨电脑快照导出/导入、Cline 通用源码 Agent、DeepSeek 模型接入和腾讯云 CloudBase 远程部署；自动化测试 28 个文件、136 项用例全部通过。项目定位是“需求表达辅助工具”，不生成生产代码，不调用真实业务接口。</w:t>
      </w:r>
    </w:p>
    <w:p>
      <w:pPr>
        <w:pStyle w:val="Heading1"/>
        <w:keepNext/>
        <w:keepLines/>
        <w:pageBreakBefore w:val="0"/>
        <w:spacing w:before="240" w:after="120"/>
      </w:pPr>
      <w:r>
        <w:rPr>
          <w:rFonts w:ascii="Arial" w:hAnsi="Arial" w:eastAsia="Hiragino Sans GB"/>
          <w:b/>
          <w:color w:val="1F2329"/>
          <w:sz w:val="32"/>
        </w:rPr>
        <w:t>团队简介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队名：[待补充：参赛队名及含义]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队长：[待补充：单位/部门/姓名]，建议职责：项目统筹、产品方向与真实场景定义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队员：[待补充：单位/部门/姓名及分工]，建议覆盖插件研发、Agent 能力、质量评测与试点推广</w:t>
      </w:r>
    </w:p>
    <w:p>
      <w:pPr>
        <w:spacing w:before="0" w:after="120" w:line="324" w:lineRule="auto"/>
        <w:ind w:firstLine="440"/>
      </w:pPr>
      <w:r>
        <w:rPr>
          <w:rFonts w:ascii="Arial" w:hAnsi="Arial" w:eastAsia="Hiragino Sans GB"/>
        </w:rPr>
        <w:t>团队围绕“让需求表达更直观、让 AI 修改更可控”开展协作，以真实产品需求沟通问题为牵引，通过短周期 Demo、真实页面验证、挑战用例与日志复盘持续迭代。</w:t>
      </w:r>
    </w:p>
    <w:p>
      <w:pPr>
        <w:pStyle w:val="Heading1"/>
        <w:keepNext/>
        <w:keepLines/>
        <w:pageBreakBefore w:val="0"/>
        <w:spacing w:before="240" w:after="120"/>
      </w:pPr>
      <w:r>
        <w:rPr>
          <w:rFonts w:ascii="Arial" w:hAnsi="Arial" w:eastAsia="Hiragino Sans GB"/>
          <w:b/>
          <w:color w:val="1F2329"/>
          <w:sz w:val="32"/>
        </w:rPr>
        <w:t>项目背景、目的与意义</w:t>
      </w:r>
    </w:p>
    <w:p>
      <w:pPr>
        <w:pStyle w:val="Heading2"/>
        <w:keepNext/>
        <w:keepLines/>
        <w:pageBreakBefore w:val="0"/>
        <w:spacing w:before="160" w:after="80"/>
      </w:pPr>
      <w:r>
        <w:rPr>
          <w:rFonts w:ascii="Arial" w:hAnsi="Arial" w:eastAsia="Hiragino Sans GB"/>
          <w:b/>
          <w:color w:val="1677FF"/>
          <w:sz w:val="26"/>
        </w:rPr>
        <w:t>业务背景与痛点</w:t>
      </w:r>
    </w:p>
    <w:p>
      <w:pPr>
        <w:spacing w:before="0" w:after="120" w:line="324" w:lineRule="auto"/>
        <w:ind w:firstLine="440"/>
      </w:pPr>
      <w:r>
        <w:rPr>
          <w:rFonts w:ascii="Arial" w:hAnsi="Arial" w:eastAsia="Hiragino Sans GB"/>
        </w:rPr>
        <w:t>在 PC 端产品需求编写中，产品经理经常通过原型、截图和文字说明页面调整。涉及控件相对位置、组件样式、弹层状态或复杂布局时，纯文字容易产生理解偏差；制作高保真原型又需要设计和搭建成本。尤其在缺少设计师或业务页面只能在隔离电脑访问时，需求传递链路更长。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痛点一：简单 UI 调整也要从空白原型重新搭建，工具切换和重复劳动成本高。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痛点二：“放在右侧”“样式一致”“在页面底部新增模块”等描述缺少真实页面结构和空间参照，研发理解容易偏差。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痛点三：直接修改运行时 DOM 容易受 React/Vue 重渲染影响；把整页 DOM 反复发送给模型，又会带来高 Token、高时延和复杂场景稳定性问题。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痛点四：开放式 Agent 若拥有脚本、网络或任意文件权限，会引入接口调用、数据泄露和页面破坏风险；若按案例逐条补规则，能力又难以泛化。</w:t>
      </w:r>
    </w:p>
    <w:p>
      <w:pPr>
        <w:pStyle w:val="Heading2"/>
        <w:keepNext/>
        <w:keepLines/>
        <w:pageBreakBefore w:val="0"/>
        <w:spacing w:before="160" w:after="80"/>
      </w:pPr>
      <w:r>
        <w:rPr>
          <w:rFonts w:ascii="Arial" w:hAnsi="Arial" w:eastAsia="Hiragino Sans GB"/>
          <w:b/>
          <w:color w:val="1677FF"/>
          <w:sz w:val="26"/>
        </w:rPr>
        <w:t>项目目标</w:t>
      </w:r>
    </w:p>
    <w:p>
      <w:pPr>
        <w:spacing w:before="0" w:after="120" w:line="324" w:lineRule="auto"/>
        <w:ind w:firstLine="440"/>
      </w:pPr>
      <w:r>
        <w:rPr>
          <w:rFonts w:ascii="Arial" w:hAnsi="Arial" w:eastAsia="Hiragino Sans GB"/>
        </w:rPr>
        <w:t>项目希望把“制作原型”简化为“在真实页面副本上描述修改”：产品经理进入静态副本，选择目标区域，输入自然语言，几分钟内得到可查看、可继续修改、可撤销并可截图的 UI 示意。研发通过前后对比图快速理解位置、内容、样式和展示状态。</w:t>
      </w:r>
    </w:p>
    <w:p>
      <w:pPr>
        <w:spacing w:before="0" w:after="120" w:line="324" w:lineRule="auto"/>
        <w:ind w:firstLine="440"/>
      </w:pPr>
      <w:r>
        <w:rPr>
          <w:rFonts w:ascii="Arial" w:hAnsi="Arial" w:eastAsia="Hiragino Sans GB"/>
        </w:rPr>
        <w:t>项目采用“原页面只读、静态副本编辑、Agent 受控用工具”的边界。插件负责捕获和安全裁剪页面，Agent 负责理解目标并修改隔离工作区中的 HTML/CSS，服务端负责校验、版本管理和预览；模型没有 Shell、任意网络、浏览器或其他目录访问能力。</w:t>
      </w:r>
    </w:p>
    <w:p>
      <w:pPr>
        <w:keepNext/>
        <w:spacing w:before="120" w:after="60"/>
        <w:jc w:val="center"/>
      </w:pPr>
      <w:r>
        <w:rPr>
          <w:rFonts w:eastAsia="Hiragino Sans GB" w:ascii="Arial" w:hAnsi="Arial"/>
        </w:rPr>
        <w:drawing>
          <wp:inline xmlns:a="http://schemas.openxmlformats.org/drawingml/2006/main">
            <wp:extent cx="4983480" cy="2420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420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Arial" w:hAnsi="Arial" w:eastAsia="Hiragino Sans GB"/>
        </w:rPr>
        <w:t>【图片占位】图 1：传统需求沟通流程与 UI 需求示意助手流程对比</w:t>
      </w:r>
    </w:p>
    <w:p>
      <w:pPr>
        <w:pStyle w:val="Heading1"/>
        <w:keepNext/>
        <w:keepLines/>
        <w:pageBreakBefore w:val="0"/>
        <w:spacing w:before="240" w:after="120"/>
      </w:pPr>
      <w:r>
        <w:rPr>
          <w:rFonts w:ascii="Arial" w:hAnsi="Arial" w:eastAsia="Hiragino Sans GB"/>
          <w:b/>
          <w:color w:val="1F2329"/>
          <w:sz w:val="32"/>
        </w:rPr>
        <w:t>价值分析</w:t>
      </w:r>
    </w:p>
    <w:p>
      <w:pPr>
        <w:pStyle w:val="Heading2"/>
        <w:keepNext/>
        <w:keepLines/>
        <w:pageBreakBefore w:val="0"/>
        <w:spacing w:before="160" w:after="80"/>
      </w:pPr>
      <w:r>
        <w:rPr>
          <w:rFonts w:ascii="Arial" w:hAnsi="Arial" w:eastAsia="Hiragino Sans GB"/>
          <w:b/>
          <w:color w:val="1677FF"/>
          <w:sz w:val="26"/>
        </w:rPr>
        <w:t>效率与协同价值</w:t>
      </w:r>
    </w:p>
    <w:p>
      <w:pPr>
        <w:spacing w:before="0" w:after="120" w:line="324" w:lineRule="auto"/>
        <w:ind w:firstLine="440"/>
      </w:pPr>
      <w:r>
        <w:rPr>
          <w:rFonts w:ascii="Arial" w:hAnsi="Arial" w:eastAsia="Hiragino Sans GB"/>
        </w:rPr>
        <w:t>项目直接作用于需求形成与研发对齐环节。产品经理无需从空白原型开始搭建，而是在真实页面视觉基础上完成改动。静态副本既保留当前页面的布局、样式和弹窗状态，又切断脚本、接口和业务提交能力；跨电脑快照包还可支持“业务页面在 B 电脑、Agent 在 A 电脑”的受控协作。</w:t>
      </w:r>
    </w:p>
    <w:p>
      <w:pPr>
        <w:pStyle w:val="Heading2"/>
        <w:keepNext/>
        <w:keepLines/>
        <w:pageBreakBefore w:val="0"/>
        <w:spacing w:before="160" w:after="80"/>
      </w:pPr>
      <w:r>
        <w:rPr>
          <w:rFonts w:ascii="Arial" w:hAnsi="Arial" w:eastAsia="Hiragino Sans GB"/>
          <w:b/>
          <w:color w:val="1677FF"/>
          <w:sz w:val="26"/>
        </w:rPr>
        <w:t>当前可验证成果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</w:tblPr>
      <w:tblGrid>
        <w:gridCol w:w="1750"/>
        <w:gridCol w:w="1900"/>
        <w:gridCol w:w="4650"/>
      </w:tblGrid>
      <w:tr>
        <w:trPr>
          <w:tblHeader w:val="true"/>
        </w:trPr>
        <w:tc>
          <w:tcPr>
            <w:tcW w:type="dxa" w:w="175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 w:eastAsia="Hiragino Sans GB"/>
                <w:b/>
                <w:color w:val="1F2329"/>
                <w:sz w:val="20"/>
              </w:rPr>
              <w:t>验证维度</w:t>
            </w:r>
          </w:p>
        </w:tc>
        <w:tc>
          <w:tcPr>
            <w:tcW w:type="dxa" w:w="190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 w:eastAsia="Hiragino Sans GB"/>
                <w:b/>
                <w:color w:val="1F2329"/>
                <w:sz w:val="20"/>
              </w:rPr>
              <w:t>当前结果</w:t>
            </w:r>
          </w:p>
        </w:tc>
        <w:tc>
          <w:tcPr>
            <w:tcW w:type="dxa" w:w="465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" w:hAnsi="Arial" w:eastAsia="Hiragino Sans GB"/>
                <w:b/>
                <w:color w:val="1F2329"/>
                <w:sz w:val="20"/>
              </w:rPr>
              <w:t>说明</w:t>
            </w:r>
          </w:p>
        </w:tc>
      </w:tr>
      <w:tr>
        <w:tc>
          <w:tcPr>
            <w:tcW w:type="dxa" w:w="17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Hiragino Sans GB"/>
              </w:rPr>
              <w:t>固定场景回归</w:t>
            </w:r>
          </w:p>
        </w:tc>
        <w:tc>
          <w:tcPr>
            <w:tcW w:type="dxa" w:w="1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Hiragino Sans GB"/>
              </w:rPr>
              <w:t>A 组 20/20 通过</w:t>
            </w:r>
          </w:p>
        </w:tc>
        <w:tc>
          <w:tcPr>
            <w:tcW w:type="dxa" w:w="46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Hiragino Sans GB"/>
              </w:rPr>
              <w:t>覆盖添加、修改、删除、多轮指代、状态展示与安全阻断</w:t>
            </w:r>
          </w:p>
        </w:tc>
      </w:tr>
      <w:tr>
        <w:tc>
          <w:tcPr>
            <w:tcW w:type="dxa" w:w="17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Hiragino Sans GB"/>
              </w:rPr>
              <w:t>工程稳定性回归</w:t>
            </w:r>
          </w:p>
        </w:tc>
        <w:tc>
          <w:tcPr>
            <w:tcW w:type="dxa" w:w="1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Hiragino Sans GB"/>
              </w:rPr>
              <w:t>B 组 12/12 通过</w:t>
            </w:r>
          </w:p>
        </w:tc>
        <w:tc>
          <w:tcPr>
            <w:tcW w:type="dxa" w:w="46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Hiragino Sans GB"/>
              </w:rPr>
              <w:t>覆盖选区切换、撤销重做、事务回滚、截图与标签页隔离</w:t>
            </w:r>
          </w:p>
        </w:tc>
      </w:tr>
      <w:tr>
        <w:tc>
          <w:tcPr>
            <w:tcW w:type="dxa" w:w="17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Hiragino Sans GB"/>
              </w:rPr>
              <w:t>真实页面链路</w:t>
            </w:r>
          </w:p>
        </w:tc>
        <w:tc>
          <w:tcPr>
            <w:tcW w:type="dxa" w:w="1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Hiragino Sans GB"/>
              </w:rPr>
              <w:t>已跑通</w:t>
            </w:r>
          </w:p>
        </w:tc>
        <w:tc>
          <w:tcPr>
            <w:tcW w:type="dxa" w:w="46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Hiragino Sans GB"/>
              </w:rPr>
              <w:t>完成真实业务页快照、源码编辑、弹窗冻结及跨电脑导入验证</w:t>
            </w:r>
          </w:p>
        </w:tc>
      </w:tr>
      <w:tr>
        <w:tc>
          <w:tcPr>
            <w:tcW w:type="dxa" w:w="17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Hiragino Sans GB"/>
              </w:rPr>
              <w:t>自动化质量</w:t>
            </w:r>
          </w:p>
        </w:tc>
        <w:tc>
          <w:tcPr>
            <w:tcW w:type="dxa" w:w="1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Hiragino Sans GB"/>
              </w:rPr>
              <w:t>28 个文件、136 项通过</w:t>
            </w:r>
          </w:p>
        </w:tc>
        <w:tc>
          <w:tcPr>
            <w:tcW w:type="dxa" w:w="46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Hiragino Sans GB"/>
              </w:rPr>
              <w:t>覆盖快照、Workspace、Agent、策略、日志、扩展和评测内核</w:t>
            </w:r>
          </w:p>
        </w:tc>
      </w:tr>
      <w:tr>
        <w:tc>
          <w:tcPr>
            <w:tcW w:type="dxa" w:w="17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Hiragino Sans GB"/>
              </w:rPr>
              <w:t>部署与交付</w:t>
            </w:r>
          </w:p>
        </w:tc>
        <w:tc>
          <w:tcPr>
            <w:tcW w:type="dxa" w:w="1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Hiragino Sans GB"/>
              </w:rPr>
              <w:t>CloudBase 远程版可用</w:t>
            </w:r>
          </w:p>
        </w:tc>
        <w:tc>
          <w:tcPr>
            <w:tcW w:type="dxa" w:w="46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Hiragino Sans GB"/>
              </w:rPr>
              <w:t>其他电脑只安装插件即可连接 HTTPS Agent Service</w:t>
            </w:r>
          </w:p>
        </w:tc>
      </w:tr>
    </w:tbl>
    <w:p>
      <w:pPr>
        <w:pStyle w:val="Heading2"/>
        <w:keepNext/>
        <w:keepLines/>
        <w:pageBreakBefore w:val="0"/>
        <w:spacing w:before="160" w:after="80"/>
      </w:pPr>
      <w:r>
        <w:rPr>
          <w:rFonts w:ascii="Arial" w:hAnsi="Arial" w:eastAsia="Hiragino Sans GB"/>
          <w:b/>
          <w:color w:val="1677FF"/>
          <w:sz w:val="26"/>
        </w:rPr>
        <w:t>后续量化口径</w:t>
      </w:r>
    </w:p>
    <w:p>
      <w:pPr>
        <w:spacing w:before="0" w:after="120" w:line="324" w:lineRule="auto"/>
        <w:ind w:firstLine="440"/>
      </w:pPr>
      <w:r>
        <w:rPr>
          <w:rFonts w:ascii="Arial" w:hAnsi="Arial" w:eastAsia="Hiragino Sans GB"/>
        </w:rPr>
        <w:t>当前成果证明了真实页面冻结、源码编辑、版本回滚、跨电脑迁移和远程服务链路的可行性，尚未形成生产级收益数据。进入内部试点后，建议重点统计：单个 UI 需求从描述到可评审示意的耗时、产品与研发确认轮次、因理解偏差产生的返工次数、研发一次理解率和 Agent 首次完成率。</w:t>
      </w:r>
    </w:p>
    <w:p>
      <w:pPr>
        <w:spacing w:before="100" w:after="160" w:line="312" w:lineRule="auto"/>
        <w:ind w:left="200" w:right="200"/>
        <w:shd w:fill="EEF4FF"/>
        <w:pBdr>
          <w:left w:val="single" w:sz="18" w:space="8" w:color="1677FF"/>
        </w:pBdr>
      </w:pPr>
      <w:r>
        <w:rPr>
          <w:rFonts w:ascii="Arial" w:hAnsi="Arial" w:eastAsia="Hiragino Sans GB"/>
        </w:rPr>
        <w:t>建议试点目标（非当前实测）  选择 1 个低风险、已脱敏的内部系统，连续收集不少于 30 个真实 UI 需求样本，与原有文字或原型方式做同类任务对照；安全策略对脚本、接口和越界文件操作的阻断率保持 100%。</w:t>
      </w:r>
    </w:p>
    <w:p>
      <w:pPr>
        <w:pStyle w:val="Heading1"/>
        <w:keepNext/>
        <w:keepLines/>
        <w:pageBreakBefore/>
        <w:spacing w:before="240" w:after="120"/>
      </w:pPr>
      <w:r>
        <w:rPr>
          <w:rFonts w:ascii="Arial" w:hAnsi="Arial" w:eastAsia="Hiragino Sans GB"/>
          <w:b/>
          <w:color w:val="1F2329"/>
          <w:sz w:val="32"/>
        </w:rPr>
        <w:t>项目方案</w:t>
      </w:r>
    </w:p>
    <w:p>
      <w:pPr>
        <w:pStyle w:val="Heading2"/>
        <w:keepNext/>
        <w:keepLines/>
        <w:pageBreakBefore w:val="0"/>
        <w:spacing w:before="160" w:after="80"/>
      </w:pPr>
      <w:r>
        <w:rPr>
          <w:rFonts w:ascii="Arial" w:hAnsi="Arial" w:eastAsia="Hiragino Sans GB"/>
          <w:b/>
          <w:color w:val="1677FF"/>
          <w:sz w:val="26"/>
        </w:rPr>
        <w:t>总体设计</w:t>
      </w:r>
    </w:p>
    <w:p>
      <w:pPr>
        <w:spacing w:before="0" w:after="120" w:line="324" w:lineRule="auto"/>
        <w:ind w:firstLine="440"/>
      </w:pPr>
      <w:r>
        <w:rPr>
          <w:rFonts w:ascii="Arial" w:hAnsi="Arial" w:eastAsia="Hiragino Sans GB"/>
        </w:rPr>
        <w:t>项目采用“浏览器捕获层—静态源码工作区—通用源码 Agent—受控文件工具—预览与版本层”的闭环架构。原业务页面始终只读；插件冻结当前运行态页面，移除活动能力并生成可维护的 index.html、snapshot.css、outline.json 和 source-map.json。用户在副本选区后，Agent 只按需搜索和读取相关源码，完成修改、校验和提交。</w:t>
      </w:r>
    </w:p>
    <w:p>
      <w:pPr>
        <w:keepNext/>
        <w:spacing w:before="120" w:after="60"/>
        <w:jc w:val="center"/>
      </w:pPr>
      <w:r>
        <w:rPr>
          <w:rFonts w:eastAsia="Hiragino Sans GB" w:ascii="Arial" w:hAnsi="Arial"/>
        </w:rPr>
        <w:drawing>
          <wp:inline xmlns:a="http://schemas.openxmlformats.org/drawingml/2006/main">
            <wp:extent cx="4983480" cy="2420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420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Arial" w:hAnsi="Arial" w:eastAsia="Hiragino Sans GB"/>
        </w:rPr>
        <w:t>【图片占位】图 2：页面快照、隔离工作区、源码 Agent、校验预览与交付闭环</w:t>
      </w:r>
    </w:p>
    <w:p>
      <w:pPr>
        <w:pStyle w:val="Heading2"/>
        <w:keepNext/>
        <w:keepLines/>
        <w:pageBreakBefore w:val="0"/>
        <w:spacing w:before="160" w:after="80"/>
      </w:pPr>
      <w:r>
        <w:rPr>
          <w:rFonts w:ascii="Arial" w:hAnsi="Arial" w:eastAsia="Hiragino Sans GB"/>
          <w:b/>
          <w:color w:val="1677FF"/>
          <w:sz w:val="26"/>
        </w:rPr>
        <w:t>产品方案</w:t>
      </w:r>
    </w:p>
    <w:p>
      <w:pPr>
        <w:pStyle w:val="Heading3"/>
        <w:keepNext/>
        <w:keepLines/>
        <w:pageBreakBefore w:val="0"/>
        <w:spacing w:before="160" w:after="80"/>
      </w:pPr>
      <w:r>
        <w:rPr>
          <w:rFonts w:ascii="Arial" w:hAnsi="Arial" w:eastAsia="Hiragino Sans GB"/>
          <w:b/>
          <w:color w:val="1F2329"/>
          <w:sz w:val="22"/>
        </w:rPr>
        <w:t>核心操作流程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1. 进入：产品经理在普通 HTTP/HTTPS 页面打开插件，确认“进入副本编辑”。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2. 冻结：插件捕获当前已渲染页面、表单值、勾选状态、弹窗和可见样式，移除脚本、事件、接口和外链资源。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3. 预览：Agent Service 将快照编译为独立静态源码工作区，并在新标签页展示安全副本。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4. 定位：用户在副本中选择目标元素或局部容器；选区形成默认空间锚点。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5. 编辑：用户描述需求，Cline 通用源码 Agent 通过搜索、局部读取、样式规则读取、移动、克隆和受控 Patch 修改 HTML/CSS。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6. 校验：服务检查 HTML/CSS、安全策略和新增元素空间范围；未明确全局位置时，新增内容必须围绕选区或最近语义容器定位。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7. 迭代：每次成功修改形成 Revision；用户可继续对话、重新选区、撤销、重做或恢复初始版本。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8. 交付：用户导出当前可视区域截图；受限场景可导出 .ui-snapshot.json，在另一台电脑导入后继续编辑。</w:t>
      </w:r>
    </w:p>
    <w:p>
      <w:pPr>
        <w:pStyle w:val="Heading3"/>
        <w:keepNext/>
        <w:keepLines/>
        <w:pageBreakBefore w:val="0"/>
        <w:spacing w:before="160" w:after="80"/>
      </w:pPr>
      <w:r>
        <w:rPr>
          <w:rFonts w:ascii="Arial" w:hAnsi="Arial" w:eastAsia="Hiragino Sans GB"/>
          <w:b/>
          <w:color w:val="1F2329"/>
          <w:sz w:val="22"/>
        </w:rPr>
        <w:t>功能范围</w:t>
      </w:r>
    </w:p>
    <w:p>
      <w:pPr>
        <w:spacing w:before="0" w:after="120" w:line="324" w:lineRule="auto"/>
        <w:ind w:firstLine="440"/>
      </w:pPr>
      <w:r>
        <w:rPr>
          <w:rFonts w:ascii="Arial" w:hAnsi="Arial" w:eastAsia="Hiragino Sans GB"/>
        </w:rPr>
        <w:t>当前 Demo 支持真实页面快照、副本选区、文案与样式修改、组件新增、结构移动与克隆、静态弹层状态、多轮对话、撤销重做、截图导出和跨电脑快照包。基础组件覆盖按钮、文本、链接、输入框、下拉框、单选、多选、标签、提示条、表格和常见表单布局；新增内容优先复用页面现有结构与样式。</w:t>
      </w:r>
    </w:p>
    <w:p>
      <w:pPr>
        <w:spacing w:before="0" w:after="120" w:line="324" w:lineRule="auto"/>
        <w:ind w:firstLine="440"/>
      </w:pPr>
      <w:r>
        <w:rPr>
          <w:rFonts w:ascii="Arial" w:hAnsi="Arial" w:eastAsia="Hiragino Sans GB"/>
        </w:rPr>
        <w:t>当前明确不包含真实接口调用、业务提交、跨页面流程、原页面 JavaScript、React/Vue 源项目还原、生产代码生成、多人在线协作和改动回写业务代码仓库。Canvas、动画、跨域字体及复杂伪元素仅尽力保留。</w:t>
      </w:r>
    </w:p>
    <w:p>
      <w:pPr>
        <w:pStyle w:val="Heading2"/>
        <w:keepNext/>
        <w:keepLines/>
        <w:pageBreakBefore w:val="0"/>
        <w:spacing w:before="160" w:after="80"/>
      </w:pPr>
      <w:r>
        <w:rPr>
          <w:rFonts w:ascii="Arial" w:hAnsi="Arial" w:eastAsia="Hiragino Sans GB"/>
        </w:rPr>
        <w:t>通用源码 Agent 设计</w:t>
      </w:r>
    </w:p>
    <w:p>
      <w:pPr>
        <w:spacing w:before="0" w:after="120" w:line="324" w:lineRule="auto"/>
        <w:ind w:firstLine="440"/>
      </w:pPr>
      <w:r>
        <w:rPr>
          <w:rFonts w:ascii="Arial" w:hAnsi="Arial" w:eastAsia="Hiragino Sans GB"/>
        </w:rPr>
        <w:t>项目不从零自建 Coding Agent 通用循环，而是通过 Adapter 复用 Cline SDK 的成熟运行能力；模型层接入 DeepSeek，并保留 Legacy Adapter 回退。自研部分聚焦业务边界：当前工作区、选区锚点、允许的工具、提交校验、Revision 与日志协议。这样既复用通用 Agent 的上下文和 Loop 能力，又避免开放 Shell、任意网络和任意文件系统。</w:t>
      </w:r>
    </w:p>
    <w:p>
      <w:pPr>
        <w:pStyle w:val="Heading3"/>
        <w:keepNext/>
        <w:keepLines/>
        <w:pageBreakBefore w:val="0"/>
        <w:spacing w:before="160" w:after="80"/>
      </w:pPr>
      <w:r>
        <w:rPr>
          <w:rFonts w:ascii="Arial" w:hAnsi="Arial" w:eastAsia="Hiragino Sans GB"/>
        </w:rPr>
        <w:t>源码定位与受控工具</w:t>
      </w:r>
    </w:p>
    <w:p>
      <w:pPr>
        <w:spacing w:before="0" w:after="120" w:line="324" w:lineRule="auto"/>
        <w:ind w:firstLine="440"/>
      </w:pPr>
      <w:r>
        <w:rPr>
          <w:rFonts w:ascii="Arial" w:hAnsi="Arial" w:eastAsia="Hiragino Sans GB"/>
        </w:rPr>
        <w:t>Agent 先通过 outline、元素检索和 sourceId 定位结构，再使用 read_style_rule、move_element、clone_element、replace_text 或受控 apply_patch 完成修改。工具只允许访问当前 Workspace 的 index.html 与 snapshot.css；修改通过 HTML/CSS 和安全校验后才形成 Revision。</w:t>
      </w:r>
    </w:p>
    <w:p>
      <w:pPr>
        <w:pStyle w:val="Heading3"/>
        <w:keepNext/>
        <w:keepLines/>
        <w:pageBreakBefore w:val="0"/>
        <w:spacing w:before="160" w:after="80"/>
      </w:pPr>
      <w:r>
        <w:rPr>
          <w:rFonts w:ascii="Arial" w:hAnsi="Arial" w:eastAsia="Hiragino Sans GB"/>
        </w:rPr>
        <w:t>渐进式上下文与收敛机制</w:t>
      </w:r>
    </w:p>
    <w:p>
      <w:pPr>
        <w:spacing w:before="0" w:after="120" w:line="324" w:lineRule="auto"/>
        <w:ind w:firstLine="440"/>
      </w:pPr>
      <w:r>
        <w:rPr>
          <w:rFonts w:ascii="Arial" w:hAnsi="Arial" w:eastAsia="Hiragino Sans GB"/>
        </w:rPr>
        <w:t>模型不再接收整页 DOM，而是按需读取结构摘要、搜索结果、局部源码和完整样式规则。单轮默认最多 45 次迭代，最后 3 轮停止扩展读取，强制转入校验、完成或澄清，避免“已改完但未结束”的无效循环。撤销后，对应旧 Revision 的对话不会继续进入下一轮上下文。</w:t>
      </w:r>
    </w:p>
    <w:p>
      <w:pPr>
        <w:pStyle w:val="Heading2"/>
        <w:keepNext/>
        <w:keepLines/>
        <w:pageBreakBefore w:val="0"/>
        <w:spacing w:before="160" w:after="80"/>
      </w:pPr>
      <w:r>
        <w:rPr>
          <w:rFonts w:ascii="Arial" w:hAnsi="Arial" w:eastAsia="Hiragino Sans GB"/>
          <w:b/>
          <w:color w:val="1677FF"/>
          <w:sz w:val="26"/>
        </w:rPr>
        <w:t>技术架构</w:t>
      </w:r>
    </w:p>
    <w:p>
      <w:pPr>
        <w:keepNext/>
        <w:spacing w:before="120" w:after="60"/>
        <w:jc w:val="center"/>
      </w:pPr>
      <w:r>
        <w:rPr>
          <w:rFonts w:eastAsia="Hiragino Sans GB" w:ascii="Arial" w:hAnsi="Arial"/>
        </w:rPr>
        <w:drawing>
          <wp:inline xmlns:a="http://schemas.openxmlformats.org/drawingml/2006/main">
            <wp:extent cx="4983480" cy="24205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420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Arial" w:hAnsi="Arial" w:eastAsia="Hiragino Sans GB"/>
        </w:rPr>
        <w:t>【图片占位】图 3：分层技术架构——Chrome 插件、快照编译、工作区、Cline Agent、受控工具、预览与日志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插件交互层：WXT + React 构建 Chrome MV3 Side Panel，负责进入副本、选区、对话、进度、撤销重做、快照迁移和截图。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快照与编译层：冻结运行态页面，清理脚本和外链资源，格式化 HTML、去重 CSS，并生成 Outline 与 Source Map。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Agent Service：Hono 提供 HTTP 服务和静态预览；Vercel AI SDK 适配 DeepSeek；Coding Agent Adapter 接入 Cline。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源码编辑层：通用 Agent 通过能力受限的搜索、读取、样式、移动、克隆、Patch、校验和完成工具工作。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工作区与安全层：Workspace Manager 管理文件、Revision、撤销重做、CSP、尺寸限制、路径隔离和安全校验。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可观测与评测层：JSONL 日志记录请求、步骤、工具结果、模型/工具次数和耗时；Vitest 与挑战用例保障回归质量。</w:t>
      </w:r>
    </w:p>
    <w:p>
      <w:pPr>
        <w:pStyle w:val="Heading2"/>
        <w:keepNext/>
        <w:keepLines/>
        <w:pageBreakBefore w:val="0"/>
        <w:spacing w:before="160" w:after="80"/>
      </w:pPr>
      <w:r>
        <w:rPr>
          <w:rFonts w:ascii="Arial" w:hAnsi="Arial" w:eastAsia="Hiragino Sans GB"/>
          <w:b/>
          <w:color w:val="1677FF"/>
          <w:sz w:val="26"/>
        </w:rPr>
        <w:t>开源复用策略</w:t>
      </w:r>
    </w:p>
    <w:p>
      <w:pPr>
        <w:spacing w:before="0" w:after="120" w:line="324" w:lineRule="auto"/>
        <w:ind w:firstLine="440"/>
      </w:pPr>
      <w:r>
        <w:rPr>
          <w:rFonts w:ascii="Arial" w:hAnsi="Arial" w:eastAsia="Hiragino Sans GB"/>
        </w:rPr>
        <w:t>项目遵循“成熟开源通用层 + 自研安全业务层”。直接复用 WXT、React、Hono、Vercel AI SDK、Zod、Vitest 和 Cline SDK，减少浏览器工程、模型适配、Agent Loop、协议校验和测试框架的重复建设；同时参考 PageAgent 的页面理解思路。</w:t>
      </w:r>
    </w:p>
    <w:p>
      <w:pPr>
        <w:spacing w:before="0" w:after="120" w:line="324" w:lineRule="auto"/>
        <w:ind w:firstLine="440"/>
      </w:pPr>
      <w:r>
        <w:rPr>
          <w:rFonts w:ascii="Arial" w:hAnsi="Arial" w:eastAsia="Hiragino Sans GB"/>
        </w:rPr>
        <w:t>必须自研的差异化内核包括：运行态快照冻结与安全裁剪、Source Map、静态工作区协议、选区空间锚点、受控源码工具、Revision 对话绑定、跨电脑快照包、CSP 预览和结果校验。这些能力直接决定数据与页面安全边界。</w:t>
      </w:r>
    </w:p>
    <w:p>
      <w:pPr>
        <w:pStyle w:val="Heading2"/>
        <w:keepNext/>
        <w:keepLines/>
        <w:pageBreakBefore w:val="0"/>
        <w:spacing w:before="160" w:after="80"/>
      </w:pPr>
      <w:r>
        <w:rPr>
          <w:rFonts w:ascii="Arial" w:hAnsi="Arial" w:eastAsia="Hiragino Sans GB"/>
          <w:b/>
          <w:color w:val="1677FF"/>
          <w:sz w:val="26"/>
        </w:rPr>
        <w:t>安全设计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最小授权：插件采用 activeTab 临时权限，不申请 &lt;all_urls&gt; 长期权限，仅处理用户主动打开的普通 HTTP/HTTPS 页面。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主动去能力：捕获阶段移除 script、iframe、on* 事件、表单 action、远程导航和外链资源；快照包不包含 Cookie、Local Storage 或 Session Storage。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工作区隔离：Agent 只能访问当前 Workspace 的两个源码文件，不开放 Shell、任意浏览器、任意网络请求或其他目录。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预览隔离：副本通过 CSP 禁止脚本、接口、表单提交和页面导航，确保示意页不能转化为真实业务操作工具。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版本与恢复：每次成功 Turn 形成 Revision；失败不提交，撤销后同步截断无效对话分支，避免已回滚内容污染后续上下文。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可追溯：日志关联用户指令、Agent 步骤、工具结果、校验、Revision、调用次数和耗时，并对密钥、Token、Cookie 等字段脱敏。</w:t>
      </w:r>
    </w:p>
    <w:p>
      <w:pPr>
        <w:pStyle w:val="Heading2"/>
        <w:keepNext/>
        <w:keepLines/>
        <w:pageBreakBefore w:val="0"/>
        <w:spacing w:before="160" w:after="80"/>
      </w:pPr>
      <w:r>
        <w:rPr>
          <w:rFonts w:ascii="Arial" w:hAnsi="Arial" w:eastAsia="Hiragino Sans GB"/>
          <w:b/>
          <w:color w:val="1677FF"/>
          <w:sz w:val="26"/>
        </w:rPr>
        <w:t>关键难点与通用解法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从运行时 DOM 到可维护源码：浏览器页面适合展示，却不适合 Coding Agent 反复修改。项目将其编译为格式化 HTML、去重 CSS、Outline 与 Source Map，使复杂任务能通过搜索和局部 Patch 完成。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快照还原不只是复制 HTML：通过固定原始视口画布、居中展示、计算样式冻结、伪元素保留、格式化空白处理、字体栈归一和单行文本保护，提高跨电脑导入后的视觉一致性。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位置不能只靠自然语言猜测：用户明确“页面顶部/底部/固定位置”时允许全局定位；未明确时以选中元素或最近语义祖先为锚点，并通过 validate_spatial_scope 阻止新增模块落到错误容器。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复杂任务需要可收敛的 Loop：把工具调用上限提升到适合源码编辑的范围，同时设置末轮收敛区，强制 Agent 在完成、校验和澄清之间做出选择。</w:t>
      </w:r>
    </w:p>
    <w:p>
      <w:pPr>
        <w:keepLines/>
        <w:spacing w:before="40" w:after="100" w:line="312" w:lineRule="auto"/>
      </w:pPr>
      <w:r>
        <w:rPr>
          <w:rFonts w:ascii="Arial" w:hAnsi="Arial" w:eastAsia="Hiragino Sans GB"/>
        </w:rPr>
        <w:t>能力提升不逐题特判：以固定回归、复杂挑战和真实页面日志分别验证功能、泛化与工程稳定性，问题按快照、定位、工具、Agent、校验和预览分层归因。</w:t>
      </w:r>
    </w:p>
    <w:p>
      <w:pPr>
        <w:pStyle w:val="Heading1"/>
        <w:keepNext/>
        <w:keepLines/>
        <w:pageBreakBefore/>
        <w:spacing w:before="240" w:after="120"/>
      </w:pPr>
      <w:r>
        <w:rPr>
          <w:rFonts w:ascii="Arial" w:hAnsi="Arial" w:eastAsia="Hiragino Sans GB"/>
          <w:b/>
          <w:color w:val="1F2329"/>
          <w:sz w:val="32"/>
        </w:rPr>
        <w:t>发展规划</w:t>
      </w:r>
    </w:p>
    <w:p>
      <w:pPr>
        <w:pStyle w:val="Heading2"/>
        <w:keepNext/>
        <w:keepLines/>
        <w:pageBreakBefore w:val="0"/>
        <w:spacing w:before="160" w:after="80"/>
      </w:pPr>
      <w:r>
        <w:rPr>
          <w:rFonts w:ascii="Arial" w:hAnsi="Arial" w:eastAsia="Hiragino Sans GB"/>
        </w:rPr>
        <w:t>第一阶段：直接 DOM Demo（已完成）</w:t>
      </w:r>
    </w:p>
    <w:p>
      <w:pPr>
        <w:spacing w:before="0" w:after="120" w:line="324" w:lineRule="auto"/>
        <w:ind w:firstLine="440"/>
      </w:pPr>
      <w:r>
        <w:rPr>
          <w:rFonts w:ascii="Arial" w:hAnsi="Arial" w:eastAsia="Hiragino Sans GB"/>
        </w:rPr>
        <w:t>完成选区、基础组件编辑、多轮会话、删除确认、撤销重做、截图、A/B 回归和 C 组挑战集，验证自然语言生成 UI 示意的核心价值。</w:t>
      </w:r>
    </w:p>
    <w:p>
      <w:pPr>
        <w:pStyle w:val="Heading2"/>
        <w:keepNext/>
        <w:keepLines/>
        <w:pageBreakBefore w:val="0"/>
        <w:spacing w:before="160" w:after="80"/>
      </w:pPr>
      <w:r>
        <w:rPr>
          <w:rFonts w:ascii="Arial" w:hAnsi="Arial" w:eastAsia="Hiragino Sans GB"/>
        </w:rPr>
        <w:t>第二阶段：静态源码副本（已完成）</w:t>
      </w:r>
    </w:p>
    <w:p>
      <w:pPr>
        <w:spacing w:before="0" w:after="120" w:line="324" w:lineRule="auto"/>
        <w:ind w:firstLine="440"/>
      </w:pPr>
      <w:r>
        <w:rPr>
          <w:rFonts w:ascii="Arial" w:hAnsi="Arial" w:eastAsia="Hiragino Sans GB"/>
        </w:rPr>
        <w:t>完成整页快照、安全裁剪、源码工作区、Cline Adapter、Revision、跨电脑导出/导入、真实业务页面还原和 CloudBase 远程部署；当前 136 项自动化测试通过。</w:t>
      </w:r>
    </w:p>
    <w:p>
      <w:pPr>
        <w:pStyle w:val="Heading2"/>
        <w:keepNext/>
        <w:keepLines/>
        <w:pageBreakBefore w:val="0"/>
        <w:spacing w:before="160" w:after="80"/>
      </w:pPr>
      <w:r>
        <w:rPr>
          <w:rFonts w:ascii="Arial" w:hAnsi="Arial" w:eastAsia="Hiragino Sans GB"/>
        </w:rPr>
        <w:t>第三阶段：内部试点与量化评估</w:t>
      </w:r>
    </w:p>
    <w:p>
      <w:pPr>
        <w:spacing w:before="0" w:after="120" w:line="324" w:lineRule="auto"/>
        <w:ind w:firstLine="440"/>
      </w:pPr>
      <w:r>
        <w:rPr>
          <w:rFonts w:ascii="Arial" w:hAnsi="Arial" w:eastAsia="Hiragino Sans GB"/>
        </w:rPr>
        <w:t>选择低风险、已脱敏的内部系统，收集真实产品经理任务，量化制作耗时、沟通轮次、首次完成率和研发理解一致率；同步完善鉴权、持久化、工作区隔离、自动清理与日志权限。</w:t>
      </w:r>
    </w:p>
    <w:p>
      <w:pPr>
        <w:pStyle w:val="Heading2"/>
        <w:keepNext/>
        <w:keepLines/>
        <w:pageBreakBefore w:val="0"/>
        <w:spacing w:before="160" w:after="80"/>
      </w:pPr>
      <w:r>
        <w:rPr>
          <w:rFonts w:ascii="Arial" w:hAnsi="Arial" w:eastAsia="Hiragino Sans GB"/>
        </w:rPr>
        <w:t>第四阶段：标准化交付探索</w:t>
      </w:r>
    </w:p>
    <w:p>
      <w:pPr>
        <w:spacing w:before="0" w:after="120" w:line="324" w:lineRule="auto"/>
        <w:ind w:firstLine="440"/>
      </w:pPr>
      <w:r>
        <w:rPr>
          <w:rFonts w:ascii="Arial" w:hAnsi="Arial" w:eastAsia="Hiragino Sans GB"/>
        </w:rPr>
        <w:t>在试点证明价值后，探索输出截图、结构化变更说明与可重放快照包，并与需求管理或研发评审流程连接；生产代码生成与真实业务操作继续保持独立评估。</w:t>
      </w:r>
    </w:p>
    <w:p>
      <w:pPr>
        <w:pStyle w:val="Heading1"/>
        <w:keepNext/>
        <w:keepLines/>
        <w:pageBreakBefore/>
        <w:spacing w:before="240" w:after="120"/>
      </w:pPr>
      <w:r>
        <w:rPr>
          <w:rFonts w:ascii="Arial" w:hAnsi="Arial" w:eastAsia="Hiragino Sans GB"/>
          <w:b/>
          <w:color w:val="1F2329"/>
          <w:sz w:val="32"/>
        </w:rPr>
        <w:t>成果展示</w:t>
      </w:r>
    </w:p>
    <w:p>
      <w:pPr>
        <w:spacing w:before="0" w:after="120" w:line="324" w:lineRule="auto"/>
        <w:ind w:firstLine="440"/>
      </w:pPr>
      <w:r>
        <w:rPr>
          <w:rFonts w:ascii="Arial" w:hAnsi="Arial" w:eastAsia="Hiragino Sans GB"/>
        </w:rPr>
        <w:t>以下位置用于初赛截图展示。建议统一浏览器分辨率与缩放比例，并用短标题突出“原页面—用户指令—副本结果—可追溯日志”的对应关系。</w:t>
      </w:r>
    </w:p>
    <w:p>
      <w:pPr>
        <w:keepNext/>
        <w:spacing w:before="120" w:after="60"/>
        <w:jc w:val="center"/>
      </w:pPr>
      <w:r>
        <w:rPr>
          <w:rFonts w:eastAsia="Hiragino Sans GB" w:ascii="Arial" w:hAnsi="Arial"/>
        </w:rPr>
        <w:drawing>
          <wp:inline xmlns:a="http://schemas.openxmlformats.org/drawingml/2006/main">
            <wp:extent cx="4983480" cy="24205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420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Arial" w:hAnsi="Arial" w:eastAsia="Hiragino Sans GB"/>
        </w:rPr>
        <w:t>【图片占位】图 4：插件 Side Panel 与“进入副本编辑”流程</w:t>
      </w:r>
    </w:p>
    <w:p>
      <w:pPr>
        <w:spacing w:before="0" w:after="120" w:line="324" w:lineRule="auto"/>
        <w:ind w:firstLine="440"/>
      </w:pPr>
      <w:r>
        <w:rPr>
          <w:rFonts w:ascii="Arial" w:hAnsi="Arial" w:eastAsia="Hiragino Sans GB"/>
        </w:rPr>
        <w:t>说明建议：用户从真实业务页面一键进入隔离副本，不需要手工 Ctrl+S，也不会修改原页面。</w:t>
      </w:r>
    </w:p>
    <w:p>
      <w:pPr>
        <w:keepNext/>
        <w:spacing w:before="120" w:after="60"/>
        <w:jc w:val="center"/>
      </w:pPr>
      <w:r>
        <w:rPr>
          <w:rFonts w:eastAsia="Hiragino Sans GB" w:ascii="Arial" w:hAnsi="Arial"/>
        </w:rPr>
        <w:drawing>
          <wp:inline xmlns:a="http://schemas.openxmlformats.org/drawingml/2006/main">
            <wp:extent cx="4983480" cy="24205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420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Arial" w:hAnsi="Arial" w:eastAsia="Hiragino Sans GB"/>
        </w:rPr>
        <w:t>【图片占位】图 5：跨电脑快照还原——B 电脑原页面与 A 电脑导入副本对比</w:t>
      </w:r>
    </w:p>
    <w:p>
      <w:pPr>
        <w:spacing w:before="0" w:after="120" w:line="324" w:lineRule="auto"/>
        <w:ind w:firstLine="440"/>
      </w:pPr>
      <w:r>
        <w:rPr>
          <w:rFonts w:ascii="Arial" w:hAnsi="Arial" w:eastAsia="Hiragino Sans GB"/>
        </w:rPr>
        <w:t>说明建议：展示弹窗、布局、样式与当前表单状态的冻结效果，并注明快照不携带 Cookie、脚本和接口。</w:t>
      </w:r>
    </w:p>
    <w:p>
      <w:pPr>
        <w:keepNext/>
        <w:spacing w:before="120" w:after="60"/>
        <w:jc w:val="center"/>
      </w:pPr>
      <w:r>
        <w:rPr>
          <w:rFonts w:eastAsia="Hiragino Sans GB" w:ascii="Arial" w:hAnsi="Arial"/>
        </w:rPr>
        <w:drawing>
          <wp:inline xmlns:a="http://schemas.openxmlformats.org/drawingml/2006/main">
            <wp:extent cx="4983480" cy="24205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420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Arial" w:hAnsi="Arial" w:eastAsia="Hiragino Sans GB"/>
        </w:rPr>
        <w:t>【图片占位】图 6：复杂需求前后对比——围绕选区新增模块并保持原页面视觉</w:t>
      </w:r>
    </w:p>
    <w:p>
      <w:pPr>
        <w:spacing w:before="0" w:after="120" w:line="324" w:lineRule="auto"/>
        <w:ind w:firstLine="440"/>
      </w:pPr>
      <w:r>
        <w:rPr>
          <w:rFonts w:ascii="Arial" w:hAnsi="Arial" w:eastAsia="Hiragino Sans GB"/>
        </w:rPr>
        <w:t>说明建议：展示选区锚点、自然语言指令、Agent 修改后的 HTML/CSS 结果，以及撤销重做后的 Revision。</w:t>
      </w:r>
    </w:p>
    <w:p>
      <w:pPr>
        <w:keepNext/>
        <w:spacing w:before="120" w:after="60"/>
        <w:jc w:val="center"/>
      </w:pPr>
      <w:r>
        <w:rPr>
          <w:rFonts w:eastAsia="Hiragino Sans GB" w:ascii="Arial" w:hAnsi="Arial"/>
        </w:rPr>
        <w:drawing>
          <wp:inline xmlns:a="http://schemas.openxmlformats.org/drawingml/2006/main">
            <wp:extent cx="4983480" cy="24205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420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rFonts w:ascii="Arial" w:hAnsi="Arial" w:eastAsia="Hiragino Sans GB"/>
        </w:rPr>
        <w:t>【图片占位】图 7：Agent 实时进度与日志页——定位、读取、Patch、校验、提交及耗时</w:t>
      </w:r>
    </w:p>
    <w:p>
      <w:pPr>
        <w:spacing w:before="0" w:after="120" w:line="324" w:lineRule="auto"/>
        <w:ind w:firstLine="440"/>
      </w:pPr>
      <w:r>
        <w:rPr>
          <w:rFonts w:ascii="Arial" w:hAnsi="Arial" w:eastAsia="Hiragino Sans GB"/>
        </w:rPr>
        <w:t>说明建议：突出通用 Agent 的过程可见、工具受控、错误可定位，以及本地/CloudBase 两种服务模式。</w:t>
      </w:r>
    </w:p>
    <w:p>
      <w:pPr>
        <w:pStyle w:val="Heading1"/>
        <w:keepNext/>
        <w:keepLines/>
        <w:pageBreakBefore w:val="0"/>
        <w:spacing w:before="240" w:after="120"/>
      </w:pPr>
      <w:r>
        <w:rPr>
          <w:rFonts w:ascii="Arial" w:hAnsi="Arial" w:eastAsia="Hiragino Sans GB"/>
          <w:b/>
          <w:color w:val="1F2329"/>
          <w:sz w:val="32"/>
        </w:rPr>
        <w:t>核心创新与竞争优势</w:t>
      </w:r>
    </w:p>
    <w:p>
      <w:pPr>
        <w:pStyle w:val="Heading2"/>
        <w:keepNext/>
        <w:keepLines/>
        <w:pageBreakBefore w:val="0"/>
        <w:spacing w:before="160" w:after="80"/>
      </w:pPr>
      <w:r>
        <w:rPr>
          <w:rFonts w:ascii="Arial" w:hAnsi="Arial" w:eastAsia="Hiragino Sans GB"/>
        </w:rPr>
        <w:t>从“修改运行时 DOM”升级为“编辑隔离静态源码”</w:t>
      </w:r>
    </w:p>
    <w:p>
      <w:pPr>
        <w:spacing w:before="0" w:after="120" w:line="324" w:lineRule="auto"/>
        <w:ind w:firstLine="440"/>
      </w:pPr>
      <w:r>
        <w:rPr>
          <w:rFonts w:ascii="Arial" w:hAnsi="Arial" w:eastAsia="Hiragino Sans GB"/>
        </w:rPr>
        <w:t>静态副本把真实页面视觉转化为 Coding Agent 熟悉的 HTML/CSS 工程问题，刷新后仍可保留修改，复杂布局可通过搜索和 Patch 逐步完成；同时原业务页面始终只读。</w:t>
      </w:r>
    </w:p>
    <w:p>
      <w:pPr>
        <w:pStyle w:val="Heading2"/>
        <w:keepNext/>
        <w:keepLines/>
        <w:pageBreakBefore w:val="0"/>
        <w:spacing w:before="160" w:after="80"/>
      </w:pPr>
      <w:r>
        <w:rPr>
          <w:rFonts w:ascii="Arial" w:hAnsi="Arial" w:eastAsia="Hiragino Sans GB"/>
        </w:rPr>
        <w:t>通用 Coding Agent 与安全边界解耦</w:t>
      </w:r>
    </w:p>
    <w:p>
      <w:pPr>
        <w:spacing w:before="0" w:after="120" w:line="324" w:lineRule="auto"/>
        <w:ind w:firstLine="440"/>
      </w:pPr>
      <w:r>
        <w:rPr>
          <w:rFonts w:ascii="Arial" w:hAnsi="Arial" w:eastAsia="Hiragino Sans GB"/>
        </w:rPr>
        <w:t>项目复用 Cline 的通用 Loop 和上下文能力，但仅暴露当前工作区内的受控工具。Agent 能力可持续升级，页面数据、文件范围和提交规则仍由项目确定性控制。</w:t>
      </w:r>
    </w:p>
    <w:p>
      <w:pPr>
        <w:pStyle w:val="Heading2"/>
        <w:keepNext/>
        <w:keepLines/>
        <w:pageBreakBefore w:val="0"/>
        <w:spacing w:before="160" w:after="80"/>
      </w:pPr>
      <w:r>
        <w:rPr>
          <w:rFonts w:ascii="Arial" w:hAnsi="Arial" w:eastAsia="Hiragino Sans GB"/>
        </w:rPr>
        <w:t>跨电脑、可部署、可评测的完整工程闭环</w:t>
      </w:r>
    </w:p>
    <w:p>
      <w:pPr>
        <w:spacing w:before="0" w:after="120" w:line="324" w:lineRule="auto"/>
        <w:ind w:firstLine="440"/>
      </w:pPr>
      <w:r>
        <w:rPr>
          <w:rFonts w:ascii="Arial" w:hAnsi="Arial" w:eastAsia="Hiragino Sans GB"/>
        </w:rPr>
        <w:t>快照包解决隔离电脑之间的页面迁移，CloudBase 使其他用户只安装插件即可使用；Revision、日志、136 项自动化测试和挑战用例共同构成可回滚、可追溯、可持续迭代的工程基础。</w:t>
      </w:r>
    </w:p>
    <w:p>
      <w:pPr>
        <w:spacing w:before="100" w:after="160" w:line="312" w:lineRule="auto"/>
        <w:ind w:left="200" w:right="200"/>
        <w:shd w:fill="EEF4FF"/>
        <w:pBdr>
          <w:left w:val="single" w:sz="18" w:space="8" w:color="1677FF"/>
        </w:pBdr>
      </w:pPr>
      <w:r>
        <w:rPr>
          <w:rFonts w:ascii="Arial" w:hAnsi="Arial" w:eastAsia="Hiragino Sans GB"/>
        </w:rPr>
        <w:t>提交前待补充清单  参赛队名、申报单位、队长与队员信息及分工；内部试点范围与真实效率数据；正式产品截图、跨电脑对比图和架构图；如有专利或历史评奖信息一并补充。</w:t>
      </w:r>
    </w:p>
    <w:sectPr>
      <w:headerReference w:type="default" r:id="rId4"/>
      <w:footerReference w:type="default" r:id="rId5"/>
      <w:type w:val="nextPage"/>
      <w:pgSz w:w="11906" w:h="16838"/>
      <w:pgMar w:left="1800" w:right="1800" w:gutter="0" w:header="851" w:top="1440" w:footer="992" w:bottom="1440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Arial"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  <w:font w:name="Wingdings 2">
    <w:charset w:val="00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>
        <w:rFonts w:ascii="Arial" w:hAnsi="Arial" w:eastAsia="Hiragino Sans GB"/>
        <w:color w:val="667085"/>
        <w:sz w:val="1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 w:ascii="Arial" w:hAnsi="Arial" w:eastAsia="Hiragino Sans GB"/>
        <w:color w:val="1F2329"/>
        <w:sz w:val="18"/>
      </w:rPr>
      <w:drawing>
        <wp:inline distT="0" distB="0" distL="0" distR="0">
          <wp:extent cx="177165" cy="171450"/>
          <wp:effectExtent l="0" t="0" r="0" b="0"/>
          <wp:docPr id="1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18" t="-118" r="-118" b="-118"/>
                  <a:stretch>
                    <a:fillRect/>
                  </a:stretch>
                </pic:blipFill>
                <pic:spPr bwMode="auto">
                  <a:xfrm>
                    <a:off x="0" y="0"/>
                    <a:ext cx="177165" cy="171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hint="eastAsia" w:ascii="Arial" w:hAnsi="Arial" w:eastAsia="Hiragino Sans GB"/>
        <w:color w:val="1F2329"/>
        <w:sz w:val="18"/>
      </w:rPr>
      <w:t>第五届创造力大赛</w:t>
    </w:r>
    <w:r>
      <w:rPr>
        <w:rFonts w:hint="eastAsia" w:ascii="Arial" w:hAnsi="Arial" w:eastAsia="Hiragino Sans GB"/>
        <w:color w:val="1F2329"/>
        <w:sz w:val="18"/>
      </w:rPr>
      <w:tab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0"/>
        </w:tabs>
        <w:ind w:start="432" w:hanging="432"/>
      </w:pPr>
      <w:rPr>
        <w:rFonts w:hint="eastAsi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576" w:hanging="576"/>
      </w:pPr>
      <w:rPr>
        <w:rFonts w:hint="eastAsia"/>
      </w:r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>
        <w:rFonts w:hint="eastAsia"/>
        <w:color w:val="000000"/>
      </w:r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864" w:hanging="864"/>
      </w:pPr>
      <w:rPr>
        <w:rFonts w:hint="eastAsia"/>
      </w:r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08" w:hanging="1008"/>
      </w:pPr>
      <w:rPr>
        <w:rFonts w:hint="eastAsia"/>
      </w:r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52" w:hanging="1152"/>
      </w:pPr>
      <w:rPr>
        <w:rFonts w:hint="eastAsia"/>
      </w:r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  <w:rPr>
        <w:rFonts w:hint="eastAsi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25" w:hanging="425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567" w:hanging="567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09" w:hanging="709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850" w:hanging="85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991" w:hanging="991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134" w:hanging="1134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275" w:hanging="1275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418" w:hanging="1418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558" w:hanging="1558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Arial" w:hAnsi="Arial" w:eastAsia="Arial Unicode MS" w:cs="Times New Roman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tabs>
        <w:tab w:val="clear" w:pos="420"/>
        <w:tab w:val="left" w:pos="432" w:leader="none"/>
      </w:tabs>
      <w:spacing w:lineRule="auto" w:line="576" w:before="340" w:after="330"/>
      <w:outlineLvl w:val="0"/>
    </w:pPr>
    <w:rPr>
      <w:rFonts w:ascii="Arial" w:hAnsi="Arial" w:eastAsia="Arial Unicode MS" w:cs="Arial"/>
      <w:b/>
      <w:color w:val="1F2329"/>
      <w:kern w:val="2"/>
      <w:sz w:val="32"/>
      <w:szCs w:val="44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hint="eastAsia"/>
    </w:rPr>
  </w:style>
  <w:style w:type="character" w:styleId="WW8Num2z2">
    <w:name w:val="WW8Num2z2"/>
    <w:qFormat/>
    <w:rPr>
      <w:rFonts w:hint="eastAsia"/>
      <w:color w:val="000000"/>
    </w:rPr>
  </w:style>
  <w:style w:type="character" w:styleId="Style13">
    <w:name w:val="默认段落字体"/>
    <w:qFormat/>
    <w:rPr/>
  </w:style>
  <w:style w:type="character" w:styleId="1">
    <w:name w:val="标题 1 字符"/>
    <w:qFormat/>
    <w:rPr>
      <w:rFonts w:ascii="Arial" w:hAnsi="Arial" w:eastAsia="黑体" w:cs="Arial"/>
      <w:kern w:val="2"/>
      <w:sz w:val="32"/>
      <w:szCs w:val="44"/>
    </w:rPr>
  </w:style>
  <w:style w:type="character" w:styleId="PageNumber">
    <w:name w:val="pag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4">
    <w:name w:val="文档中文标题"/>
    <w:basedOn w:val="Normal"/>
    <w:qFormat/>
    <w:pPr>
      <w:keepLines/>
      <w:widowControl/>
      <w:overflowPunct w:val="false"/>
      <w:autoSpaceDE w:val="false"/>
      <w:spacing w:before="0" w:after="120"/>
      <w:ind w:hanging="0" w:start="2552" w:end="720"/>
      <w:jc w:val="start"/>
      <w:textAlignment w:val="baseline"/>
    </w:pPr>
    <w:rPr>
      <w:rFonts w:ascii="宋体" w:hAnsi="宋体"/>
      <w:b/>
      <w:bCs/>
      <w:smallCaps/>
      <w:kern w:val="0"/>
      <w:sz w:val="44"/>
      <w:szCs w:val="18"/>
      <w:lang w:val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paragraph" w:customStyle="1" w:styleId="Heading2">
    <w:name w:val="heading 2"/>
    <w:basedOn w:val="Normal"/>
    <w:rPr>
      <w:rFonts w:ascii="Arial" w:hAnsi="Arial" w:eastAsia="Arial Unicode MS"/>
      <w:b/>
      <w:color w:val="1677FF"/>
      <w:sz w:val="26"/>
    </w:rPr>
  </w:style>
  <w:style w:type="paragraph" w:customStyle="1" w:styleId="Heading3">
    <w:name w:val="heading 3"/>
    <w:basedOn w:val="Normal"/>
    <w:rPr>
      <w:rFonts w:ascii="Arial" w:hAnsi="Arial" w:eastAsia="Arial Unicode MS"/>
      <w:b/>
      <w:color w:val="1F2329"/>
      <w:sz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2026-05-15T15:34:00Z</dcterms:created>
  <dc:creator>00211124gy02b</dc:creator>
  <dc:description>首稿；图片及团队信息待补充</dc:description>
  <dc:language>zh-CN</dc:language>
  <cp:lastModifiedBy>00211124gy02b</cp:lastModifiedBy>
  <dcterms:modified xsi:type="dcterms:W3CDTF">2026-07-09T00:50:09Z</dcterms:modified>
  <cp:revision>1</cp:revision>
  <dc:subject>第五届创造力大赛作品提交稿</dc:subject>
  <dc:title>AI+研发协同：UI 需求示意助手项目</dc:title>
  <cp:keywords>AI, UI需求, 研发协同, Chrome插件, Agent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C18F976539FBAF22FDD7026A17622843_41</vt:lpwstr>
  </property>
  <property fmtid="{D5CDD505-2E9C-101B-9397-08002B2CF9AE}" pid="3" name="KSOProductBuildVer">
    <vt:lpwstr>2052-12.8.2.21176</vt:lpwstr>
  </property>
</Properties>
</file>