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2B2B2B"/>
        </w:rPr>
        <w:t>Equi-Join-Detect: Why Qwen2.5-14B Outperforms T5Gemma-9B</w:t>
      </w:r>
    </w:p>
    <w:p>
      <w:r>
        <w:rPr>
          <w:rFonts w:ascii="Calibri" w:hAnsi="Calibri"/>
          <w:b/>
          <w:i w:val="0"/>
          <w:color w:val="333333"/>
          <w:sz w:val="22"/>
        </w:rPr>
        <w:t>Task</w:t>
      </w:r>
      <w:r>
        <w:rPr>
          <w:rFonts w:ascii="Calibri" w:hAnsi="Calibri"/>
          <w:b w:val="0"/>
          <w:i w:val="0"/>
          <w:color w:val="333333"/>
          <w:sz w:val="22"/>
        </w:rPr>
        <w:t>: equi-join-detect (identify foreign-key join relationships between database tables)</w:t>
      </w:r>
    </w:p>
    <w:p>
      <w:r>
        <w:rPr>
          <w:rFonts w:ascii="Calibri" w:hAnsi="Calibri"/>
          <w:b/>
          <w:i w:val="0"/>
          <w:color w:val="333333"/>
          <w:sz w:val="22"/>
        </w:rPr>
        <w:t>Metric</w:t>
      </w:r>
      <w:r>
        <w:rPr>
          <w:rFonts w:ascii="Calibri" w:hAnsi="Calibri"/>
          <w:b w:val="0"/>
          <w:i w:val="0"/>
          <w:color w:val="333333"/>
          <w:sz w:val="22"/>
        </w:rPr>
        <w:t>: F1 on set of (from_table, from_column, to_table, to_column) tuples</w:t>
      </w:r>
    </w:p>
    <w:p>
      <w:r>
        <w:rPr>
          <w:rFonts w:ascii="Calibri" w:hAnsi="Calibri"/>
          <w:b/>
          <w:i w:val="0"/>
          <w:color w:val="333333"/>
          <w:sz w:val="22"/>
        </w:rPr>
        <w:t>Qwen F1</w:t>
      </w:r>
      <w:r>
        <w:rPr>
          <w:rFonts w:ascii="Calibri" w:hAnsi="Calibri"/>
          <w:b w:val="0"/>
          <w:i w:val="0"/>
          <w:color w:val="333333"/>
          <w:sz w:val="22"/>
        </w:rPr>
        <w:t xml:space="preserve">: 65.6% | </w:t>
      </w:r>
      <w:r>
        <w:rPr>
          <w:rFonts w:ascii="Calibri" w:hAnsi="Calibri"/>
          <w:b/>
          <w:i w:val="0"/>
          <w:color w:val="333333"/>
          <w:sz w:val="22"/>
        </w:rPr>
        <w:t>T5Gemma F1</w:t>
      </w:r>
      <w:r>
        <w:rPr>
          <w:rFonts w:ascii="Calibri" w:hAnsi="Calibri"/>
          <w:b w:val="0"/>
          <w:i w:val="0"/>
          <w:color w:val="333333"/>
          <w:sz w:val="22"/>
        </w:rPr>
        <w:t xml:space="preserve">: 47.8% | </w:t>
      </w:r>
      <w:r>
        <w:rPr>
          <w:rFonts w:ascii="Calibri" w:hAnsi="Calibri"/>
          <w:b/>
          <w:i w:val="0"/>
          <w:color w:val="333333"/>
          <w:sz w:val="22"/>
        </w:rPr>
        <w:t>Delta</w:t>
      </w:r>
      <w:r>
        <w:rPr>
          <w:rFonts w:ascii="Calibri" w:hAnsi="Calibri"/>
          <w:b w:val="0"/>
          <w:i w:val="0"/>
          <w:color w:val="333333"/>
          <w:sz w:val="22"/>
        </w:rPr>
        <w:t>: +17.7pp</w:t>
      </w:r>
    </w:p>
    <w:p>
      <w:pPr>
        <w:pStyle w:val="Heading2"/>
      </w:pPr>
      <w:r>
        <w:rPr>
          <w:rFonts w:ascii="Calibri" w:hAnsi="Calibri"/>
          <w:color w:val="2B2B2B"/>
        </w:rPr>
        <w:t>Summary</w:t>
      </w:r>
    </w:p>
    <w:p>
      <w:r>
        <w:rPr>
          <w:rFonts w:ascii="Calibri" w:hAnsi="Calibri"/>
          <w:b w:val="0"/>
          <w:i w:val="0"/>
          <w:color w:val="333333"/>
          <w:sz w:val="22"/>
        </w:rPr>
        <w:t xml:space="preserve">Qwen's advantage on equi-join-detect is almost entirely explained by a </w:t>
      </w:r>
      <w:r>
        <w:rPr>
          <w:rFonts w:ascii="Calibri" w:hAnsi="Calibri"/>
          <w:b/>
          <w:i w:val="0"/>
          <w:color w:val="333333"/>
          <w:sz w:val="22"/>
        </w:rPr>
        <w:t>direction-matching artifact</w:t>
      </w:r>
      <w:r>
        <w:rPr>
          <w:rFonts w:ascii="Calibri" w:hAnsi="Calibri"/>
          <w:b w:val="0"/>
          <w:i w:val="0"/>
          <w:color w:val="333333"/>
          <w:sz w:val="22"/>
        </w:rPr>
        <w:t xml:space="preserve"> in the evaluation metric. The evaluator compares join tuples as ordered 4-tuples where </w:t>
      </w:r>
      <w:r>
        <w:rPr>
          <w:rFonts w:ascii="Consolas" w:hAnsi="Consolas"/>
          <w:b w:val="0"/>
          <w:i w:val="0"/>
          <w:color w:val="444444"/>
          <w:sz w:val="20"/>
        </w:rPr>
        <w:t>(A, col1, B, col2)</w:t>
      </w:r>
      <w:r>
        <w:rPr>
          <w:rFonts w:ascii="Calibri" w:hAnsi="Calibri"/>
          <w:b w:val="0"/>
          <w:i w:val="0"/>
          <w:color w:val="333333"/>
          <w:sz w:val="22"/>
        </w:rPr>
        <w:t xml:space="preserve"> is different from </w:t>
      </w:r>
      <w:r>
        <w:rPr>
          <w:rFonts w:ascii="Consolas" w:hAnsi="Consolas"/>
          <w:b w:val="0"/>
          <w:i w:val="0"/>
          <w:color w:val="444444"/>
          <w:sz w:val="20"/>
        </w:rPr>
        <w:t>(B, col2, A, col1)</w:t>
      </w:r>
      <w:r>
        <w:rPr>
          <w:rFonts w:ascii="Calibri" w:hAnsi="Calibri"/>
          <w:b w:val="0"/>
          <w:i w:val="0"/>
          <w:color w:val="333333"/>
          <w:sz w:val="22"/>
        </w:rPr>
        <w:t>, even though both represent the same join relationship. T5Gemma systematically reverses the from/to direction relative to the ground truth convention on 11 of 60 parseable cases (fully reversed) and 10 more (partially reversed), while Qwen matches the ground truth direction in 50 of 56 parseable cases and never fully reverses. If direction is ignored, the gap shrinks from 17.7pp to just 3.0pp. A secondary factor is T5Gemma's higher rate of output truncation (7 parse failures vs. 3 for Qwen), caused by its shorter output token budget producing incomplete JSON for databases with many join relationships.</w:t>
      </w:r>
    </w:p>
    <w:p>
      <w:pPr>
        <w:pStyle w:val="Heading2"/>
      </w:pPr>
      <w:r>
        <w:rPr>
          <w:rFonts w:ascii="Calibri" w:hAnsi="Calibri"/>
          <w:color w:val="2B2B2B"/>
        </w:rPr>
        <w:t>How Scoring Works</w:t>
      </w:r>
    </w:p>
    <w:p>
      <w:r>
        <w:rPr>
          <w:rFonts w:ascii="Calibri" w:hAnsi="Calibri"/>
          <w:b w:val="0"/>
          <w:i w:val="0"/>
          <w:color w:val="333333"/>
          <w:sz w:val="22"/>
        </w:rPr>
        <w:t xml:space="preserve">The </w:t>
      </w:r>
      <w:r>
        <w:rPr>
          <w:rFonts w:ascii="Consolas" w:hAnsi="Consolas"/>
          <w:b w:val="0"/>
          <w:i w:val="0"/>
          <w:color w:val="444444"/>
          <w:sz w:val="20"/>
        </w:rPr>
        <w:t>EquiJoinDetectEvaluator</w:t>
      </w:r>
      <w:r>
        <w:rPr>
          <w:rFonts w:ascii="Calibri" w:hAnsi="Calibri"/>
          <w:b w:val="0"/>
          <w:i w:val="0"/>
          <w:color w:val="333333"/>
          <w:sz w:val="22"/>
        </w:rPr>
        <w:t xml:space="preserve"> scores each test case by computing </w:t>
      </w:r>
      <w:r>
        <w:rPr>
          <w:rFonts w:ascii="Calibri" w:hAnsi="Calibri"/>
          <w:b/>
          <w:i w:val="0"/>
          <w:color w:val="333333"/>
          <w:sz w:val="22"/>
        </w:rPr>
        <w:t>precision</w:t>
      </w:r>
      <w:r>
        <w:rPr>
          <w:rFonts w:ascii="Calibri" w:hAnsi="Calibri"/>
          <w:b w:val="0"/>
          <w:i w:val="0"/>
          <w:color w:val="333333"/>
          <w:sz w:val="22"/>
        </w:rPr>
        <w:t xml:space="preserve"> and </w:t>
      </w:r>
      <w:r>
        <w:rPr>
          <w:rFonts w:ascii="Calibri" w:hAnsi="Calibri"/>
          <w:b/>
          <w:i w:val="0"/>
          <w:color w:val="333333"/>
          <w:sz w:val="22"/>
        </w:rPr>
        <w:t>recall</w:t>
      </w:r>
      <w:r>
        <w:rPr>
          <w:rFonts w:ascii="Calibri" w:hAnsi="Calibri"/>
          <w:b w:val="0"/>
          <w:i w:val="0"/>
          <w:color w:val="333333"/>
          <w:sz w:val="22"/>
        </w:rPr>
        <w:t xml:space="preserve"> over sets of join tuples, then averaging precision and recall separately across all cases before computing F1.</w:t>
      </w:r>
    </w:p>
    <w:p>
      <w:r>
        <w:rPr>
          <w:rFonts w:ascii="Calibri" w:hAnsi="Calibri"/>
          <w:b w:val="0"/>
          <w:i w:val="0"/>
          <w:color w:val="333333"/>
          <w:sz w:val="22"/>
        </w:rPr>
        <w:t xml:space="preserve">Each predicted join is a 4-tuple: </w:t>
      </w:r>
      <w:r>
        <w:rPr>
          <w:rFonts w:ascii="Consolas" w:hAnsi="Consolas"/>
          <w:b w:val="0"/>
          <w:i w:val="0"/>
          <w:color w:val="444444"/>
          <w:sz w:val="20"/>
        </w:rPr>
        <w:t>(from_table, from_column, to_table, to_column)</w:t>
      </w:r>
      <w:r>
        <w:rPr>
          <w:rFonts w:ascii="Calibri" w:hAnsi="Calibri"/>
          <w:b w:val="0"/>
          <w:i w:val="0"/>
          <w:color w:val="333333"/>
          <w:sz w:val="22"/>
        </w:rPr>
        <w:t xml:space="preserve">. The evaluator performs </w:t>
      </w:r>
      <w:r>
        <w:rPr>
          <w:rFonts w:ascii="Calibri" w:hAnsi="Calibri"/>
          <w:b/>
          <w:i w:val="0"/>
          <w:color w:val="333333"/>
          <w:sz w:val="22"/>
        </w:rPr>
        <w:t>exact tuple matching</w:t>
      </w:r>
      <w:r>
        <w:rPr>
          <w:rFonts w:ascii="Calibri" w:hAnsi="Calibri"/>
          <w:b w:val="0"/>
          <w:i w:val="0"/>
          <w:color w:val="333333"/>
          <w:sz w:val="22"/>
        </w:rPr>
        <w:t xml:space="preserve"> -- it compares predicted tuples against ground truth tuples using Python set intersection. This means:</w:t>
      </w:r>
    </w:p>
    <w:p>
      <w:pPr>
        <w:pStyle w:val="ListBullet"/>
      </w:pPr>
      <w:r>
        <w:rPr>
          <w:rFonts w:ascii="Consolas" w:hAnsi="Consolas"/>
          <w:b w:val="0"/>
          <w:i w:val="0"/>
          <w:color w:val="444444"/>
          <w:sz w:val="20"/>
        </w:rPr>
        <w:t>("sales", "Product", "products", "Product")</w:t>
      </w:r>
      <w:r>
        <w:rPr>
          <w:rFonts w:ascii="Calibri" w:hAnsi="Calibri"/>
          <w:b w:val="0"/>
          <w:i w:val="0"/>
          <w:color w:val="333333"/>
          <w:sz w:val="22"/>
        </w:rPr>
        <w:t xml:space="preserve"> matches the ground truth.</w:t>
      </w:r>
    </w:p>
    <w:p>
      <w:pPr>
        <w:pStyle w:val="ListBullet"/>
      </w:pPr>
      <w:r>
        <w:rPr>
          <w:rFonts w:ascii="Consolas" w:hAnsi="Consolas"/>
          <w:b w:val="0"/>
          <w:i w:val="0"/>
          <w:color w:val="444444"/>
          <w:sz w:val="20"/>
        </w:rPr>
        <w:t>("products", "Product", "sales", "Product")</w:t>
      </w:r>
      <w:r>
        <w:rPr>
          <w:rFonts w:ascii="Calibri" w:hAnsi="Calibri"/>
          <w:b w:val="0"/>
          <w:i w:val="0"/>
          <w:color w:val="333333"/>
          <w:sz w:val="22"/>
        </w:rPr>
        <w:t xml:space="preserve"> does </w:t>
      </w:r>
      <w:r>
        <w:rPr>
          <w:rFonts w:ascii="Calibri" w:hAnsi="Calibri"/>
          <w:b/>
          <w:i w:val="0"/>
          <w:color w:val="333333"/>
          <w:sz w:val="22"/>
        </w:rPr>
        <w:t>NOT</w:t>
      </w:r>
      <w:r>
        <w:rPr>
          <w:rFonts w:ascii="Calibri" w:hAnsi="Calibri"/>
          <w:b w:val="0"/>
          <w:i w:val="0"/>
          <w:color w:val="333333"/>
          <w:sz w:val="22"/>
        </w:rPr>
        <w:t xml:space="preserve"> match, even though it describes the same join.</w:t>
      </w:r>
    </w:p>
    <w:p>
      <w:r>
        <w:rPr>
          <w:rFonts w:ascii="Calibri" w:hAnsi="Calibri"/>
          <w:b w:val="0"/>
          <w:i w:val="0"/>
          <w:color w:val="333333"/>
          <w:sz w:val="22"/>
        </w:rPr>
        <w:t xml:space="preserve">The prompt template uses the field names </w:t>
      </w:r>
      <w:r>
        <w:rPr>
          <w:rFonts w:ascii="Consolas" w:hAnsi="Consolas"/>
          <w:b w:val="0"/>
          <w:i w:val="0"/>
          <w:color w:val="444444"/>
          <w:sz w:val="20"/>
        </w:rPr>
        <w:t>from_table</w:t>
      </w:r>
      <w:r>
        <w:rPr>
          <w:rFonts w:ascii="Calibri" w:hAnsi="Calibri"/>
          <w:b w:val="0"/>
          <w:i w:val="0"/>
          <w:color w:val="333333"/>
          <w:sz w:val="22"/>
        </w:rPr>
        <w:t>/</w:t>
      </w:r>
      <w:r>
        <w:rPr>
          <w:rFonts w:ascii="Consolas" w:hAnsi="Consolas"/>
          <w:b w:val="0"/>
          <w:i w:val="0"/>
          <w:color w:val="444444"/>
          <w:sz w:val="20"/>
        </w:rPr>
        <w:t>to_table</w:t>
      </w:r>
      <w:r>
        <w:rPr>
          <w:rFonts w:ascii="Calibri" w:hAnsi="Calibri"/>
          <w:b w:val="0"/>
          <w:i w:val="0"/>
          <w:color w:val="333333"/>
          <w:sz w:val="22"/>
        </w:rPr>
        <w:t xml:space="preserve">, implying a direction, but does not explain the convention. The ground truth follows a particular direction convention (e.g., fact table as </w:t>
      </w:r>
      <w:r>
        <w:rPr>
          <w:rFonts w:ascii="Consolas" w:hAnsi="Consolas"/>
          <w:b w:val="0"/>
          <w:i w:val="0"/>
          <w:color w:val="444444"/>
          <w:sz w:val="20"/>
        </w:rPr>
        <w:t>from_table</w:t>
      </w:r>
      <w:r>
        <w:rPr>
          <w:rFonts w:ascii="Calibri" w:hAnsi="Calibri"/>
          <w:b w:val="0"/>
          <w:i w:val="0"/>
          <w:color w:val="333333"/>
          <w:sz w:val="22"/>
        </w:rPr>
        <w:t xml:space="preserve">, dimension table as </w:t>
      </w:r>
      <w:r>
        <w:rPr>
          <w:rFonts w:ascii="Consolas" w:hAnsi="Consolas"/>
          <w:b w:val="0"/>
          <w:i w:val="0"/>
          <w:color w:val="444444"/>
          <w:sz w:val="20"/>
        </w:rPr>
        <w:t>to_table</w:t>
      </w:r>
      <w:r>
        <w:rPr>
          <w:rFonts w:ascii="Calibri" w:hAnsi="Calibri"/>
          <w:b w:val="0"/>
          <w:i w:val="0"/>
          <w:color w:val="333333"/>
          <w:sz w:val="22"/>
        </w:rPr>
        <w:t>), but this convention is never communicated to the models.</w:t>
      </w:r>
    </w:p>
    <w:p>
      <w:pPr>
        <w:pStyle w:val="Heading2"/>
      </w:pPr>
      <w:r>
        <w:rPr>
          <w:rFonts w:ascii="Calibri" w:hAnsi="Calibri"/>
          <w:color w:val="2B2B2B"/>
        </w:rPr>
        <w:t>Quantitative Breakdown</w:t>
      </w:r>
    </w:p>
    <w:p>
      <w:pPr>
        <w:pStyle w:val="Heading3"/>
      </w:pPr>
      <w:r>
        <w:rPr>
          <w:rFonts w:ascii="Calibri" w:hAnsi="Calibri"/>
          <w:color w:val="2B2B2B"/>
        </w:rPr>
        <w:t>Score Distribution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Category</w:t>
            </w:r>
          </w:p>
        </w:tc>
        <w:tc>
          <w:tcPr>
            <w:tcW w:type="dxa" w:w="2880"/>
            <w:shd w:fill="E8E8E8" w:val="clear"/>
          </w:tcPr>
          <w:p>
            <w:r/>
            <w:r>
              <w:rPr>
                <w:rFonts w:ascii="Calibri" w:hAnsi="Calibri"/>
                <w:b/>
                <w:i w:val="0"/>
                <w:color w:val="2B2B2B"/>
                <w:sz w:val="20"/>
              </w:rPr>
              <w:t>Count</w:t>
            </w:r>
          </w:p>
        </w:tc>
        <w:tc>
          <w:tcPr>
            <w:tcW w:type="dxa" w:w="2880"/>
            <w:shd w:fill="E8E8E8" w:val="clear"/>
          </w:tcPr>
          <w:p>
            <w:r/>
            <w:r>
              <w:rPr>
                <w:rFonts w:ascii="Calibri" w:hAnsi="Calibri"/>
                <w:b/>
                <w:i w:val="0"/>
                <w:color w:val="2B2B2B"/>
                <w:sz w:val="20"/>
              </w:rPr>
              <w:t>Description</w:t>
            </w:r>
          </w:p>
        </w:tc>
      </w:tr>
      <w:tr>
        <w:tc>
          <w:tcPr>
            <w:tcW w:type="dxa" w:w="2880"/>
          </w:tcPr>
          <w:p>
            <w:r/>
            <w:r>
              <w:rPr>
                <w:rFonts w:ascii="Calibri" w:hAnsi="Calibri"/>
                <w:b w:val="0"/>
                <w:i w:val="0"/>
                <w:color w:val="333333"/>
                <w:sz w:val="20"/>
              </w:rPr>
              <w:t>Qwen wins</w:t>
            </w:r>
          </w:p>
        </w:tc>
        <w:tc>
          <w:tcPr>
            <w:tcW w:type="dxa" w:w="2880"/>
          </w:tcPr>
          <w:p>
            <w:r/>
            <w:r>
              <w:rPr>
                <w:rFonts w:ascii="Calibri" w:hAnsi="Calibri"/>
                <w:b w:val="0"/>
                <w:i w:val="0"/>
                <w:color w:val="333333"/>
                <w:sz w:val="20"/>
              </w:rPr>
              <w:t>31</w:t>
            </w:r>
          </w:p>
        </w:tc>
        <w:tc>
          <w:tcPr>
            <w:tcW w:type="dxa" w:w="2880"/>
          </w:tcPr>
          <w:p>
            <w:r/>
            <w:r>
              <w:rPr>
                <w:rFonts w:ascii="Calibri" w:hAnsi="Calibri"/>
                <w:b w:val="0"/>
                <w:i w:val="0"/>
                <w:color w:val="333333"/>
                <w:sz w:val="20"/>
              </w:rPr>
              <w:t>Qwen scores higher</w:t>
            </w:r>
          </w:p>
        </w:tc>
      </w:tr>
      <w:tr>
        <w:tc>
          <w:tcPr>
            <w:tcW w:type="dxa" w:w="2880"/>
          </w:tcPr>
          <w:p>
            <w:r/>
            <w:r>
              <w:rPr>
                <w:rFonts w:ascii="Calibri" w:hAnsi="Calibri"/>
                <w:b w:val="0"/>
                <w:i w:val="0"/>
                <w:color w:val="333333"/>
                <w:sz w:val="20"/>
              </w:rPr>
              <w:t>T5Gemma wins</w:t>
            </w:r>
          </w:p>
        </w:tc>
        <w:tc>
          <w:tcPr>
            <w:tcW w:type="dxa" w:w="2880"/>
          </w:tcPr>
          <w:p>
            <w:r/>
            <w:r>
              <w:rPr>
                <w:rFonts w:ascii="Calibri" w:hAnsi="Calibri"/>
                <w:b w:val="0"/>
                <w:i w:val="0"/>
                <w:color w:val="333333"/>
                <w:sz w:val="20"/>
              </w:rPr>
              <w:t>14</w:t>
            </w:r>
          </w:p>
        </w:tc>
        <w:tc>
          <w:tcPr>
            <w:tcW w:type="dxa" w:w="2880"/>
          </w:tcPr>
          <w:p>
            <w:r/>
            <w:r>
              <w:rPr>
                <w:rFonts w:ascii="Calibri" w:hAnsi="Calibri"/>
                <w:b w:val="0"/>
                <w:i w:val="0"/>
                <w:color w:val="333333"/>
                <w:sz w:val="20"/>
              </w:rPr>
              <w:t>T5Gemma scores higher</w:t>
            </w:r>
          </w:p>
        </w:tc>
      </w:tr>
      <w:tr>
        <w:tc>
          <w:tcPr>
            <w:tcW w:type="dxa" w:w="2880"/>
          </w:tcPr>
          <w:p>
            <w:r/>
            <w:r>
              <w:rPr>
                <w:rFonts w:ascii="Calibri" w:hAnsi="Calibri"/>
                <w:b w:val="0"/>
                <w:i w:val="0"/>
                <w:color w:val="333333"/>
                <w:sz w:val="20"/>
              </w:rPr>
              <w:t>Ties</w:t>
            </w:r>
          </w:p>
        </w:tc>
        <w:tc>
          <w:tcPr>
            <w:tcW w:type="dxa" w:w="2880"/>
          </w:tcPr>
          <w:p>
            <w:r/>
            <w:r>
              <w:rPr>
                <w:rFonts w:ascii="Calibri" w:hAnsi="Calibri"/>
                <w:b w:val="0"/>
                <w:i w:val="0"/>
                <w:color w:val="333333"/>
                <w:sz w:val="20"/>
              </w:rPr>
              <w:t>22</w:t>
            </w:r>
          </w:p>
        </w:tc>
        <w:tc>
          <w:tcPr>
            <w:tcW w:type="dxa" w:w="2880"/>
          </w:tcPr>
          <w:p>
            <w:r/>
            <w:r>
              <w:rPr>
                <w:rFonts w:ascii="Calibri" w:hAnsi="Calibri"/>
                <w:b w:val="0"/>
                <w:i w:val="0"/>
                <w:color w:val="333333"/>
                <w:sz w:val="20"/>
              </w:rPr>
              <w:t>Same score (including 11 mutual zeros)</w:t>
            </w:r>
          </w:p>
        </w:tc>
      </w:tr>
    </w:tbl>
    <w:p/>
    <w:p>
      <w:pPr>
        <w:pStyle w:val="Heading3"/>
      </w:pPr>
      <w:r>
        <w:rPr>
          <w:rFonts w:ascii="Calibri" w:hAnsi="Calibri"/>
          <w:color w:val="2B2B2B"/>
        </w:rPr>
        <w:t>Zero-Score Cases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Score = 0</w:t>
            </w:r>
          </w:p>
        </w:tc>
        <w:tc>
          <w:tcPr>
            <w:tcW w:type="dxa" w:w="2880"/>
            <w:shd w:fill="E8E8E8" w:val="clear"/>
          </w:tcPr>
          <w:p>
            <w:r/>
            <w:r>
              <w:rPr>
                <w:rFonts w:ascii="Calibri" w:hAnsi="Calibri"/>
                <w:b/>
                <w:i w:val="0"/>
                <w:color w:val="2B2B2B"/>
                <w:sz w:val="20"/>
              </w:rPr>
              <w:t>% of 67</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25</w:t>
            </w:r>
          </w:p>
        </w:tc>
        <w:tc>
          <w:tcPr>
            <w:tcW w:type="dxa" w:w="2880"/>
          </w:tcPr>
          <w:p>
            <w:r/>
            <w:r>
              <w:rPr>
                <w:rFonts w:ascii="Calibri" w:hAnsi="Calibri"/>
                <w:b w:val="0"/>
                <w:i w:val="0"/>
                <w:color w:val="333333"/>
                <w:sz w:val="20"/>
              </w:rPr>
              <w:t>37.3%</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11</w:t>
            </w:r>
          </w:p>
        </w:tc>
        <w:tc>
          <w:tcPr>
            <w:tcW w:type="dxa" w:w="2880"/>
          </w:tcPr>
          <w:p>
            <w:r/>
            <w:r>
              <w:rPr>
                <w:rFonts w:ascii="Calibri" w:hAnsi="Calibri"/>
                <w:b w:val="0"/>
                <w:i w:val="0"/>
                <w:color w:val="333333"/>
                <w:sz w:val="20"/>
              </w:rPr>
              <w:t>16.4%</w:t>
            </w:r>
          </w:p>
        </w:tc>
      </w:tr>
    </w:tbl>
    <w:p/>
    <w:p>
      <w:r>
        <w:rPr>
          <w:rFonts w:ascii="Calibri" w:hAnsi="Calibri"/>
          <w:b w:val="0"/>
          <w:i w:val="0"/>
          <w:color w:val="333333"/>
          <w:sz w:val="22"/>
        </w:rPr>
        <w:t>T5Gemma scores zero more than twice as often. Of the 15 cases where T5Gemma scores 0 but Qwen scores &gt; 0:</w:t>
      </w:r>
    </w:p>
    <w:p>
      <w:pPr>
        <w:pStyle w:val="ListBullet"/>
      </w:pPr>
      <w:r>
        <w:rPr>
          <w:rFonts w:ascii="Calibri" w:hAnsi="Calibri"/>
          <w:b/>
          <w:i w:val="0"/>
          <w:color w:val="333333"/>
          <w:sz w:val="22"/>
        </w:rPr>
        <w:t>9 cases</w:t>
      </w:r>
      <w:r>
        <w:rPr>
          <w:rFonts w:ascii="Calibri" w:hAnsi="Calibri"/>
          <w:b w:val="0"/>
          <w:i w:val="0"/>
          <w:color w:val="333333"/>
          <w:sz w:val="22"/>
        </w:rPr>
        <w:t xml:space="preserve"> (60%): Direction reversal is the primary cause -- T5Gemma identifies the correct tables and columns but swaps from/to.</w:t>
      </w:r>
    </w:p>
    <w:p>
      <w:pPr>
        <w:pStyle w:val="ListBullet"/>
      </w:pPr>
      <w:r>
        <w:rPr>
          <w:rFonts w:ascii="Calibri" w:hAnsi="Calibri"/>
          <w:b/>
          <w:i w:val="0"/>
          <w:color w:val="333333"/>
          <w:sz w:val="22"/>
        </w:rPr>
        <w:t>5 cases</w:t>
      </w:r>
      <w:r>
        <w:rPr>
          <w:rFonts w:ascii="Calibri" w:hAnsi="Calibri"/>
          <w:b w:val="0"/>
          <w:i w:val="0"/>
          <w:color w:val="333333"/>
          <w:sz w:val="22"/>
        </w:rPr>
        <w:t xml:space="preserve"> (33%): Column or table name errors compound the direction issue.</w:t>
      </w:r>
    </w:p>
    <w:p>
      <w:pPr>
        <w:pStyle w:val="ListBullet"/>
      </w:pPr>
      <w:r>
        <w:rPr>
          <w:rFonts w:ascii="Calibri" w:hAnsi="Calibri"/>
          <w:b/>
          <w:i w:val="0"/>
          <w:color w:val="333333"/>
          <w:sz w:val="22"/>
        </w:rPr>
        <w:t>1 case</w:t>
      </w:r>
      <w:r>
        <w:rPr>
          <w:rFonts w:ascii="Calibri" w:hAnsi="Calibri"/>
          <w:b w:val="0"/>
          <w:i w:val="0"/>
          <w:color w:val="333333"/>
          <w:sz w:val="22"/>
        </w:rPr>
        <w:t xml:space="preserve"> (7%): JSON parse failure due to truncation.</w:t>
      </w:r>
    </w:p>
    <w:p>
      <w:pPr>
        <w:pStyle w:val="Heading3"/>
      </w:pPr>
      <w:r>
        <w:rPr>
          <w:rFonts w:ascii="Calibri" w:hAnsi="Calibri"/>
          <w:color w:val="2B2B2B"/>
        </w:rPr>
        <w:t>Direction Convention Adherence</w:t>
      </w:r>
    </w:p>
    <w:tbl>
      <w:tblPr>
        <w:tblStyle w:val="TableGrid"/>
        <w:tblW w:type="auto" w:w="0"/>
        <w:tblLayout w:type="autofit"/>
        <w:tblLook w:firstColumn="1" w:firstRow="1" w:lastColumn="0" w:lastRow="0" w:noHBand="0" w:noVBand="1" w:val="04A0"/>
      </w:tblPr>
      <w:tblGrid>
        <w:gridCol w:w="1728"/>
        <w:gridCol w:w="1728"/>
        <w:gridCol w:w="1728"/>
        <w:gridCol w:w="1728"/>
        <w:gridCol w:w="1728"/>
      </w:tblGrid>
      <w:tr>
        <w:tc>
          <w:tcPr>
            <w:tcW w:type="dxa" w:w="1728"/>
            <w:shd w:fill="E8E8E8" w:val="clear"/>
          </w:tcPr>
          <w:p>
            <w:r/>
            <w:r>
              <w:rPr>
                <w:rFonts w:ascii="Calibri" w:hAnsi="Calibri"/>
                <w:b/>
                <w:i w:val="0"/>
                <w:color w:val="2B2B2B"/>
                <w:sz w:val="20"/>
              </w:rPr>
              <w:t>Model</w:t>
            </w:r>
          </w:p>
        </w:tc>
        <w:tc>
          <w:tcPr>
            <w:tcW w:type="dxa" w:w="1728"/>
            <w:shd w:fill="E8E8E8" w:val="clear"/>
          </w:tcPr>
          <w:p>
            <w:r/>
            <w:r>
              <w:rPr>
                <w:rFonts w:ascii="Calibri" w:hAnsi="Calibri"/>
                <w:b/>
                <w:i w:val="0"/>
                <w:color w:val="2B2B2B"/>
                <w:sz w:val="20"/>
              </w:rPr>
              <w:t>Follows GT direction</w:t>
            </w:r>
          </w:p>
        </w:tc>
        <w:tc>
          <w:tcPr>
            <w:tcW w:type="dxa" w:w="1728"/>
            <w:shd w:fill="E8E8E8" w:val="clear"/>
          </w:tcPr>
          <w:p>
            <w:r/>
            <w:r>
              <w:rPr>
                <w:rFonts w:ascii="Calibri" w:hAnsi="Calibri"/>
                <w:b/>
                <w:i w:val="0"/>
                <w:color w:val="2B2B2B"/>
                <w:sz w:val="20"/>
              </w:rPr>
              <w:t>Fully reversed</w:t>
            </w:r>
          </w:p>
        </w:tc>
        <w:tc>
          <w:tcPr>
            <w:tcW w:type="dxa" w:w="1728"/>
            <w:shd w:fill="E8E8E8" w:val="clear"/>
          </w:tcPr>
          <w:p>
            <w:r/>
            <w:r>
              <w:rPr>
                <w:rFonts w:ascii="Calibri" w:hAnsi="Calibri"/>
                <w:b/>
                <w:i w:val="0"/>
                <w:color w:val="2B2B2B"/>
                <w:sz w:val="20"/>
              </w:rPr>
              <w:t>Mixed</w:t>
            </w:r>
          </w:p>
        </w:tc>
        <w:tc>
          <w:tcPr>
            <w:tcW w:type="dxa" w:w="1728"/>
            <w:shd w:fill="E8E8E8" w:val="clear"/>
          </w:tcPr>
          <w:p>
            <w:r/>
            <w:r>
              <w:rPr>
                <w:rFonts w:ascii="Calibri" w:hAnsi="Calibri"/>
                <w:b/>
                <w:i w:val="0"/>
                <w:color w:val="2B2B2B"/>
                <w:sz w:val="20"/>
              </w:rPr>
              <w:t>Neither</w:t>
            </w:r>
          </w:p>
        </w:tc>
      </w:tr>
      <w:tr>
        <w:tc>
          <w:tcPr>
            <w:tcW w:type="dxa" w:w="1728"/>
          </w:tcPr>
          <w:p>
            <w:r/>
            <w:r>
              <w:rPr>
                <w:rFonts w:ascii="Calibri" w:hAnsi="Calibri"/>
                <w:b w:val="0"/>
                <w:i w:val="0"/>
                <w:color w:val="333333"/>
                <w:sz w:val="20"/>
              </w:rPr>
              <w:t>Qwen</w:t>
            </w:r>
          </w:p>
        </w:tc>
        <w:tc>
          <w:tcPr>
            <w:tcW w:type="dxa" w:w="1728"/>
          </w:tcPr>
          <w:p>
            <w:r/>
            <w:r>
              <w:rPr>
                <w:rFonts w:ascii="Calibri" w:hAnsi="Calibri"/>
                <w:b w:val="0"/>
                <w:i w:val="0"/>
                <w:color w:val="333333"/>
                <w:sz w:val="20"/>
              </w:rPr>
              <w:t>50 (89%)</w:t>
            </w:r>
          </w:p>
        </w:tc>
        <w:tc>
          <w:tcPr>
            <w:tcW w:type="dxa" w:w="1728"/>
          </w:tcPr>
          <w:p>
            <w:r/>
            <w:r>
              <w:rPr>
                <w:rFonts w:ascii="Calibri" w:hAnsi="Calibri"/>
                <w:b w:val="0"/>
                <w:i w:val="0"/>
                <w:color w:val="333333"/>
                <w:sz w:val="20"/>
              </w:rPr>
              <w:t>0 (0%)</w:t>
            </w:r>
          </w:p>
        </w:tc>
        <w:tc>
          <w:tcPr>
            <w:tcW w:type="dxa" w:w="1728"/>
          </w:tcPr>
          <w:p>
            <w:r/>
            <w:r>
              <w:rPr>
                <w:rFonts w:ascii="Calibri" w:hAnsi="Calibri"/>
                <w:b w:val="0"/>
                <w:i w:val="0"/>
                <w:color w:val="333333"/>
                <w:sz w:val="20"/>
              </w:rPr>
              <w:t>6 (11%)</w:t>
            </w:r>
          </w:p>
        </w:tc>
        <w:tc>
          <w:tcPr>
            <w:tcW w:type="dxa" w:w="1728"/>
          </w:tcPr>
          <w:p>
            <w:r/>
            <w:r>
              <w:rPr>
                <w:rFonts w:ascii="Calibri" w:hAnsi="Calibri"/>
                <w:b w:val="0"/>
                <w:i w:val="0"/>
                <w:color w:val="333333"/>
                <w:sz w:val="20"/>
              </w:rPr>
              <w:t>--</w:t>
            </w:r>
          </w:p>
        </w:tc>
      </w:tr>
      <w:tr>
        <w:tc>
          <w:tcPr>
            <w:tcW w:type="dxa" w:w="1728"/>
          </w:tcPr>
          <w:p>
            <w:r/>
            <w:r>
              <w:rPr>
                <w:rFonts w:ascii="Calibri" w:hAnsi="Calibri"/>
                <w:b w:val="0"/>
                <w:i w:val="0"/>
                <w:color w:val="333333"/>
                <w:sz w:val="20"/>
              </w:rPr>
              <w:t>T5Gemma</w:t>
            </w:r>
          </w:p>
        </w:tc>
        <w:tc>
          <w:tcPr>
            <w:tcW w:type="dxa" w:w="1728"/>
          </w:tcPr>
          <w:p>
            <w:r/>
            <w:r>
              <w:rPr>
                <w:rFonts w:ascii="Calibri" w:hAnsi="Calibri"/>
                <w:b w:val="0"/>
                <w:i w:val="0"/>
                <w:color w:val="333333"/>
                <w:sz w:val="20"/>
              </w:rPr>
              <w:t>32 (53%)</w:t>
            </w:r>
          </w:p>
        </w:tc>
        <w:tc>
          <w:tcPr>
            <w:tcW w:type="dxa" w:w="1728"/>
          </w:tcPr>
          <w:p>
            <w:r/>
            <w:r>
              <w:rPr>
                <w:rFonts w:ascii="Calibri" w:hAnsi="Calibri"/>
                <w:b w:val="0"/>
                <w:i w:val="0"/>
                <w:color w:val="333333"/>
                <w:sz w:val="20"/>
              </w:rPr>
              <w:t>11 (18%)</w:t>
            </w:r>
          </w:p>
        </w:tc>
        <w:tc>
          <w:tcPr>
            <w:tcW w:type="dxa" w:w="1728"/>
          </w:tcPr>
          <w:p>
            <w:r/>
            <w:r>
              <w:rPr>
                <w:rFonts w:ascii="Calibri" w:hAnsi="Calibri"/>
                <w:b w:val="0"/>
                <w:i w:val="0"/>
                <w:color w:val="333333"/>
                <w:sz w:val="20"/>
              </w:rPr>
              <w:t>10 (17%)</w:t>
            </w:r>
          </w:p>
        </w:tc>
        <w:tc>
          <w:tcPr>
            <w:tcW w:type="dxa" w:w="1728"/>
          </w:tcPr>
          <w:p>
            <w:r/>
            <w:r>
              <w:rPr>
                <w:rFonts w:ascii="Calibri" w:hAnsi="Calibri"/>
                <w:b w:val="0"/>
                <w:i w:val="0"/>
                <w:color w:val="333333"/>
                <w:sz w:val="20"/>
              </w:rPr>
              <w:t>7 (12%)</w:t>
            </w:r>
          </w:p>
        </w:tc>
      </w:tr>
    </w:tbl>
    <w:p/>
    <w:p>
      <w:r>
        <w:rPr>
          <w:rFonts w:ascii="Calibri" w:hAnsi="Calibri"/>
          <w:b w:val="0"/>
          <w:i w:val="0"/>
          <w:color w:val="333333"/>
          <w:sz w:val="22"/>
        </w:rPr>
        <w:t xml:space="preserve">Qwen </w:t>
      </w:r>
      <w:r>
        <w:rPr>
          <w:rFonts w:ascii="Calibri" w:hAnsi="Calibri"/>
          <w:b/>
          <w:i w:val="0"/>
          <w:color w:val="333333"/>
          <w:sz w:val="22"/>
        </w:rPr>
        <w:t>never</w:t>
      </w:r>
      <w:r>
        <w:rPr>
          <w:rFonts w:ascii="Calibri" w:hAnsi="Calibri"/>
          <w:b w:val="0"/>
          <w:i w:val="0"/>
          <w:color w:val="333333"/>
          <w:sz w:val="22"/>
        </w:rPr>
        <w:t xml:space="preserve"> fully reverses direction. T5Gemma fully reverses on nearly 1 in 5 cases.</w:t>
      </w:r>
    </w:p>
    <w:p>
      <w:pPr>
        <w:pStyle w:val="Heading3"/>
      </w:pPr>
      <w:r>
        <w:rPr>
          <w:rFonts w:ascii="Calibri" w:hAnsi="Calibri"/>
          <w:color w:val="2B2B2B"/>
        </w:rPr>
        <w:t>Impact of Direction-Insensitive Scoring</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fill="E8E8E8" w:val="clear"/>
          </w:tcPr>
          <w:p>
            <w:r/>
            <w:r>
              <w:rPr>
                <w:rFonts w:ascii="Calibri" w:hAnsi="Calibri"/>
                <w:b/>
                <w:i w:val="0"/>
                <w:color w:val="2B2B2B"/>
                <w:sz w:val="20"/>
              </w:rPr>
              <w:t>Scoring Method</w:t>
            </w:r>
          </w:p>
        </w:tc>
        <w:tc>
          <w:tcPr>
            <w:tcW w:type="dxa" w:w="2160"/>
            <w:shd w:fill="E8E8E8" w:val="clear"/>
          </w:tcPr>
          <w:p>
            <w:r/>
            <w:r>
              <w:rPr>
                <w:rFonts w:ascii="Calibri" w:hAnsi="Calibri"/>
                <w:b/>
                <w:i w:val="0"/>
                <w:color w:val="2B2B2B"/>
                <w:sz w:val="20"/>
              </w:rPr>
              <w:t>Qwen F1</w:t>
            </w:r>
          </w:p>
        </w:tc>
        <w:tc>
          <w:tcPr>
            <w:tcW w:type="dxa" w:w="2160"/>
            <w:shd w:fill="E8E8E8" w:val="clear"/>
          </w:tcPr>
          <w:p>
            <w:r/>
            <w:r>
              <w:rPr>
                <w:rFonts w:ascii="Calibri" w:hAnsi="Calibri"/>
                <w:b/>
                <w:i w:val="0"/>
                <w:color w:val="2B2B2B"/>
                <w:sz w:val="20"/>
              </w:rPr>
              <w:t>T5Gemma F1</w:t>
            </w:r>
          </w:p>
        </w:tc>
        <w:tc>
          <w:tcPr>
            <w:tcW w:type="dxa" w:w="2160"/>
            <w:shd w:fill="E8E8E8" w:val="clear"/>
          </w:tcPr>
          <w:p>
            <w:r/>
            <w:r>
              <w:rPr>
                <w:rFonts w:ascii="Calibri" w:hAnsi="Calibri"/>
                <w:b/>
                <w:i w:val="0"/>
                <w:color w:val="2B2B2B"/>
                <w:sz w:val="20"/>
              </w:rPr>
              <w:t>Gap</w:t>
            </w:r>
          </w:p>
        </w:tc>
      </w:tr>
      <w:tr>
        <w:tc>
          <w:tcPr>
            <w:tcW w:type="dxa" w:w="2160"/>
          </w:tcPr>
          <w:p>
            <w:r/>
            <w:r>
              <w:rPr>
                <w:rFonts w:ascii="Calibri" w:hAnsi="Calibri"/>
                <w:b w:val="0"/>
                <w:i w:val="0"/>
                <w:color w:val="333333"/>
                <w:sz w:val="20"/>
              </w:rPr>
              <w:t>Original (direction-sensitive)</w:t>
            </w:r>
          </w:p>
        </w:tc>
        <w:tc>
          <w:tcPr>
            <w:tcW w:type="dxa" w:w="2160"/>
          </w:tcPr>
          <w:p>
            <w:r/>
            <w:r>
              <w:rPr>
                <w:rFonts w:ascii="Calibri" w:hAnsi="Calibri"/>
                <w:b w:val="0"/>
                <w:i w:val="0"/>
                <w:color w:val="333333"/>
                <w:sz w:val="20"/>
              </w:rPr>
              <w:t>65.6%</w:t>
            </w:r>
          </w:p>
        </w:tc>
        <w:tc>
          <w:tcPr>
            <w:tcW w:type="dxa" w:w="2160"/>
          </w:tcPr>
          <w:p>
            <w:r/>
            <w:r>
              <w:rPr>
                <w:rFonts w:ascii="Calibri" w:hAnsi="Calibri"/>
                <w:b w:val="0"/>
                <w:i w:val="0"/>
                <w:color w:val="333333"/>
                <w:sz w:val="20"/>
              </w:rPr>
              <w:t>47.8%</w:t>
            </w:r>
          </w:p>
        </w:tc>
        <w:tc>
          <w:tcPr>
            <w:tcW w:type="dxa" w:w="2160"/>
          </w:tcPr>
          <w:p>
            <w:r/>
            <w:r>
              <w:rPr>
                <w:rFonts w:ascii="Calibri" w:hAnsi="Calibri"/>
                <w:b w:val="0"/>
                <w:i w:val="0"/>
                <w:color w:val="333333"/>
                <w:sz w:val="20"/>
              </w:rPr>
              <w:t>17.7pp</w:t>
            </w:r>
          </w:p>
        </w:tc>
      </w:tr>
      <w:tr>
        <w:tc>
          <w:tcPr>
            <w:tcW w:type="dxa" w:w="2160"/>
          </w:tcPr>
          <w:p>
            <w:r/>
            <w:r>
              <w:rPr>
                <w:rFonts w:ascii="Calibri" w:hAnsi="Calibri"/>
                <w:b w:val="0"/>
                <w:i w:val="0"/>
                <w:color w:val="333333"/>
                <w:sz w:val="20"/>
              </w:rPr>
              <w:t>Direction-insensitive</w:t>
            </w:r>
          </w:p>
        </w:tc>
        <w:tc>
          <w:tcPr>
            <w:tcW w:type="dxa" w:w="2160"/>
          </w:tcPr>
          <w:p>
            <w:r/>
            <w:r>
              <w:rPr>
                <w:rFonts w:ascii="Calibri" w:hAnsi="Calibri"/>
                <w:b w:val="0"/>
                <w:i w:val="0"/>
                <w:color w:val="333333"/>
                <w:sz w:val="20"/>
              </w:rPr>
              <w:t>71.2%</w:t>
            </w:r>
          </w:p>
        </w:tc>
        <w:tc>
          <w:tcPr>
            <w:tcW w:type="dxa" w:w="2160"/>
          </w:tcPr>
          <w:p>
            <w:r/>
            <w:r>
              <w:rPr>
                <w:rFonts w:ascii="Calibri" w:hAnsi="Calibri"/>
                <w:b w:val="0"/>
                <w:i w:val="0"/>
                <w:color w:val="333333"/>
                <w:sz w:val="20"/>
              </w:rPr>
              <w:t>62.6%</w:t>
            </w:r>
          </w:p>
        </w:tc>
        <w:tc>
          <w:tcPr>
            <w:tcW w:type="dxa" w:w="2160"/>
          </w:tcPr>
          <w:p>
            <w:r/>
            <w:r>
              <w:rPr>
                <w:rFonts w:ascii="Calibri" w:hAnsi="Calibri"/>
                <w:b w:val="0"/>
                <w:i w:val="0"/>
                <w:color w:val="333333"/>
                <w:sz w:val="20"/>
              </w:rPr>
              <w:t>8.6pp</w:t>
            </w:r>
          </w:p>
        </w:tc>
      </w:tr>
      <w:tr>
        <w:tc>
          <w:tcPr>
            <w:tcW w:type="dxa" w:w="2160"/>
          </w:tcPr>
          <w:p>
            <w:r/>
            <w:r>
              <w:rPr>
                <w:rFonts w:ascii="Calibri" w:hAnsi="Calibri"/>
                <w:b w:val="0"/>
                <w:i w:val="0"/>
                <w:color w:val="333333"/>
                <w:sz w:val="20"/>
              </w:rPr>
              <w:t>Direction-insensitive + no direction error</w:t>
            </w:r>
          </w:p>
        </w:tc>
        <w:tc>
          <w:tcPr>
            <w:tcW w:type="dxa" w:w="2160"/>
          </w:tcPr>
          <w:p>
            <w:r/>
            <w:r>
              <w:rPr>
                <w:rFonts w:ascii="Calibri" w:hAnsi="Calibri"/>
                <w:b w:val="0"/>
                <w:i w:val="0"/>
                <w:color w:val="333333"/>
                <w:sz w:val="20"/>
              </w:rPr>
              <w:t>~71.2%</w:t>
            </w:r>
          </w:p>
        </w:tc>
        <w:tc>
          <w:tcPr>
            <w:tcW w:type="dxa" w:w="2160"/>
          </w:tcPr>
          <w:p>
            <w:r/>
            <w:r>
              <w:rPr>
                <w:rFonts w:ascii="Calibri" w:hAnsi="Calibri"/>
                <w:b w:val="0"/>
                <w:i w:val="0"/>
                <w:color w:val="333333"/>
                <w:sz w:val="20"/>
              </w:rPr>
              <w:t>~68.2%</w:t>
            </w:r>
          </w:p>
        </w:tc>
        <w:tc>
          <w:tcPr>
            <w:tcW w:type="dxa" w:w="2160"/>
          </w:tcPr>
          <w:p>
            <w:r/>
            <w:r>
              <w:rPr>
                <w:rFonts w:ascii="Calibri" w:hAnsi="Calibri"/>
                <w:b w:val="0"/>
                <w:i w:val="0"/>
                <w:color w:val="333333"/>
                <w:sz w:val="20"/>
              </w:rPr>
              <w:t>~3.0pp</w:t>
            </w:r>
          </w:p>
        </w:tc>
      </w:tr>
    </w:tbl>
    <w:p/>
    <w:p>
      <w:r>
        <w:rPr>
          <w:rFonts w:ascii="Calibri" w:hAnsi="Calibri"/>
          <w:b/>
          <w:i w:val="0"/>
          <w:color w:val="333333"/>
          <w:sz w:val="22"/>
        </w:rPr>
        <w:t>Direction alone accounts for ~83% of the performance gap</w:t>
      </w:r>
      <w:r>
        <w:rPr>
          <w:rFonts w:ascii="Calibri" w:hAnsi="Calibri"/>
          <w:b w:val="0"/>
          <w:i w:val="0"/>
          <w:color w:val="333333"/>
          <w:sz w:val="22"/>
        </w:rPr>
        <w:t xml:space="preserve"> (14.7pp of the 17.7pp delta).</w:t>
      </w:r>
    </w:p>
    <w:p>
      <w:pPr>
        <w:pStyle w:val="Heading3"/>
      </w:pPr>
      <w:r>
        <w:rPr>
          <w:rFonts w:ascii="Calibri" w:hAnsi="Calibri"/>
          <w:color w:val="2B2B2B"/>
        </w:rPr>
        <w:t>Output Truncation (Parse Failures)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Parse Failures</w:t>
            </w:r>
          </w:p>
        </w:tc>
        <w:tc>
          <w:tcPr>
            <w:tcW w:type="dxa" w:w="2880"/>
            <w:shd w:fill="E8E8E8" w:val="clear"/>
          </w:tcPr>
          <w:p>
            <w:r/>
            <w:r>
              <w:rPr>
                <w:rFonts w:ascii="Calibri" w:hAnsi="Calibri"/>
                <w:b/>
                <w:i w:val="0"/>
                <w:color w:val="2B2B2B"/>
                <w:sz w:val="20"/>
              </w:rPr>
              <w:t>% of 67</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3</w:t>
            </w:r>
          </w:p>
        </w:tc>
        <w:tc>
          <w:tcPr>
            <w:tcW w:type="dxa" w:w="2880"/>
          </w:tcPr>
          <w:p>
            <w:r/>
            <w:r>
              <w:rPr>
                <w:rFonts w:ascii="Calibri" w:hAnsi="Calibri"/>
                <w:b w:val="0"/>
                <w:i w:val="0"/>
                <w:color w:val="333333"/>
                <w:sz w:val="20"/>
              </w:rPr>
              <w:t>4.5%</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7</w:t>
            </w:r>
          </w:p>
        </w:tc>
        <w:tc>
          <w:tcPr>
            <w:tcW w:type="dxa" w:w="2880"/>
          </w:tcPr>
          <w:p>
            <w:r/>
            <w:r>
              <w:rPr>
                <w:rFonts w:ascii="Calibri" w:hAnsi="Calibri"/>
                <w:b w:val="0"/>
                <w:i w:val="0"/>
                <w:color w:val="333333"/>
                <w:sz w:val="20"/>
              </w:rPr>
              <w:t>10.4%</w:t>
            </w:r>
          </w:p>
        </w:tc>
      </w:tr>
    </w:tbl>
    <w:p/>
    <w:p>
      <w:r>
        <w:rPr>
          <w:rFonts w:ascii="Calibri" w:hAnsi="Calibri"/>
          <w:b w:val="0"/>
          <w:i w:val="0"/>
          <w:color w:val="333333"/>
          <w:sz w:val="22"/>
        </w:rPr>
        <w:t xml:space="preserve">All parse failures in both models are caused by </w:t>
      </w:r>
      <w:r>
        <w:rPr>
          <w:rFonts w:ascii="Calibri" w:hAnsi="Calibri"/>
          <w:b/>
          <w:i w:val="0"/>
          <w:color w:val="333333"/>
          <w:sz w:val="22"/>
        </w:rPr>
        <w:t>response truncation</w:t>
      </w:r>
      <w:r>
        <w:rPr>
          <w:rFonts w:ascii="Calibri" w:hAnsi="Calibri"/>
          <w:b w:val="0"/>
          <w:i w:val="0"/>
          <w:color w:val="333333"/>
          <w:sz w:val="22"/>
        </w:rPr>
        <w:t xml:space="preserve"> -- the JSON output is cut off mid-field, producing invalid JSON. T5Gemma's responses are shorter on average (median 666 chars vs. 1171 for Qwen) but fail more often, suggesting it hits its generation limit sooner. Interestingly, 3 of the parse-failure test cases are shared between both models (337973596, 149605362, 291574773), indicating those cases have unusually many join relationships.</w:t>
      </w:r>
    </w:p>
    <w:p>
      <w:pPr>
        <w:pStyle w:val="Heading3"/>
      </w:pPr>
      <w:r>
        <w:rPr>
          <w:rFonts w:ascii="Calibri" w:hAnsi="Calibri"/>
          <w:color w:val="2B2B2B"/>
        </w:rPr>
        <w:t>Response Format Differences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E8E8E8" w:val="clear"/>
          </w:tcPr>
          <w:p>
            <w:r/>
            <w:r>
              <w:rPr>
                <w:rFonts w:ascii="Calibri" w:hAnsi="Calibri"/>
                <w:b/>
                <w:i w:val="0"/>
                <w:color w:val="2B2B2B"/>
                <w:sz w:val="20"/>
              </w:rPr>
              <w:t>Model</w:t>
            </w:r>
          </w:p>
        </w:tc>
        <w:tc>
          <w:tcPr>
            <w:tcW w:type="dxa" w:w="2880"/>
            <w:shd w:fill="E8E8E8" w:val="clear"/>
          </w:tcPr>
          <w:p>
            <w:r/>
            <w:r>
              <w:rPr>
                <w:rFonts w:ascii="Calibri" w:hAnsi="Calibri"/>
                <w:b/>
                <w:i w:val="0"/>
                <w:color w:val="2B2B2B"/>
                <w:sz w:val="20"/>
              </w:rPr>
              <w:t>Format</w:t>
            </w:r>
          </w:p>
        </w:tc>
        <w:tc>
          <w:tcPr>
            <w:tcW w:type="dxa" w:w="2880"/>
            <w:shd w:fill="E8E8E8" w:val="clear"/>
          </w:tcPr>
          <w:p>
            <w:r/>
            <w:r>
              <w:rPr>
                <w:rFonts w:ascii="Calibri" w:hAnsi="Calibri"/>
                <w:b/>
                <w:i w:val="0"/>
                <w:color w:val="2B2B2B"/>
                <w:sz w:val="20"/>
              </w:rPr>
              <w:t>Explanation before JSON</w:t>
            </w:r>
          </w:p>
        </w:tc>
      </w:tr>
      <w:tr>
        <w:tc>
          <w:tcPr>
            <w:tcW w:type="dxa" w:w="2880"/>
          </w:tcPr>
          <w:p>
            <w:r/>
            <w:r>
              <w:rPr>
                <w:rFonts w:ascii="Calibri" w:hAnsi="Calibri"/>
                <w:b w:val="0"/>
                <w:i w:val="0"/>
                <w:color w:val="333333"/>
                <w:sz w:val="20"/>
              </w:rPr>
              <w:t>Qwen</w:t>
            </w:r>
          </w:p>
        </w:tc>
        <w:tc>
          <w:tcPr>
            <w:tcW w:type="dxa" w:w="2880"/>
          </w:tcPr>
          <w:p>
            <w:r/>
            <w:r>
              <w:rPr>
                <w:rFonts w:ascii="Calibri" w:hAnsi="Calibri"/>
                <w:b w:val="0"/>
                <w:i w:val="0"/>
                <w:color w:val="333333"/>
                <w:sz w:val="20"/>
              </w:rPr>
              <w:t>Free text + JSON code block</w:t>
            </w:r>
          </w:p>
        </w:tc>
        <w:tc>
          <w:tcPr>
            <w:tcW w:type="dxa" w:w="2880"/>
          </w:tcPr>
          <w:p>
            <w:r/>
            <w:r>
              <w:rPr>
                <w:rFonts w:ascii="Calibri" w:hAnsi="Calibri"/>
                <w:b w:val="0"/>
                <w:i w:val="0"/>
                <w:color w:val="333333"/>
                <w:sz w:val="20"/>
              </w:rPr>
              <w:t>67/67 (100%)</w:t>
            </w:r>
          </w:p>
        </w:tc>
      </w:tr>
      <w:tr>
        <w:tc>
          <w:tcPr>
            <w:tcW w:type="dxa" w:w="2880"/>
          </w:tcPr>
          <w:p>
            <w:r/>
            <w:r>
              <w:rPr>
                <w:rFonts w:ascii="Calibri" w:hAnsi="Calibri"/>
                <w:b w:val="0"/>
                <w:i w:val="0"/>
                <w:color w:val="333333"/>
                <w:sz w:val="20"/>
              </w:rPr>
              <w:t>T5Gemma</w:t>
            </w:r>
          </w:p>
        </w:tc>
        <w:tc>
          <w:tcPr>
            <w:tcW w:type="dxa" w:w="2880"/>
          </w:tcPr>
          <w:p>
            <w:r/>
            <w:r>
              <w:rPr>
                <w:rFonts w:ascii="Calibri" w:hAnsi="Calibri"/>
                <w:b w:val="0"/>
                <w:i w:val="0"/>
                <w:color w:val="333333"/>
                <w:sz w:val="20"/>
              </w:rPr>
              <w:t>Pure JSON code block</w:t>
            </w:r>
          </w:p>
        </w:tc>
        <w:tc>
          <w:tcPr>
            <w:tcW w:type="dxa" w:w="2880"/>
          </w:tcPr>
          <w:p>
            <w:r/>
            <w:r>
              <w:rPr>
                <w:rFonts w:ascii="Calibri" w:hAnsi="Calibri"/>
                <w:b w:val="0"/>
                <w:i w:val="0"/>
                <w:color w:val="333333"/>
                <w:sz w:val="20"/>
              </w:rPr>
              <w:t>67/67 (100%)</w:t>
            </w:r>
          </w:p>
        </w:tc>
      </w:tr>
    </w:tbl>
    <w:p/>
    <w:p>
      <w:r>
        <w:rPr>
          <w:rFonts w:ascii="Calibri" w:hAnsi="Calibri"/>
          <w:b w:val="0"/>
          <w:i w:val="0"/>
          <w:color w:val="333333"/>
          <w:sz w:val="22"/>
        </w:rPr>
        <w:t>Qwen always generates explanatory text ("Based on the provided schema...") before producing the JSON. T5Gemma always outputs a JSON code block directly. Despite Qwen's verbosity consuming output tokens, its explanatory reasoning may serve as a chain-of-thought that helps it identify the correct join direction.</w:t>
      </w:r>
    </w:p>
    <w:p>
      <w:pPr>
        <w:pStyle w:val="Heading2"/>
      </w:pPr>
      <w:r>
        <w:rPr>
          <w:rFonts w:ascii="Calibri" w:hAnsi="Calibri"/>
          <w:color w:val="2B2B2B"/>
        </w:rPr>
        <w:t>Pattern Analysis</w:t>
      </w:r>
    </w:p>
    <w:p>
      <w:pPr>
        <w:pStyle w:val="Heading3"/>
      </w:pPr>
      <w:r>
        <w:rPr>
          <w:rFonts w:ascii="Calibri" w:hAnsi="Calibri"/>
          <w:color w:val="2B2B2B"/>
        </w:rPr>
        <w:t>Pattern 1: T5Gemma Systematically Reverses Join Direction</w:t>
      </w:r>
    </w:p>
    <w:p>
      <w:r>
        <w:rPr>
          <w:rFonts w:ascii="Calibri" w:hAnsi="Calibri"/>
          <w:b w:val="0"/>
          <w:i w:val="0"/>
          <w:color w:val="333333"/>
          <w:sz w:val="22"/>
        </w:rPr>
        <w:t xml:space="preserve">T5Gemma tends to place the </w:t>
      </w:r>
      <w:r>
        <w:rPr>
          <w:rFonts w:ascii="Calibri" w:hAnsi="Calibri"/>
          <w:b/>
          <w:i w:val="0"/>
          <w:color w:val="333333"/>
          <w:sz w:val="22"/>
        </w:rPr>
        <w:t>dimension/lookup table</w:t>
      </w:r>
      <w:r>
        <w:rPr>
          <w:rFonts w:ascii="Calibri" w:hAnsi="Calibri"/>
          <w:b w:val="0"/>
          <w:i w:val="0"/>
          <w:color w:val="333333"/>
          <w:sz w:val="22"/>
        </w:rPr>
        <w:t xml:space="preserve"> as </w:t>
      </w:r>
      <w:r>
        <w:rPr>
          <w:rFonts w:ascii="Consolas" w:hAnsi="Consolas"/>
          <w:b w:val="0"/>
          <w:i w:val="0"/>
          <w:color w:val="444444"/>
          <w:sz w:val="20"/>
        </w:rPr>
        <w:t>from_table</w:t>
      </w:r>
      <w:r>
        <w:rPr>
          <w:rFonts w:ascii="Calibri" w:hAnsi="Calibri"/>
          <w:b w:val="0"/>
          <w:i w:val="0"/>
          <w:color w:val="333333"/>
          <w:sz w:val="22"/>
        </w:rPr>
        <w:t xml:space="preserve"> and the </w:t>
      </w:r>
      <w:r>
        <w:rPr>
          <w:rFonts w:ascii="Calibri" w:hAnsi="Calibri"/>
          <w:b/>
          <w:i w:val="0"/>
          <w:color w:val="333333"/>
          <w:sz w:val="22"/>
        </w:rPr>
        <w:t>fact/referencing table</w:t>
      </w:r>
      <w:r>
        <w:rPr>
          <w:rFonts w:ascii="Calibri" w:hAnsi="Calibri"/>
          <w:b w:val="0"/>
          <w:i w:val="0"/>
          <w:color w:val="333333"/>
          <w:sz w:val="22"/>
        </w:rPr>
        <w:t xml:space="preserve"> as </w:t>
      </w:r>
      <w:r>
        <w:rPr>
          <w:rFonts w:ascii="Consolas" w:hAnsi="Consolas"/>
          <w:b w:val="0"/>
          <w:i w:val="0"/>
          <w:color w:val="444444"/>
          <w:sz w:val="20"/>
        </w:rPr>
        <w:t>to_table</w:t>
      </w:r>
      <w:r>
        <w:rPr>
          <w:rFonts w:ascii="Calibri" w:hAnsi="Calibri"/>
          <w:b w:val="0"/>
          <w:i w:val="0"/>
          <w:color w:val="333333"/>
          <w:sz w:val="22"/>
        </w:rPr>
        <w:t xml:space="preserve">. This follows a "primary key points to foreign key" convention (PK -&gt; FK). The ground truth follows the opposite convention: the table holding the foreign key is </w:t>
      </w:r>
      <w:r>
        <w:rPr>
          <w:rFonts w:ascii="Consolas" w:hAnsi="Consolas"/>
          <w:b w:val="0"/>
          <w:i w:val="0"/>
          <w:color w:val="444444"/>
          <w:sz w:val="20"/>
        </w:rPr>
        <w:t>from_table</w:t>
      </w:r>
      <w:r>
        <w:rPr>
          <w:rFonts w:ascii="Calibri" w:hAnsi="Calibri"/>
          <w:b w:val="0"/>
          <w:i w:val="0"/>
          <w:color w:val="333333"/>
          <w:sz w:val="22"/>
        </w:rPr>
        <w:t xml:space="preserve"> (FK -&gt; PK, i.e., "this table references that table"). Qwen reliably adopts the FK -&gt; PK convention that matches the ground truth.</w:t>
      </w:r>
    </w:p>
    <w:p>
      <w:pPr>
        <w:pStyle w:val="Heading3"/>
      </w:pPr>
      <w:r>
        <w:rPr>
          <w:rFonts w:ascii="Calibri" w:hAnsi="Calibri"/>
          <w:color w:val="2B2B2B"/>
        </w:rPr>
        <w:t>Pattern 2: T5Gemma Hallucinates Column Names</w:t>
      </w:r>
    </w:p>
    <w:p>
      <w:r>
        <w:rPr>
          <w:rFonts w:ascii="Calibri" w:hAnsi="Calibri"/>
          <w:b w:val="0"/>
          <w:i w:val="0"/>
          <w:color w:val="333333"/>
          <w:sz w:val="22"/>
        </w:rPr>
        <w:t>In several cases, T5Gemma invents or misrenames columns. For example, in case 939121682, the DIM_Calendar table has a column called "Date" but T5Gemma refers to it as "DateKey". In case 208829205, the table is named "D_Vendedor" but T5Gemma calls it "D_VENDEUR" (French instead of Portuguese). These are semantic near-misses that the exact-match evaluator cannot credit.</w:t>
      </w:r>
    </w:p>
    <w:p>
      <w:pPr>
        <w:pStyle w:val="Heading3"/>
      </w:pPr>
      <w:r>
        <w:rPr>
          <w:rFonts w:ascii="Calibri" w:hAnsi="Calibri"/>
          <w:color w:val="2B2B2B"/>
        </w:rPr>
        <w:t>Pattern 3: Qwen's Chain-of-Thought Helps Accuracy</w:t>
      </w:r>
    </w:p>
    <w:p>
      <w:r>
        <w:rPr>
          <w:rFonts w:ascii="Calibri" w:hAnsi="Calibri"/>
          <w:b w:val="0"/>
          <w:i w:val="0"/>
          <w:color w:val="333333"/>
          <w:sz w:val="22"/>
        </w:rPr>
        <w:t>Qwen's explanatory text often explicitly reasons about which table references which, e.g., "The sales table can be joined with the people table using the Sales Person column." This reasoning appears to anchor the direction correctly (the table with the FK is stated as "from"). T5Gemma, outputting pure JSON without reasoning, has no such anchor.</w:t>
      </w:r>
    </w:p>
    <w:p>
      <w:pPr>
        <w:pStyle w:val="Heading3"/>
      </w:pPr>
      <w:r>
        <w:rPr>
          <w:rFonts w:ascii="Calibri" w:hAnsi="Calibri"/>
          <w:color w:val="2B2B2B"/>
        </w:rPr>
        <w:t>Pattern 4: Truncation Disproportionately Hurts T5Gemma</w:t>
      </w:r>
    </w:p>
    <w:p>
      <w:r>
        <w:rPr>
          <w:rFonts w:ascii="Calibri" w:hAnsi="Calibri"/>
          <w:b w:val="0"/>
          <w:i w:val="0"/>
          <w:color w:val="333333"/>
          <w:sz w:val="22"/>
        </w:rPr>
        <w:t>For complex databases with many tables (8+ join relationships), both models risk running out of output tokens. But T5Gemma's shorter effective output budget means it fails more often. Three of the seven T5Gemma truncation cases are shared with Qwen (both fail), but four are T5Gemma-only failures.</w:t>
      </w:r>
    </w:p>
    <w:p>
      <w:pPr>
        <w:pStyle w:val="Heading2"/>
      </w:pPr>
      <w:r>
        <w:rPr>
          <w:rFonts w:ascii="Calibri" w:hAnsi="Calibri"/>
          <w:color w:val="2B2B2B"/>
        </w:rPr>
        <w:t>Detailed Example Breakdowns</w:t>
      </w:r>
    </w:p>
    <w:p>
      <w:pPr>
        <w:pStyle w:val="Heading3"/>
      </w:pPr>
      <w:r>
        <w:rPr>
          <w:rFonts w:ascii="Calibri" w:hAnsi="Calibri"/>
          <w:color w:val="2B2B2B"/>
        </w:rPr>
        <w:t>Example 1: Case 279073330 (Delta = +1.0, Qwen wins)</w:t>
      </w:r>
    </w:p>
    <w:p>
      <w:r>
        <w:rPr>
          <w:rFonts w:ascii="Calibri" w:hAnsi="Calibri"/>
          <w:b/>
          <w:i w:val="0"/>
          <w:color w:val="333333"/>
          <w:sz w:val="22"/>
        </w:rPr>
        <w:t>Database</w:t>
      </w:r>
      <w:r>
        <w:rPr>
          <w:rFonts w:ascii="Calibri" w:hAnsi="Calibri"/>
          <w:b w:val="0"/>
          <w:i w:val="0"/>
          <w:color w:val="333333"/>
          <w:sz w:val="22"/>
        </w:rPr>
        <w:t xml:space="preserve">: Sales analytics with 4 tables: </w:t>
      </w:r>
      <w:r>
        <w:rPr>
          <w:rFonts w:ascii="Consolas" w:hAnsi="Consolas"/>
          <w:b w:val="0"/>
          <w:i w:val="0"/>
          <w:color w:val="444444"/>
          <w:sz w:val="20"/>
        </w:rPr>
        <w:t>sales</w:t>
      </w:r>
      <w:r>
        <w:rPr>
          <w:rFonts w:ascii="Calibri" w:hAnsi="Calibri"/>
          <w:b w:val="0"/>
          <w:i w:val="0"/>
          <w:color w:val="333333"/>
          <w:sz w:val="22"/>
        </w:rPr>
        <w:t xml:space="preserve">, </w:t>
      </w:r>
      <w:r>
        <w:rPr>
          <w:rFonts w:ascii="Consolas" w:hAnsi="Consolas"/>
          <w:b w:val="0"/>
          <w:i w:val="0"/>
          <w:color w:val="444444"/>
          <w:sz w:val="20"/>
        </w:rPr>
        <w:t>products</w:t>
      </w:r>
      <w:r>
        <w:rPr>
          <w:rFonts w:ascii="Calibri" w:hAnsi="Calibri"/>
          <w:b w:val="0"/>
          <w:i w:val="0"/>
          <w:color w:val="333333"/>
          <w:sz w:val="22"/>
        </w:rPr>
        <w:t xml:space="preserve">, </w:t>
      </w:r>
      <w:r>
        <w:rPr>
          <w:rFonts w:ascii="Consolas" w:hAnsi="Consolas"/>
          <w:b w:val="0"/>
          <w:i w:val="0"/>
          <w:color w:val="444444"/>
          <w:sz w:val="20"/>
        </w:rPr>
        <w:t>locations</w:t>
      </w:r>
      <w:r>
        <w:rPr>
          <w:rFonts w:ascii="Calibri" w:hAnsi="Calibri"/>
          <w:b w:val="0"/>
          <w:i w:val="0"/>
          <w:color w:val="333333"/>
          <w:sz w:val="22"/>
        </w:rPr>
        <w:t xml:space="preserve">, </w:t>
      </w:r>
      <w:r>
        <w:rPr>
          <w:rFonts w:ascii="Consolas" w:hAnsi="Consolas"/>
          <w:b w:val="0"/>
          <w:i w:val="0"/>
          <w:color w:val="444444"/>
          <w:sz w:val="20"/>
        </w:rPr>
        <w:t>people</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(3 joins):</w:t>
      </w:r>
    </w:p>
    <w:p>
      <w:pPr>
        <w:shd w:fill="F5F5F5" w:val="clear"/>
      </w:pPr>
      <w:r>
        <w:rPr>
          <w:rFonts w:ascii="Consolas" w:hAnsi="Consolas"/>
          <w:b w:val="0"/>
          <w:i w:val="0"/>
          <w:color w:val="444444"/>
          <w:sz w:val="18"/>
        </w:rPr>
        <w:t>(sales, Product) -&gt; (products, Product)</w:t>
        <w:br/>
        <w:t>(sales, Geography) -&gt; (locations, Geo)</w:t>
        <w:br/>
        <w:t>(sales, Sales Person) -&gt; (people, Sales person)</w:t>
      </w:r>
    </w:p>
    <w:p>
      <w:r>
        <w:rPr>
          <w:rFonts w:ascii="Calibri" w:hAnsi="Calibri"/>
          <w:b/>
          <w:i w:val="0"/>
          <w:color w:val="333333"/>
          <w:sz w:val="22"/>
        </w:rPr>
        <w:t>Qwen prediction</w:t>
      </w:r>
      <w:r>
        <w:rPr>
          <w:rFonts w:ascii="Calibri" w:hAnsi="Calibri"/>
          <w:b w:val="0"/>
          <w:i w:val="0"/>
          <w:color w:val="333333"/>
          <w:sz w:val="22"/>
        </w:rPr>
        <w:t>: Exactly matches ground truth. 3/3 correct. F1 = 1.0.</w:t>
      </w:r>
    </w:p>
    <w:p>
      <w:pPr>
        <w:shd w:fill="F5F5F5" w:val="clear"/>
      </w:pPr>
      <w:r>
        <w:rPr>
          <w:rFonts w:ascii="Consolas" w:hAnsi="Consolas"/>
          <w:b w:val="0"/>
          <w:i w:val="0"/>
          <w:color w:val="444444"/>
          <w:sz w:val="18"/>
        </w:rPr>
        <w:t>{"joins": [</w:t>
        <w:br/>
        <w:t xml:space="preserve">  {"from_table": "sales", "from_column": "Sales Person", "to_table": "people", "to_column": "Sales person"},</w:t>
        <w:br/>
        <w:t xml:space="preserve">  {"from_table": "sales", "from_column": "Product", "to_table": "products", "to_column": "Product"},</w:t>
        <w:br/>
        <w:t xml:space="preserve">  {"from_table": "sales", "from_column": "Geography", "to_table": "locations", "to_column": "Geo"}</w:t>
        <w:br/>
        <w:t>]}</w:t>
      </w:r>
    </w:p>
    <w:p>
      <w:r>
        <w:rPr>
          <w:rFonts w:ascii="Calibri" w:hAnsi="Calibri"/>
          <w:b/>
          <w:i w:val="0"/>
          <w:color w:val="333333"/>
          <w:sz w:val="22"/>
        </w:rPr>
        <w:t>T5Gemma prediction</w:t>
      </w:r>
      <w:r>
        <w:rPr>
          <w:rFonts w:ascii="Calibri" w:hAnsi="Calibri"/>
          <w:b w:val="0"/>
          <w:i w:val="0"/>
          <w:color w:val="333333"/>
          <w:sz w:val="22"/>
        </w:rPr>
        <w:t xml:space="preserve">: Identifies the exact same 3 join relationships with the same column names, but </w:t>
      </w:r>
      <w:r>
        <w:rPr>
          <w:rFonts w:ascii="Calibri" w:hAnsi="Calibri"/>
          <w:b/>
          <w:i w:val="0"/>
          <w:color w:val="333333"/>
          <w:sz w:val="22"/>
        </w:rPr>
        <w:t>reverses the direction on all 3</w:t>
      </w:r>
      <w:r>
        <w:rPr>
          <w:rFonts w:ascii="Calibri" w:hAnsi="Calibri"/>
          <w:b w:val="0"/>
          <w:i w:val="0"/>
          <w:color w:val="333333"/>
          <w:sz w:val="22"/>
        </w:rPr>
        <w:t>. 0/3 match. F1 = 0.0.</w:t>
      </w:r>
    </w:p>
    <w:p>
      <w:pPr>
        <w:shd w:fill="F5F5F5" w:val="clear"/>
      </w:pPr>
      <w:r>
        <w:rPr>
          <w:rFonts w:ascii="Consolas" w:hAnsi="Consolas"/>
          <w:b w:val="0"/>
          <w:i w:val="0"/>
          <w:color w:val="444444"/>
          <w:sz w:val="18"/>
        </w:rPr>
        <w:t>{"joins": [</w:t>
        <w:br/>
        <w:t xml:space="preserve">  {"from_table": "locations", "from_column": "Geo", "to_table": "sales", "to_column": "Geography"},</w:t>
        <w:br/>
        <w:t xml:space="preserve">  {"from_table": "people", "from_column": "Sales person", "to_table": "sales", "to_column": "Sales Person"},</w:t>
        <w:br/>
        <w:t xml:space="preserve">  {"from_table": "products", "from_column": "Product", "to_table": "sales", "to_column": "Product"}</w:t>
        <w:br/>
        <w:t>]}</w:t>
      </w:r>
    </w:p>
    <w:p>
      <w:r>
        <w:rPr>
          <w:rFonts w:ascii="Calibri" w:hAnsi="Calibri"/>
          <w:b/>
          <w:i w:val="0"/>
          <w:color w:val="333333"/>
          <w:sz w:val="22"/>
        </w:rPr>
        <w:t>Analysis</w:t>
      </w:r>
      <w:r>
        <w:rPr>
          <w:rFonts w:ascii="Calibri" w:hAnsi="Calibri"/>
          <w:b w:val="0"/>
          <w:i w:val="0"/>
          <w:color w:val="333333"/>
          <w:sz w:val="22"/>
        </w:rPr>
        <w:t xml:space="preserve">: This is a pure direction-reversal case. T5Gemma uses a PK -&gt; FK convention (dimension table as </w:t>
      </w:r>
      <w:r>
        <w:rPr>
          <w:rFonts w:ascii="Consolas" w:hAnsi="Consolas"/>
          <w:b w:val="0"/>
          <w:i w:val="0"/>
          <w:color w:val="444444"/>
          <w:sz w:val="20"/>
        </w:rPr>
        <w:t>from_table</w:t>
      </w:r>
      <w:r>
        <w:rPr>
          <w:rFonts w:ascii="Calibri" w:hAnsi="Calibri"/>
          <w:b w:val="0"/>
          <w:i w:val="0"/>
          <w:color w:val="333333"/>
          <w:sz w:val="22"/>
        </w:rPr>
        <w:t xml:space="preserve">), while the ground truth uses FK -&gt; PK (fact table as </w:t>
      </w:r>
      <w:r>
        <w:rPr>
          <w:rFonts w:ascii="Consolas" w:hAnsi="Consolas"/>
          <w:b w:val="0"/>
          <w:i w:val="0"/>
          <w:color w:val="444444"/>
          <w:sz w:val="20"/>
        </w:rPr>
        <w:t>from_table</w:t>
      </w:r>
      <w:r>
        <w:rPr>
          <w:rFonts w:ascii="Calibri" w:hAnsi="Calibri"/>
          <w:b w:val="0"/>
          <w:i w:val="0"/>
          <w:color w:val="333333"/>
          <w:sz w:val="22"/>
        </w:rPr>
        <w:t>). The semantic content of both predictions is identical.</w:t>
      </w:r>
    </w:p>
    <w:p>
      <w:pPr>
        <w:pStyle w:val="Heading3"/>
      </w:pPr>
      <w:r>
        <w:rPr>
          <w:rFonts w:ascii="Calibri" w:hAnsi="Calibri"/>
          <w:color w:val="2B2B2B"/>
        </w:rPr>
        <w:t>Example 2: Case 939121682 (Delta = +1.0, Qwen wins)</w:t>
      </w:r>
    </w:p>
    <w:p>
      <w:r>
        <w:rPr>
          <w:rFonts w:ascii="Calibri" w:hAnsi="Calibri"/>
          <w:b/>
          <w:i w:val="0"/>
          <w:color w:val="333333"/>
          <w:sz w:val="22"/>
        </w:rPr>
        <w:t>Database</w:t>
      </w:r>
      <w:r>
        <w:rPr>
          <w:rFonts w:ascii="Calibri" w:hAnsi="Calibri"/>
          <w:b w:val="0"/>
          <w:i w:val="0"/>
          <w:color w:val="333333"/>
          <w:sz w:val="22"/>
        </w:rPr>
        <w:t xml:space="preserve">: Star schema with </w:t>
      </w:r>
      <w:r>
        <w:rPr>
          <w:rFonts w:ascii="Consolas" w:hAnsi="Consolas"/>
          <w:b w:val="0"/>
          <w:i w:val="0"/>
          <w:color w:val="444444"/>
          <w:sz w:val="20"/>
        </w:rPr>
        <w:t>DIM_Calendar</w:t>
      </w:r>
      <w:r>
        <w:rPr>
          <w:rFonts w:ascii="Calibri" w:hAnsi="Calibri"/>
          <w:b w:val="0"/>
          <w:i w:val="0"/>
          <w:color w:val="333333"/>
          <w:sz w:val="22"/>
        </w:rPr>
        <w:t xml:space="preserve">, </w:t>
      </w:r>
      <w:r>
        <w:rPr>
          <w:rFonts w:ascii="Consolas" w:hAnsi="Consolas"/>
          <w:b w:val="0"/>
          <w:i w:val="0"/>
          <w:color w:val="444444"/>
          <w:sz w:val="20"/>
        </w:rPr>
        <w:t>DIM_Customers</w:t>
      </w:r>
      <w:r>
        <w:rPr>
          <w:rFonts w:ascii="Calibri" w:hAnsi="Calibri"/>
          <w:b w:val="0"/>
          <w:i w:val="0"/>
          <w:color w:val="333333"/>
          <w:sz w:val="22"/>
        </w:rPr>
        <w:t xml:space="preserve">, </w:t>
      </w:r>
      <w:r>
        <w:rPr>
          <w:rFonts w:ascii="Consolas" w:hAnsi="Consolas"/>
          <w:b w:val="0"/>
          <w:i w:val="0"/>
          <w:color w:val="444444"/>
          <w:sz w:val="20"/>
        </w:rPr>
        <w:t>DIM_Products</w:t>
      </w:r>
      <w:r>
        <w:rPr>
          <w:rFonts w:ascii="Calibri" w:hAnsi="Calibri"/>
          <w:b w:val="0"/>
          <w:i w:val="0"/>
          <w:color w:val="333333"/>
          <w:sz w:val="22"/>
        </w:rPr>
        <w:t xml:space="preserve">, </w:t>
      </w:r>
      <w:r>
        <w:rPr>
          <w:rFonts w:ascii="Consolas" w:hAnsi="Consolas"/>
          <w:b w:val="0"/>
          <w:i w:val="0"/>
          <w:color w:val="444444"/>
          <w:sz w:val="20"/>
        </w:rPr>
        <w:t>FACT_InternetSales</w:t>
      </w:r>
      <w:r>
        <w:rPr>
          <w:rFonts w:ascii="Calibri" w:hAnsi="Calibri"/>
          <w:b w:val="0"/>
          <w:i w:val="0"/>
          <w:color w:val="333333"/>
          <w:sz w:val="22"/>
        </w:rPr>
        <w:t xml:space="preserve">, </w:t>
      </w:r>
      <w:r>
        <w:rPr>
          <w:rFonts w:ascii="Consolas" w:hAnsi="Consolas"/>
          <w:b w:val="0"/>
          <w:i w:val="0"/>
          <w:color w:val="444444"/>
          <w:sz w:val="20"/>
        </w:rPr>
        <w:t>FACT_Budget</w:t>
      </w:r>
      <w:r>
        <w:rPr>
          <w:rFonts w:ascii="Calibri" w:hAnsi="Calibri"/>
          <w:b w:val="0"/>
          <w:i w:val="0"/>
          <w:color w:val="333333"/>
          <w:sz w:val="22"/>
        </w:rPr>
        <w:t xml:space="preserve">, </w:t>
      </w:r>
      <w:r>
        <w:rPr>
          <w:rFonts w:ascii="Consolas" w:hAnsi="Consolas"/>
          <w:b w:val="0"/>
          <w:i w:val="0"/>
          <w:color w:val="444444"/>
          <w:sz w:val="20"/>
        </w:rPr>
        <w:t>Medidas</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(4 joins):</w:t>
      </w:r>
    </w:p>
    <w:p>
      <w:pPr>
        <w:shd w:fill="F5F5F5" w:val="clear"/>
      </w:pPr>
      <w:r>
        <w:rPr>
          <w:rFonts w:ascii="Consolas" w:hAnsi="Consolas"/>
          <w:b w:val="0"/>
          <w:i w:val="0"/>
          <w:color w:val="444444"/>
          <w:sz w:val="18"/>
        </w:rPr>
        <w:t>(FACT_InternetSales, OrderDateKey) -&gt; (DIM_Calendar, Date)</w:t>
        <w:br/>
        <w:t>(FACT_InternetSales, CustomerKey) -&gt; (DIM_Customers, CustomerKey)</w:t>
        <w:br/>
        <w:t>(FACT_InternetSales, ProductKey) -&gt; (DIM_Products, ProductKey)</w:t>
        <w:br/>
        <w:t>(FACT_Budget, Date) -&gt; (DIM_Calendar, Date)</w:t>
      </w:r>
    </w:p>
    <w:p>
      <w:r>
        <w:rPr>
          <w:rFonts w:ascii="Calibri" w:hAnsi="Calibri"/>
          <w:b/>
          <w:i w:val="0"/>
          <w:color w:val="333333"/>
          <w:sz w:val="22"/>
        </w:rPr>
        <w:t>Qwen</w:t>
      </w:r>
      <w:r>
        <w:rPr>
          <w:rFonts w:ascii="Calibri" w:hAnsi="Calibri"/>
          <w:b w:val="0"/>
          <w:i w:val="0"/>
          <w:color w:val="333333"/>
          <w:sz w:val="22"/>
        </w:rPr>
        <w:t>: Perfect match, 4/4. F1 = 1.0.</w:t>
      </w:r>
    </w:p>
    <w:p>
      <w:r>
        <w:rPr>
          <w:rFonts w:ascii="Calibri" w:hAnsi="Calibri"/>
          <w:b/>
          <w:i w:val="0"/>
          <w:color w:val="333333"/>
          <w:sz w:val="22"/>
        </w:rPr>
        <w:t>T5Gemma</w:t>
      </w:r>
      <w:r>
        <w:rPr>
          <w:rFonts w:ascii="Calibri" w:hAnsi="Calibri"/>
          <w:b w:val="0"/>
          <w:i w:val="0"/>
          <w:color w:val="333333"/>
          <w:sz w:val="22"/>
        </w:rPr>
        <w:t>: Three compounding errors:</w:t>
      </w:r>
    </w:p>
    <w:p>
      <w:pPr>
        <w:pStyle w:val="ListNumber"/>
      </w:pPr>
      <w:r>
        <w:rPr>
          <w:rFonts w:ascii="Calibri" w:hAnsi="Calibri"/>
          <w:b/>
          <w:i w:val="0"/>
          <w:color w:val="333333"/>
          <w:sz w:val="22"/>
        </w:rPr>
        <w:t>Direction reversed</w:t>
      </w:r>
      <w:r>
        <w:rPr>
          <w:rFonts w:ascii="Calibri" w:hAnsi="Calibri"/>
          <w:b w:val="0"/>
          <w:i w:val="0"/>
          <w:color w:val="333333"/>
          <w:sz w:val="22"/>
        </w:rPr>
        <w:t xml:space="preserve">: Places dimension tables as </w:t>
      </w:r>
      <w:r>
        <w:rPr>
          <w:rFonts w:ascii="Consolas" w:hAnsi="Consolas"/>
          <w:b w:val="0"/>
          <w:i w:val="0"/>
          <w:color w:val="444444"/>
          <w:sz w:val="20"/>
        </w:rPr>
        <w:t>from_table</w:t>
      </w:r>
      <w:r>
        <w:rPr>
          <w:rFonts w:ascii="Calibri" w:hAnsi="Calibri"/>
          <w:b w:val="0"/>
          <w:i w:val="0"/>
          <w:color w:val="333333"/>
          <w:sz w:val="22"/>
        </w:rPr>
        <w:t xml:space="preserve"> (e.g., </w:t>
      </w:r>
      <w:r>
        <w:rPr>
          <w:rFonts w:ascii="Consolas" w:hAnsi="Consolas"/>
          <w:b w:val="0"/>
          <w:i w:val="0"/>
          <w:color w:val="444444"/>
          <w:sz w:val="20"/>
        </w:rPr>
        <w:t>DIM_Calendar -&gt; FACT_InternetSales</w:t>
      </w:r>
      <w:r>
        <w:rPr>
          <w:rFonts w:ascii="Calibri" w:hAnsi="Calibri"/>
          <w:b w:val="0"/>
          <w:i w:val="0"/>
          <w:color w:val="333333"/>
          <w:sz w:val="22"/>
        </w:rPr>
        <w:t>).</w:t>
      </w:r>
    </w:p>
    <w:p>
      <w:pPr>
        <w:pStyle w:val="ListNumber"/>
      </w:pPr>
      <w:r>
        <w:rPr>
          <w:rFonts w:ascii="Calibri" w:hAnsi="Calibri"/>
          <w:b/>
          <w:i w:val="0"/>
          <w:color w:val="333333"/>
          <w:sz w:val="22"/>
        </w:rPr>
        <w:t>Column name hallucination</w:t>
      </w:r>
      <w:r>
        <w:rPr>
          <w:rFonts w:ascii="Calibri" w:hAnsi="Calibri"/>
          <w:b w:val="0"/>
          <w:i w:val="0"/>
          <w:color w:val="333333"/>
          <w:sz w:val="22"/>
        </w:rPr>
        <w:t xml:space="preserve">: Uses </w:t>
      </w:r>
      <w:r>
        <w:rPr>
          <w:rFonts w:ascii="Consolas" w:hAnsi="Consolas"/>
          <w:b w:val="0"/>
          <w:i w:val="0"/>
          <w:color w:val="444444"/>
          <w:sz w:val="20"/>
        </w:rPr>
        <w:t>DateKey</w:t>
      </w:r>
      <w:r>
        <w:rPr>
          <w:rFonts w:ascii="Calibri" w:hAnsi="Calibri"/>
          <w:b w:val="0"/>
          <w:i w:val="0"/>
          <w:color w:val="333333"/>
          <w:sz w:val="22"/>
        </w:rPr>
        <w:t xml:space="preserve"> for DIM_Calendar's column, but the actual column is called </w:t>
      </w:r>
      <w:r>
        <w:rPr>
          <w:rFonts w:ascii="Consolas" w:hAnsi="Consolas"/>
          <w:b w:val="0"/>
          <w:i w:val="0"/>
          <w:color w:val="444444"/>
          <w:sz w:val="20"/>
        </w:rPr>
        <w:t>Date</w:t>
      </w:r>
      <w:r>
        <w:rPr>
          <w:rFonts w:ascii="Calibri" w:hAnsi="Calibri"/>
          <w:b w:val="0"/>
          <w:i w:val="0"/>
          <w:color w:val="333333"/>
          <w:sz w:val="22"/>
        </w:rPr>
        <w:t>.</w:t>
      </w:r>
    </w:p>
    <w:p>
      <w:pPr>
        <w:pStyle w:val="ListNumber"/>
      </w:pPr>
      <w:r>
        <w:rPr>
          <w:rFonts w:ascii="Calibri" w:hAnsi="Calibri"/>
          <w:b/>
          <w:i w:val="0"/>
          <w:color w:val="333333"/>
          <w:sz w:val="22"/>
        </w:rPr>
        <w:t>Over-generation</w:t>
      </w:r>
      <w:r>
        <w:rPr>
          <w:rFonts w:ascii="Calibri" w:hAnsi="Calibri"/>
          <w:b w:val="0"/>
          <w:i w:val="0"/>
          <w:color w:val="333333"/>
          <w:sz w:val="22"/>
        </w:rPr>
        <w:t xml:space="preserve">: Predicts 6 joins instead of 4, adding </w:t>
      </w:r>
      <w:r>
        <w:rPr>
          <w:rFonts w:ascii="Consolas" w:hAnsi="Consolas"/>
          <w:b w:val="0"/>
          <w:i w:val="0"/>
          <w:color w:val="444444"/>
          <w:sz w:val="20"/>
        </w:rPr>
        <w:t>ShipDateKey</w:t>
      </w:r>
      <w:r>
        <w:rPr>
          <w:rFonts w:ascii="Calibri" w:hAnsi="Calibri"/>
          <w:b w:val="0"/>
          <w:i w:val="0"/>
          <w:color w:val="333333"/>
          <w:sz w:val="22"/>
        </w:rPr>
        <w:t xml:space="preserve"> and </w:t>
      </w:r>
      <w:r>
        <w:rPr>
          <w:rFonts w:ascii="Consolas" w:hAnsi="Consolas"/>
          <w:b w:val="0"/>
          <w:i w:val="0"/>
          <w:color w:val="444444"/>
          <w:sz w:val="20"/>
        </w:rPr>
        <w:t>DueDateKey</w:t>
      </w:r>
      <w:r>
        <w:rPr>
          <w:rFonts w:ascii="Calibri" w:hAnsi="Calibri"/>
          <w:b w:val="0"/>
          <w:i w:val="0"/>
          <w:color w:val="333333"/>
          <w:sz w:val="22"/>
        </w:rPr>
        <w:t xml:space="preserve"> joins that aren't in the ground truth.</w:t>
      </w:r>
    </w:p>
    <w:p>
      <w:r>
        <w:rPr>
          <w:rFonts w:ascii="Calibri" w:hAnsi="Calibri"/>
          <w:b w:val="0"/>
          <w:i w:val="0"/>
          <w:color w:val="333333"/>
          <w:sz w:val="22"/>
        </w:rPr>
        <w:t>Result: 0/6 predictions match any of the 4 ground truth tuples. F1 = 0.0.</w:t>
      </w:r>
    </w:p>
    <w:p>
      <w:r>
        <w:rPr>
          <w:rFonts w:ascii="Calibri" w:hAnsi="Calibri"/>
          <w:b/>
          <w:i w:val="0"/>
          <w:color w:val="333333"/>
          <w:sz w:val="22"/>
        </w:rPr>
        <w:t>Analysis</w:t>
      </w:r>
      <w:r>
        <w:rPr>
          <w:rFonts w:ascii="Calibri" w:hAnsi="Calibri"/>
          <w:b w:val="0"/>
          <w:i w:val="0"/>
          <w:color w:val="333333"/>
          <w:sz w:val="22"/>
        </w:rPr>
        <w:t xml:space="preserve">: T5Gemma demonstrates reasonable database understanding (ShipDateKey and DueDateKey </w:t>
      </w:r>
      <w:r>
        <w:rPr>
          <w:rFonts w:ascii="Calibri" w:hAnsi="Calibri"/>
          <w:b w:val="0"/>
          <w:i/>
          <w:color w:val="333333"/>
          <w:sz w:val="22"/>
        </w:rPr>
        <w:t>are</w:t>
      </w:r>
      <w:r>
        <w:rPr>
          <w:rFonts w:ascii="Calibri" w:hAnsi="Calibri"/>
          <w:b w:val="0"/>
          <w:i w:val="0"/>
          <w:color w:val="333333"/>
          <w:sz w:val="22"/>
        </w:rPr>
        <w:t xml:space="preserve"> plausible join columns), but direction reversal + column name error means zero credit.</w:t>
      </w:r>
    </w:p>
    <w:p>
      <w:pPr>
        <w:pStyle w:val="Heading3"/>
      </w:pPr>
      <w:r>
        <w:rPr>
          <w:rFonts w:ascii="Calibri" w:hAnsi="Calibri"/>
          <w:color w:val="2B2B2B"/>
        </w:rPr>
        <w:t>Example 3: Case 208829205 (Delta = +0.875, Qwen wins)</w:t>
      </w:r>
    </w:p>
    <w:p>
      <w:r>
        <w:rPr>
          <w:rFonts w:ascii="Calibri" w:hAnsi="Calibri"/>
          <w:b/>
          <w:i w:val="0"/>
          <w:color w:val="333333"/>
          <w:sz w:val="22"/>
        </w:rPr>
        <w:t>Database</w:t>
      </w:r>
      <w:r>
        <w:rPr>
          <w:rFonts w:ascii="Calibri" w:hAnsi="Calibri"/>
          <w:b w:val="0"/>
          <w:i w:val="0"/>
          <w:color w:val="333333"/>
          <w:sz w:val="22"/>
        </w:rPr>
        <w:t xml:space="preserve">: Portuguese-language sales data warehouse with 9 tables including </w:t>
      </w:r>
      <w:r>
        <w:rPr>
          <w:rFonts w:ascii="Consolas" w:hAnsi="Consolas"/>
          <w:b w:val="0"/>
          <w:i w:val="0"/>
          <w:color w:val="444444"/>
          <w:sz w:val="20"/>
        </w:rPr>
        <w:t>Fato_venda</w:t>
      </w:r>
      <w:r>
        <w:rPr>
          <w:rFonts w:ascii="Calibri" w:hAnsi="Calibri"/>
          <w:b w:val="0"/>
          <w:i w:val="0"/>
          <w:color w:val="333333"/>
          <w:sz w:val="22"/>
        </w:rPr>
        <w:t xml:space="preserve">, </w:t>
      </w:r>
      <w:r>
        <w:rPr>
          <w:rFonts w:ascii="Consolas" w:hAnsi="Consolas"/>
          <w:b w:val="0"/>
          <w:i w:val="0"/>
          <w:color w:val="444444"/>
          <w:sz w:val="20"/>
        </w:rPr>
        <w:t>D_PRODUTOS</w:t>
      </w:r>
      <w:r>
        <w:rPr>
          <w:rFonts w:ascii="Calibri" w:hAnsi="Calibri"/>
          <w:b w:val="0"/>
          <w:i w:val="0"/>
          <w:color w:val="333333"/>
          <w:sz w:val="22"/>
        </w:rPr>
        <w:t xml:space="preserve">, </w:t>
      </w:r>
      <w:r>
        <w:rPr>
          <w:rFonts w:ascii="Consolas" w:hAnsi="Consolas"/>
          <w:b w:val="0"/>
          <w:i w:val="0"/>
          <w:color w:val="444444"/>
          <w:sz w:val="20"/>
        </w:rPr>
        <w:t>D_CLIENTES</w:t>
      </w:r>
      <w:r>
        <w:rPr>
          <w:rFonts w:ascii="Calibri" w:hAnsi="Calibri"/>
          <w:b w:val="0"/>
          <w:i w:val="0"/>
          <w:color w:val="333333"/>
          <w:sz w:val="22"/>
        </w:rPr>
        <w:t xml:space="preserve">, </w:t>
      </w:r>
      <w:r>
        <w:rPr>
          <w:rFonts w:ascii="Consolas" w:hAnsi="Consolas"/>
          <w:b w:val="0"/>
          <w:i w:val="0"/>
          <w:color w:val="444444"/>
          <w:sz w:val="20"/>
        </w:rPr>
        <w:t>D_Vendedor</w:t>
      </w:r>
      <w:r>
        <w:rPr>
          <w:rFonts w:ascii="Calibri" w:hAnsi="Calibri"/>
          <w:b w:val="0"/>
          <w:i w:val="0"/>
          <w:color w:val="333333"/>
          <w:sz w:val="22"/>
        </w:rPr>
        <w:t xml:space="preserve">, </w:t>
      </w:r>
      <w:r>
        <w:rPr>
          <w:rFonts w:ascii="Consolas" w:hAnsi="Consolas"/>
          <w:b w:val="0"/>
          <w:i w:val="0"/>
          <w:color w:val="444444"/>
          <w:sz w:val="20"/>
        </w:rPr>
        <w:t>D_Tempo_Oficial</w:t>
      </w:r>
      <w:r>
        <w:rPr>
          <w:rFonts w:ascii="Calibri" w:hAnsi="Calibri"/>
          <w:b w:val="0"/>
          <w:i w:val="0"/>
          <w:color w:val="333333"/>
          <w:sz w:val="22"/>
        </w:rPr>
        <w:t>, etc.</w:t>
      </w:r>
    </w:p>
    <w:p>
      <w:r>
        <w:rPr>
          <w:rFonts w:ascii="Calibri" w:hAnsi="Calibri"/>
          <w:b/>
          <w:i w:val="0"/>
          <w:color w:val="333333"/>
          <w:sz w:val="22"/>
        </w:rPr>
        <w:t>Ground truth</w:t>
      </w:r>
      <w:r>
        <w:rPr>
          <w:rFonts w:ascii="Calibri" w:hAnsi="Calibri"/>
          <w:b w:val="0"/>
          <w:i w:val="0"/>
          <w:color w:val="333333"/>
          <w:sz w:val="22"/>
        </w:rPr>
        <w:t>: 9 joins.</w:t>
      </w:r>
    </w:p>
    <w:p>
      <w:r>
        <w:rPr>
          <w:rFonts w:ascii="Calibri" w:hAnsi="Calibri"/>
          <w:b/>
          <w:i w:val="0"/>
          <w:color w:val="333333"/>
          <w:sz w:val="22"/>
        </w:rPr>
        <w:t>Qwen</w:t>
      </w:r>
      <w:r>
        <w:rPr>
          <w:rFonts w:ascii="Calibri" w:hAnsi="Calibri"/>
          <w:b w:val="0"/>
          <w:i w:val="0"/>
          <w:color w:val="333333"/>
          <w:sz w:val="22"/>
        </w:rPr>
        <w:t xml:space="preserve">: Perfect 9/9. F1 = 1.0. Correctly uses table name </w:t>
      </w:r>
      <w:r>
        <w:rPr>
          <w:rFonts w:ascii="Consolas" w:hAnsi="Consolas"/>
          <w:b w:val="0"/>
          <w:i w:val="0"/>
          <w:color w:val="444444"/>
          <w:sz w:val="20"/>
        </w:rPr>
        <w:t>D_Vendedor</w:t>
      </w:r>
      <w:r>
        <w:rPr>
          <w:rFonts w:ascii="Calibri" w:hAnsi="Calibri"/>
          <w:b w:val="0"/>
          <w:i w:val="0"/>
          <w:color w:val="333333"/>
          <w:sz w:val="22"/>
        </w:rPr>
        <w:t xml:space="preserve">, column name </w:t>
      </w:r>
      <w:r>
        <w:rPr>
          <w:rFonts w:ascii="Consolas" w:hAnsi="Consolas"/>
          <w:b w:val="0"/>
          <w:i w:val="0"/>
          <w:color w:val="444444"/>
          <w:sz w:val="20"/>
        </w:rPr>
        <w:t>Cod_Vend</w:t>
      </w:r>
      <w:r>
        <w:rPr>
          <w:rFonts w:ascii="Calibri" w:hAnsi="Calibri"/>
          <w:b w:val="0"/>
          <w:i w:val="0"/>
          <w:color w:val="333333"/>
          <w:sz w:val="22"/>
        </w:rPr>
        <w:t>, and the FK -&gt; PK direction.</w:t>
      </w:r>
    </w:p>
    <w:p>
      <w:r>
        <w:rPr>
          <w:rFonts w:ascii="Calibri" w:hAnsi="Calibri"/>
          <w:b/>
          <w:i w:val="0"/>
          <w:color w:val="333333"/>
          <w:sz w:val="22"/>
        </w:rPr>
        <w:t>T5Gemma</w:t>
      </w:r>
      <w:r>
        <w:rPr>
          <w:rFonts w:ascii="Calibri" w:hAnsi="Calibri"/>
          <w:b w:val="0"/>
          <w:i w:val="0"/>
          <w:color w:val="333333"/>
          <w:sz w:val="22"/>
        </w:rPr>
        <w:t>: Only 1/7 match (</w:t>
      </w:r>
      <w:r>
        <w:rPr>
          <w:rFonts w:ascii="Consolas" w:hAnsi="Consolas"/>
          <w:b w:val="0"/>
          <w:i w:val="0"/>
          <w:color w:val="444444"/>
          <w:sz w:val="20"/>
        </w:rPr>
        <w:t>D_CLIENTES.Cod_uf -&gt; D_UF.Cod_uf</w:t>
      </w:r>
      <w:r>
        <w:rPr>
          <w:rFonts w:ascii="Calibri" w:hAnsi="Calibri"/>
          <w:b w:val="0"/>
          <w:i w:val="0"/>
          <w:color w:val="333333"/>
          <w:sz w:val="22"/>
        </w:rPr>
        <w:t>). F1 = 0.125.</w:t>
      </w:r>
    </w:p>
    <w:p>
      <w:pPr>
        <w:pStyle w:val="ListBullet"/>
      </w:pPr>
      <w:r>
        <w:rPr>
          <w:rFonts w:ascii="Calibri" w:hAnsi="Calibri"/>
          <w:b/>
          <w:i w:val="0"/>
          <w:color w:val="333333"/>
          <w:sz w:val="22"/>
        </w:rPr>
        <w:t>Direction reversal</w:t>
      </w:r>
      <w:r>
        <w:rPr>
          <w:rFonts w:ascii="Calibri" w:hAnsi="Calibri"/>
          <w:b w:val="0"/>
          <w:i w:val="0"/>
          <w:color w:val="333333"/>
          <w:sz w:val="22"/>
        </w:rPr>
        <w:t xml:space="preserve"> on 5 joins.</w:t>
      </w:r>
    </w:p>
    <w:p>
      <w:pPr>
        <w:pStyle w:val="ListBullet"/>
      </w:pPr>
      <w:r>
        <w:rPr>
          <w:rFonts w:ascii="Calibri" w:hAnsi="Calibri"/>
          <w:b/>
          <w:i w:val="0"/>
          <w:color w:val="333333"/>
          <w:sz w:val="22"/>
        </w:rPr>
        <w:t>Table name hallucination</w:t>
      </w:r>
      <w:r>
        <w:rPr>
          <w:rFonts w:ascii="Calibri" w:hAnsi="Calibri"/>
          <w:b w:val="0"/>
          <w:i w:val="0"/>
          <w:color w:val="333333"/>
          <w:sz w:val="22"/>
        </w:rPr>
        <w:t xml:space="preserve">: Uses </w:t>
      </w:r>
      <w:r>
        <w:rPr>
          <w:rFonts w:ascii="Consolas" w:hAnsi="Consolas"/>
          <w:b w:val="0"/>
          <w:i w:val="0"/>
          <w:color w:val="444444"/>
          <w:sz w:val="20"/>
        </w:rPr>
        <w:t>D_VENDEUR</w:t>
      </w:r>
      <w:r>
        <w:rPr>
          <w:rFonts w:ascii="Calibri" w:hAnsi="Calibri"/>
          <w:b w:val="0"/>
          <w:i w:val="0"/>
          <w:color w:val="333333"/>
          <w:sz w:val="22"/>
        </w:rPr>
        <w:t xml:space="preserve"> (French) instead of </w:t>
      </w:r>
      <w:r>
        <w:rPr>
          <w:rFonts w:ascii="Consolas" w:hAnsi="Consolas"/>
          <w:b w:val="0"/>
          <w:i w:val="0"/>
          <w:color w:val="444444"/>
          <w:sz w:val="20"/>
        </w:rPr>
        <w:t>D_Vendedor</w:t>
      </w:r>
      <w:r>
        <w:rPr>
          <w:rFonts w:ascii="Calibri" w:hAnsi="Calibri"/>
          <w:b w:val="0"/>
          <w:i w:val="0"/>
          <w:color w:val="333333"/>
          <w:sz w:val="22"/>
        </w:rPr>
        <w:t xml:space="preserve"> (Portuguese).</w:t>
      </w:r>
    </w:p>
    <w:p>
      <w:pPr>
        <w:pStyle w:val="ListBullet"/>
      </w:pPr>
      <w:r>
        <w:rPr>
          <w:rFonts w:ascii="Calibri" w:hAnsi="Calibri"/>
          <w:b/>
          <w:i w:val="0"/>
          <w:color w:val="333333"/>
          <w:sz w:val="22"/>
        </w:rPr>
        <w:t>Missing joins</w:t>
      </w:r>
      <w:r>
        <w:rPr>
          <w:rFonts w:ascii="Calibri" w:hAnsi="Calibri"/>
          <w:b w:val="0"/>
          <w:i w:val="0"/>
          <w:color w:val="333333"/>
          <w:sz w:val="22"/>
        </w:rPr>
        <w:t>: Does not predict the two temporal joins (</w:t>
      </w:r>
      <w:r>
        <w:rPr>
          <w:rFonts w:ascii="Consolas" w:hAnsi="Consolas"/>
          <w:b w:val="0"/>
          <w:i w:val="0"/>
          <w:color w:val="444444"/>
          <w:sz w:val="20"/>
        </w:rPr>
        <w:t>Fato_venda.Dt_Venda -&gt; D_Tempo_Oficial.Data_ref</w:t>
      </w:r>
      <w:r>
        <w:rPr>
          <w:rFonts w:ascii="Calibri" w:hAnsi="Calibri"/>
          <w:b w:val="0"/>
          <w:i w:val="0"/>
          <w:color w:val="333333"/>
          <w:sz w:val="22"/>
        </w:rPr>
        <w:t xml:space="preserve"> and </w:t>
      </w:r>
      <w:r>
        <w:rPr>
          <w:rFonts w:ascii="Consolas" w:hAnsi="Consolas"/>
          <w:b w:val="0"/>
          <w:i w:val="0"/>
          <w:color w:val="444444"/>
          <w:sz w:val="20"/>
        </w:rPr>
        <w:t>Fato_meta.Mes/Ano -&gt; D_Tempo_Oficial.Data_ref</w:t>
      </w:r>
      <w:r>
        <w:rPr>
          <w:rFonts w:ascii="Calibri" w:hAnsi="Calibri"/>
          <w:b w:val="0"/>
          <w:i w:val="0"/>
          <w:color w:val="333333"/>
          <w:sz w:val="22"/>
        </w:rPr>
        <w:t>).</w:t>
      </w:r>
    </w:p>
    <w:p>
      <w:r>
        <w:rPr>
          <w:rFonts w:ascii="Calibri" w:hAnsi="Calibri"/>
          <w:b/>
          <w:i w:val="0"/>
          <w:color w:val="333333"/>
          <w:sz w:val="22"/>
        </w:rPr>
        <w:t>Analysis</w:t>
      </w:r>
      <w:r>
        <w:rPr>
          <w:rFonts w:ascii="Calibri" w:hAnsi="Calibri"/>
          <w:b w:val="0"/>
          <w:i w:val="0"/>
          <w:color w:val="333333"/>
          <w:sz w:val="22"/>
        </w:rPr>
        <w:t>: T5Gemma's multilingual confusion (French vs. Portuguese table names) and direction reversal compound to near-total failure on a case Qwen handles perfectly.</w:t>
      </w:r>
    </w:p>
    <w:p>
      <w:pPr>
        <w:pStyle w:val="Heading3"/>
      </w:pPr>
      <w:r>
        <w:rPr>
          <w:rFonts w:ascii="Calibri" w:hAnsi="Calibri"/>
          <w:color w:val="2B2B2B"/>
        </w:rPr>
        <w:t>Example 4: Case 235479503 (Delta = -0.667, T5Gemma wins)</w:t>
      </w:r>
    </w:p>
    <w:p>
      <w:r>
        <w:rPr>
          <w:rFonts w:ascii="Calibri" w:hAnsi="Calibri"/>
          <w:b/>
          <w:i w:val="0"/>
          <w:color w:val="333333"/>
          <w:sz w:val="22"/>
        </w:rPr>
        <w:t>Database</w:t>
      </w:r>
      <w:r>
        <w:rPr>
          <w:rFonts w:ascii="Calibri" w:hAnsi="Calibri"/>
          <w:b w:val="0"/>
          <w:i w:val="0"/>
          <w:color w:val="333333"/>
          <w:sz w:val="22"/>
        </w:rPr>
        <w:t xml:space="preserve">: Harry Potter themed database with </w:t>
      </w:r>
      <w:r>
        <w:rPr>
          <w:rFonts w:ascii="Consolas" w:hAnsi="Consolas"/>
          <w:b w:val="0"/>
          <w:i w:val="0"/>
          <w:color w:val="444444"/>
          <w:sz w:val="20"/>
        </w:rPr>
        <w:t>Chapters</w:t>
      </w:r>
      <w:r>
        <w:rPr>
          <w:rFonts w:ascii="Calibri" w:hAnsi="Calibri"/>
          <w:b w:val="0"/>
          <w:i w:val="0"/>
          <w:color w:val="333333"/>
          <w:sz w:val="22"/>
        </w:rPr>
        <w:t xml:space="preserve">, </w:t>
      </w:r>
      <w:r>
        <w:rPr>
          <w:rFonts w:ascii="Consolas" w:hAnsi="Consolas"/>
          <w:b w:val="0"/>
          <w:i w:val="0"/>
          <w:color w:val="444444"/>
          <w:sz w:val="20"/>
        </w:rPr>
        <w:t>Characters</w:t>
      </w:r>
      <w:r>
        <w:rPr>
          <w:rFonts w:ascii="Calibri" w:hAnsi="Calibri"/>
          <w:b w:val="0"/>
          <w:i w:val="0"/>
          <w:color w:val="333333"/>
          <w:sz w:val="22"/>
        </w:rPr>
        <w:t xml:space="preserve">, </w:t>
      </w:r>
      <w:r>
        <w:rPr>
          <w:rFonts w:ascii="Consolas" w:hAnsi="Consolas"/>
          <w:b w:val="0"/>
          <w:i w:val="0"/>
          <w:color w:val="444444"/>
          <w:sz w:val="20"/>
        </w:rPr>
        <w:t>Dialogue</w:t>
      </w:r>
      <w:r>
        <w:rPr>
          <w:rFonts w:ascii="Calibri" w:hAnsi="Calibri"/>
          <w:b w:val="0"/>
          <w:i w:val="0"/>
          <w:color w:val="333333"/>
          <w:sz w:val="22"/>
        </w:rPr>
        <w:t xml:space="preserve">, </w:t>
      </w:r>
      <w:r>
        <w:rPr>
          <w:rFonts w:ascii="Consolas" w:hAnsi="Consolas"/>
          <w:b w:val="0"/>
          <w:i w:val="0"/>
          <w:color w:val="444444"/>
          <w:sz w:val="20"/>
        </w:rPr>
        <w:t>Dialogue {Extract Spell}</w:t>
      </w:r>
      <w:r>
        <w:rPr>
          <w:rFonts w:ascii="Calibri" w:hAnsi="Calibri"/>
          <w:b w:val="0"/>
          <w:i w:val="0"/>
          <w:color w:val="333333"/>
          <w:sz w:val="22"/>
        </w:rPr>
        <w:t xml:space="preserve">, </w:t>
      </w:r>
      <w:r>
        <w:rPr>
          <w:rFonts w:ascii="Consolas" w:hAnsi="Consolas"/>
          <w:b w:val="0"/>
          <w:i w:val="0"/>
          <w:color w:val="444444"/>
          <w:sz w:val="20"/>
        </w:rPr>
        <w:t>Movies</w:t>
      </w:r>
      <w:r>
        <w:rPr>
          <w:rFonts w:ascii="Calibri" w:hAnsi="Calibri"/>
          <w:b w:val="0"/>
          <w:i w:val="0"/>
          <w:color w:val="333333"/>
          <w:sz w:val="22"/>
        </w:rPr>
        <w:t xml:space="preserve">, </w:t>
      </w:r>
      <w:r>
        <w:rPr>
          <w:rFonts w:ascii="Consolas" w:hAnsi="Consolas"/>
          <w:b w:val="0"/>
          <w:i w:val="0"/>
          <w:color w:val="444444"/>
          <w:sz w:val="20"/>
        </w:rPr>
        <w:t>Places</w:t>
      </w:r>
      <w:r>
        <w:rPr>
          <w:rFonts w:ascii="Calibri" w:hAnsi="Calibri"/>
          <w:b w:val="0"/>
          <w:i w:val="0"/>
          <w:color w:val="333333"/>
          <w:sz w:val="22"/>
        </w:rPr>
        <w:t xml:space="preserve">, </w:t>
      </w:r>
      <w:r>
        <w:rPr>
          <w:rFonts w:ascii="Consolas" w:hAnsi="Consolas"/>
          <w:b w:val="0"/>
          <w:i w:val="0"/>
          <w:color w:val="444444"/>
          <w:sz w:val="20"/>
        </w:rPr>
        <w:t>Spells</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(8 joins), using </w:t>
      </w:r>
      <w:r>
        <w:rPr>
          <w:rFonts w:ascii="Consolas" w:hAnsi="Consolas"/>
          <w:b w:val="0"/>
          <w:i w:val="0"/>
          <w:color w:val="444444"/>
          <w:sz w:val="20"/>
        </w:rPr>
        <w:t>Dialogue -&gt; Chapters</w:t>
      </w:r>
      <w:r>
        <w:rPr>
          <w:rFonts w:ascii="Calibri" w:hAnsi="Calibri"/>
          <w:b w:val="0"/>
          <w:i w:val="0"/>
          <w:color w:val="333333"/>
          <w:sz w:val="22"/>
        </w:rPr>
        <w:t xml:space="preserve">, </w:t>
      </w:r>
      <w:r>
        <w:rPr>
          <w:rFonts w:ascii="Consolas" w:hAnsi="Consolas"/>
          <w:b w:val="0"/>
          <w:i w:val="0"/>
          <w:color w:val="444444"/>
          <w:sz w:val="20"/>
        </w:rPr>
        <w:t>Dialogue -&gt; Characters</w:t>
      </w:r>
      <w:r>
        <w:rPr>
          <w:rFonts w:ascii="Calibri" w:hAnsi="Calibri"/>
          <w:b w:val="0"/>
          <w:i w:val="0"/>
          <w:color w:val="333333"/>
          <w:sz w:val="22"/>
        </w:rPr>
        <w:t xml:space="preserve">, etc. (the table with the FK is </w:t>
      </w:r>
      <w:r>
        <w:rPr>
          <w:rFonts w:ascii="Consolas" w:hAnsi="Consolas"/>
          <w:b w:val="0"/>
          <w:i w:val="0"/>
          <w:color w:val="444444"/>
          <w:sz w:val="20"/>
        </w:rPr>
        <w:t>from_table</w:t>
      </w:r>
      <w:r>
        <w:rPr>
          <w:rFonts w:ascii="Calibri" w:hAnsi="Calibri"/>
          <w:b w:val="0"/>
          <w:i w:val="0"/>
          <w:color w:val="333333"/>
          <w:sz w:val="22"/>
        </w:rPr>
        <w:t>).</w:t>
      </w:r>
    </w:p>
    <w:p>
      <w:r>
        <w:rPr>
          <w:rFonts w:ascii="Calibri" w:hAnsi="Calibri"/>
          <w:b/>
          <w:i w:val="0"/>
          <w:color w:val="333333"/>
          <w:sz w:val="22"/>
        </w:rPr>
        <w:t>Qwen</w:t>
      </w:r>
      <w:r>
        <w:rPr>
          <w:rFonts w:ascii="Calibri" w:hAnsi="Calibri"/>
          <w:b w:val="0"/>
          <w:i w:val="0"/>
          <w:color w:val="333333"/>
          <w:sz w:val="22"/>
        </w:rPr>
        <w:t xml:space="preserve">: Scores 0.0. Despite identifying 6 correct join relationships, Qwen </w:t>
      </w:r>
      <w:r>
        <w:rPr>
          <w:rFonts w:ascii="Calibri" w:hAnsi="Calibri"/>
          <w:b/>
          <w:i w:val="0"/>
          <w:color w:val="333333"/>
          <w:sz w:val="22"/>
        </w:rPr>
        <w:t>reverses the direction</w:t>
      </w:r>
      <w:r>
        <w:rPr>
          <w:rFonts w:ascii="Calibri" w:hAnsi="Calibri"/>
          <w:b w:val="0"/>
          <w:i w:val="0"/>
          <w:color w:val="333333"/>
          <w:sz w:val="22"/>
        </w:rPr>
        <w:t xml:space="preserve"> on every single one: </w:t>
      </w:r>
      <w:r>
        <w:rPr>
          <w:rFonts w:ascii="Consolas" w:hAnsi="Consolas"/>
          <w:b w:val="0"/>
          <w:i w:val="0"/>
          <w:color w:val="444444"/>
          <w:sz w:val="20"/>
        </w:rPr>
        <w:t>Chapters -&gt; Dialogue</w:t>
      </w:r>
      <w:r>
        <w:rPr>
          <w:rFonts w:ascii="Calibri" w:hAnsi="Calibri"/>
          <w:b w:val="0"/>
          <w:i w:val="0"/>
          <w:color w:val="333333"/>
          <w:sz w:val="22"/>
        </w:rPr>
        <w:t xml:space="preserve"> instead of </w:t>
      </w:r>
      <w:r>
        <w:rPr>
          <w:rFonts w:ascii="Consolas" w:hAnsi="Consolas"/>
          <w:b w:val="0"/>
          <w:i w:val="0"/>
          <w:color w:val="444444"/>
          <w:sz w:val="20"/>
        </w:rPr>
        <w:t>Dialogue -&gt; Chapters</w:t>
      </w:r>
      <w:r>
        <w:rPr>
          <w:rFonts w:ascii="Calibri" w:hAnsi="Calibri"/>
          <w:b w:val="0"/>
          <w:i w:val="0"/>
          <w:color w:val="333333"/>
          <w:sz w:val="22"/>
        </w:rPr>
        <w:t>.</w:t>
      </w:r>
    </w:p>
    <w:p>
      <w:r>
        <w:rPr>
          <w:rFonts w:ascii="Calibri" w:hAnsi="Calibri"/>
          <w:b/>
          <w:i w:val="0"/>
          <w:color w:val="333333"/>
          <w:sz w:val="22"/>
        </w:rPr>
        <w:t>T5Gemma</w:t>
      </w:r>
      <w:r>
        <w:rPr>
          <w:rFonts w:ascii="Calibri" w:hAnsi="Calibri"/>
          <w:b w:val="0"/>
          <w:i w:val="0"/>
          <w:color w:val="333333"/>
          <w:sz w:val="22"/>
        </w:rPr>
        <w:t>: Scores 0.667. Gets 5/8 correct with proper direction on most, but reverses direction on 2 (</w:t>
      </w:r>
      <w:r>
        <w:rPr>
          <w:rFonts w:ascii="Consolas" w:hAnsi="Consolas"/>
          <w:b w:val="0"/>
          <w:i w:val="0"/>
          <w:color w:val="444444"/>
          <w:sz w:val="20"/>
        </w:rPr>
        <w:t>Chapters -&gt; Dialogue</w:t>
      </w:r>
      <w:r>
        <w:rPr>
          <w:rFonts w:ascii="Calibri" w:hAnsi="Calibri"/>
          <w:b w:val="0"/>
          <w:i w:val="0"/>
          <w:color w:val="333333"/>
          <w:sz w:val="22"/>
        </w:rPr>
        <w:t xml:space="preserve"> pairs) and misses the </w:t>
      </w:r>
      <w:r>
        <w:rPr>
          <w:rFonts w:ascii="Consolas" w:hAnsi="Consolas"/>
          <w:b w:val="0"/>
          <w:i w:val="0"/>
          <w:color w:val="444444"/>
          <w:sz w:val="20"/>
        </w:rPr>
        <w:t>Dialogue {Extract Spell}.Custom.Incantation -&gt; Spells.Incantation</w:t>
      </w:r>
      <w:r>
        <w:rPr>
          <w:rFonts w:ascii="Calibri" w:hAnsi="Calibri"/>
          <w:b w:val="0"/>
          <w:i w:val="0"/>
          <w:color w:val="333333"/>
          <w:sz w:val="22"/>
        </w:rPr>
        <w:t xml:space="preserve"> join.</w:t>
      </w:r>
    </w:p>
    <w:p>
      <w:r>
        <w:rPr>
          <w:rFonts w:ascii="Calibri" w:hAnsi="Calibri"/>
          <w:b/>
          <w:i w:val="0"/>
          <w:color w:val="333333"/>
          <w:sz w:val="22"/>
        </w:rPr>
        <w:t>Analysis</w:t>
      </w:r>
      <w:r>
        <w:rPr>
          <w:rFonts w:ascii="Calibri" w:hAnsi="Calibri"/>
          <w:b w:val="0"/>
          <w:i w:val="0"/>
          <w:color w:val="333333"/>
          <w:sz w:val="22"/>
        </w:rPr>
        <w:t xml:space="preserve">: This is one of the rare cases where </w:t>
      </w:r>
      <w:r>
        <w:rPr>
          <w:rFonts w:ascii="Calibri" w:hAnsi="Calibri"/>
          <w:b w:val="0"/>
          <w:i/>
          <w:color w:val="333333"/>
          <w:sz w:val="22"/>
        </w:rPr>
        <w:t>Qwen</w:t>
      </w:r>
      <w:r>
        <w:rPr>
          <w:rFonts w:ascii="Calibri" w:hAnsi="Calibri"/>
          <w:b w:val="0"/>
          <w:i w:val="0"/>
          <w:color w:val="333333"/>
          <w:sz w:val="22"/>
        </w:rPr>
        <w:t xml:space="preserve"> reverses direction. Notably, 4 of the 8 GT joins have bridge/child tables as </w:t>
      </w:r>
      <w:r>
        <w:rPr>
          <w:rFonts w:ascii="Consolas" w:hAnsi="Consolas"/>
          <w:b w:val="0"/>
          <w:i w:val="0"/>
          <w:color w:val="444444"/>
          <w:sz w:val="20"/>
        </w:rPr>
        <w:t>from_table</w:t>
      </w:r>
      <w:r>
        <w:rPr>
          <w:rFonts w:ascii="Calibri" w:hAnsi="Calibri"/>
          <w:b w:val="0"/>
          <w:i w:val="0"/>
          <w:color w:val="333333"/>
          <w:sz w:val="22"/>
        </w:rPr>
        <w:t xml:space="preserve"> and parent tables as </w:t>
      </w:r>
      <w:r>
        <w:rPr>
          <w:rFonts w:ascii="Consolas" w:hAnsi="Consolas"/>
          <w:b w:val="0"/>
          <w:i w:val="0"/>
          <w:color w:val="444444"/>
          <w:sz w:val="20"/>
        </w:rPr>
        <w:t>to_table</w:t>
      </w:r>
      <w:r>
        <w:rPr>
          <w:rFonts w:ascii="Calibri" w:hAnsi="Calibri"/>
          <w:b w:val="0"/>
          <w:i w:val="0"/>
          <w:color w:val="333333"/>
          <w:sz w:val="22"/>
        </w:rPr>
        <w:t xml:space="preserve"> -- the convention Qwen usually follows. But for this specific database, Qwen placed the parent (Chapters, Characters, Places) as </w:t>
      </w:r>
      <w:r>
        <w:rPr>
          <w:rFonts w:ascii="Consolas" w:hAnsi="Consolas"/>
          <w:b w:val="0"/>
          <w:i w:val="0"/>
          <w:color w:val="444444"/>
          <w:sz w:val="20"/>
        </w:rPr>
        <w:t>from_table</w:t>
      </w:r>
      <w:r>
        <w:rPr>
          <w:rFonts w:ascii="Calibri" w:hAnsi="Calibri"/>
          <w:b w:val="0"/>
          <w:i w:val="0"/>
          <w:color w:val="333333"/>
          <w:sz w:val="22"/>
        </w:rPr>
        <w:t>, going against its usual pattern. T5Gemma's mixed direction partially aligns with the GT here.</w:t>
      </w:r>
    </w:p>
    <w:p>
      <w:pPr>
        <w:pStyle w:val="Heading3"/>
      </w:pPr>
      <w:r>
        <w:rPr>
          <w:rFonts w:ascii="Calibri" w:hAnsi="Calibri"/>
          <w:color w:val="2B2B2B"/>
        </w:rPr>
        <w:t>Example 5: Case 173341254 (Delta = -0.5, T5Gemma wins)</w:t>
      </w:r>
    </w:p>
    <w:p>
      <w:r>
        <w:rPr>
          <w:rFonts w:ascii="Calibri" w:hAnsi="Calibri"/>
          <w:b/>
          <w:i w:val="0"/>
          <w:color w:val="333333"/>
          <w:sz w:val="22"/>
        </w:rPr>
        <w:t>Database</w:t>
      </w:r>
      <w:r>
        <w:rPr>
          <w:rFonts w:ascii="Calibri" w:hAnsi="Calibri"/>
          <w:b w:val="0"/>
          <w:i w:val="0"/>
          <w:color w:val="333333"/>
          <w:sz w:val="22"/>
        </w:rPr>
        <w:t>: Top Movies with bridge tables (</w:t>
      </w:r>
      <w:r>
        <w:rPr>
          <w:rFonts w:ascii="Consolas" w:hAnsi="Consolas"/>
          <w:b w:val="0"/>
          <w:i w:val="0"/>
          <w:color w:val="444444"/>
          <w:sz w:val="20"/>
        </w:rPr>
        <w:t>Actors Bridge</w:t>
      </w:r>
      <w:r>
        <w:rPr>
          <w:rFonts w:ascii="Calibri" w:hAnsi="Calibri"/>
          <w:b w:val="0"/>
          <w:i w:val="0"/>
          <w:color w:val="333333"/>
          <w:sz w:val="22"/>
        </w:rPr>
        <w:t xml:space="preserve">, </w:t>
      </w:r>
      <w:r>
        <w:rPr>
          <w:rFonts w:ascii="Consolas" w:hAnsi="Consolas"/>
          <w:b w:val="0"/>
          <w:i w:val="0"/>
          <w:color w:val="444444"/>
          <w:sz w:val="20"/>
        </w:rPr>
        <w:t>Country Bridge</w:t>
      </w:r>
      <w:r>
        <w:rPr>
          <w:rFonts w:ascii="Calibri" w:hAnsi="Calibri"/>
          <w:b w:val="0"/>
          <w:i w:val="0"/>
          <w:color w:val="333333"/>
          <w:sz w:val="22"/>
        </w:rPr>
        <w:t xml:space="preserve">, </w:t>
      </w:r>
      <w:r>
        <w:rPr>
          <w:rFonts w:ascii="Consolas" w:hAnsi="Consolas"/>
          <w:b w:val="0"/>
          <w:i w:val="0"/>
          <w:color w:val="444444"/>
          <w:sz w:val="20"/>
        </w:rPr>
        <w:t>Director Bridge</w:t>
      </w:r>
      <w:r>
        <w:rPr>
          <w:rFonts w:ascii="Calibri" w:hAnsi="Calibri"/>
          <w:b w:val="0"/>
          <w:i w:val="0"/>
          <w:color w:val="333333"/>
          <w:sz w:val="22"/>
        </w:rPr>
        <w:t xml:space="preserve">, </w:t>
      </w:r>
      <w:r>
        <w:rPr>
          <w:rFonts w:ascii="Consolas" w:hAnsi="Consolas"/>
          <w:b w:val="0"/>
          <w:i w:val="0"/>
          <w:color w:val="444444"/>
          <w:sz w:val="20"/>
        </w:rPr>
        <w:t>Genre Bridge</w:t>
      </w:r>
      <w:r>
        <w:rPr>
          <w:rFonts w:ascii="Calibri" w:hAnsi="Calibri"/>
          <w:b w:val="0"/>
          <w:i w:val="0"/>
          <w:color w:val="333333"/>
          <w:sz w:val="22"/>
        </w:rPr>
        <w:t xml:space="preserve">) connecting </w:t>
      </w:r>
      <w:r>
        <w:rPr>
          <w:rFonts w:ascii="Consolas" w:hAnsi="Consolas"/>
          <w:b w:val="0"/>
          <w:i w:val="0"/>
          <w:color w:val="444444"/>
          <w:sz w:val="20"/>
        </w:rPr>
        <w:t>TopMovies</w:t>
      </w:r>
      <w:r>
        <w:rPr>
          <w:rFonts w:ascii="Calibri" w:hAnsi="Calibri"/>
          <w:b w:val="0"/>
          <w:i w:val="0"/>
          <w:color w:val="333333"/>
          <w:sz w:val="22"/>
        </w:rPr>
        <w:t xml:space="preserve"> to lookup tables.</w:t>
      </w:r>
    </w:p>
    <w:p>
      <w:r>
        <w:rPr>
          <w:rFonts w:ascii="Calibri" w:hAnsi="Calibri"/>
          <w:b/>
          <w:i w:val="0"/>
          <w:color w:val="333333"/>
          <w:sz w:val="22"/>
        </w:rPr>
        <w:t>Ground truth</w:t>
      </w:r>
      <w:r>
        <w:rPr>
          <w:rFonts w:ascii="Calibri" w:hAnsi="Calibri"/>
          <w:b w:val="0"/>
          <w:i w:val="0"/>
          <w:color w:val="333333"/>
          <w:sz w:val="22"/>
        </w:rPr>
        <w:t xml:space="preserve"> (8 joins): Bridge tables are consistently </w:t>
      </w:r>
      <w:r>
        <w:rPr>
          <w:rFonts w:ascii="Consolas" w:hAnsi="Consolas"/>
          <w:b w:val="0"/>
          <w:i w:val="0"/>
          <w:color w:val="444444"/>
          <w:sz w:val="20"/>
        </w:rPr>
        <w:t>from_table</w:t>
      </w:r>
      <w:r>
        <w:rPr>
          <w:rFonts w:ascii="Calibri" w:hAnsi="Calibri"/>
          <w:b w:val="0"/>
          <w:i w:val="0"/>
          <w:color w:val="333333"/>
          <w:sz w:val="22"/>
        </w:rPr>
        <w:t>:</w:t>
      </w:r>
    </w:p>
    <w:p>
      <w:pPr>
        <w:shd w:fill="F5F5F5" w:val="clear"/>
      </w:pPr>
      <w:r>
        <w:rPr>
          <w:rFonts w:ascii="Consolas" w:hAnsi="Consolas"/>
          <w:b w:val="0"/>
          <w:i w:val="0"/>
          <w:color w:val="444444"/>
          <w:sz w:val="18"/>
        </w:rPr>
        <w:t>(Actors Bridge, Title) -&gt; (TopMovies, Title)</w:t>
        <w:br/>
        <w:t>(Actors Bridge, Actors) -&gt; (Actors, Actors)</w:t>
        <w:br/>
        <w:t>... (same pattern for Country, Director, Genre bridges)</w:t>
      </w:r>
    </w:p>
    <w:p>
      <w:r>
        <w:rPr>
          <w:rFonts w:ascii="Calibri" w:hAnsi="Calibri"/>
          <w:b/>
          <w:i w:val="0"/>
          <w:color w:val="333333"/>
          <w:sz w:val="22"/>
        </w:rPr>
        <w:t>Qwen</w:t>
      </w:r>
      <w:r>
        <w:rPr>
          <w:rFonts w:ascii="Calibri" w:hAnsi="Calibri"/>
          <w:b w:val="0"/>
          <w:i w:val="0"/>
          <w:color w:val="333333"/>
          <w:sz w:val="22"/>
        </w:rPr>
        <w:t xml:space="preserve">: F1 = 0.5. Gets 4/8 correct (the lookup-side joins like </w:t>
      </w:r>
      <w:r>
        <w:rPr>
          <w:rFonts w:ascii="Consolas" w:hAnsi="Consolas"/>
          <w:b w:val="0"/>
          <w:i w:val="0"/>
          <w:color w:val="444444"/>
          <w:sz w:val="20"/>
        </w:rPr>
        <w:t>Actors Bridge -&gt; Actors</w:t>
      </w:r>
      <w:r>
        <w:rPr>
          <w:rFonts w:ascii="Calibri" w:hAnsi="Calibri"/>
          <w:b w:val="0"/>
          <w:i w:val="0"/>
          <w:color w:val="333333"/>
          <w:sz w:val="22"/>
        </w:rPr>
        <w:t xml:space="preserve">) but reverses the 4 bridge-to-TopMovies joins as </w:t>
      </w:r>
      <w:r>
        <w:rPr>
          <w:rFonts w:ascii="Consolas" w:hAnsi="Consolas"/>
          <w:b w:val="0"/>
          <w:i w:val="0"/>
          <w:color w:val="444444"/>
          <w:sz w:val="20"/>
        </w:rPr>
        <w:t>TopMovies -&gt; Actors Bridge</w:t>
      </w:r>
      <w:r>
        <w:rPr>
          <w:rFonts w:ascii="Calibri" w:hAnsi="Calibri"/>
          <w:b w:val="0"/>
          <w:i w:val="0"/>
          <w:color w:val="333333"/>
          <w:sz w:val="22"/>
        </w:rPr>
        <w:t>.</w:t>
      </w:r>
    </w:p>
    <w:p>
      <w:r>
        <w:rPr>
          <w:rFonts w:ascii="Calibri" w:hAnsi="Calibri"/>
          <w:b/>
          <w:i w:val="0"/>
          <w:color w:val="333333"/>
          <w:sz w:val="22"/>
        </w:rPr>
        <w:t>T5Gemma</w:t>
      </w:r>
      <w:r>
        <w:rPr>
          <w:rFonts w:ascii="Calibri" w:hAnsi="Calibri"/>
          <w:b w:val="0"/>
          <w:i w:val="0"/>
          <w:color w:val="333333"/>
          <w:sz w:val="22"/>
        </w:rPr>
        <w:t>: F1 = 1.0. Perfect. All 8 joins match exactly.</w:t>
      </w:r>
    </w:p>
    <w:p>
      <w:r>
        <w:rPr>
          <w:rFonts w:ascii="Calibri" w:hAnsi="Calibri"/>
          <w:b/>
          <w:i w:val="0"/>
          <w:color w:val="333333"/>
          <w:sz w:val="22"/>
        </w:rPr>
        <w:t>Analysis</w:t>
      </w:r>
      <w:r>
        <w:rPr>
          <w:rFonts w:ascii="Calibri" w:hAnsi="Calibri"/>
          <w:b w:val="0"/>
          <w:i w:val="0"/>
          <w:color w:val="333333"/>
          <w:sz w:val="22"/>
        </w:rPr>
        <w:t xml:space="preserve">: T5Gemma correctly infers that bridge tables should be </w:t>
      </w:r>
      <w:r>
        <w:rPr>
          <w:rFonts w:ascii="Consolas" w:hAnsi="Consolas"/>
          <w:b w:val="0"/>
          <w:i w:val="0"/>
          <w:color w:val="444444"/>
          <w:sz w:val="20"/>
        </w:rPr>
        <w:t>from_table</w:t>
      </w:r>
      <w:r>
        <w:rPr>
          <w:rFonts w:ascii="Calibri" w:hAnsi="Calibri"/>
          <w:b w:val="0"/>
          <w:i w:val="0"/>
          <w:color w:val="333333"/>
          <w:sz w:val="22"/>
        </w:rPr>
        <w:t xml:space="preserve"> when joining to the main table. Qwen treats the main table (</w:t>
      </w:r>
      <w:r>
        <w:rPr>
          <w:rFonts w:ascii="Consolas" w:hAnsi="Consolas"/>
          <w:b w:val="0"/>
          <w:i w:val="0"/>
          <w:color w:val="444444"/>
          <w:sz w:val="20"/>
        </w:rPr>
        <w:t>TopMovies</w:t>
      </w:r>
      <w:r>
        <w:rPr>
          <w:rFonts w:ascii="Calibri" w:hAnsi="Calibri"/>
          <w:b w:val="0"/>
          <w:i w:val="0"/>
          <w:color w:val="333333"/>
          <w:sz w:val="22"/>
        </w:rPr>
        <w:t>) as the FK holder, which is wrong here -- the bridge table holds the FK.</w:t>
      </w:r>
    </w:p>
    <w:p>
      <w:pPr>
        <w:pStyle w:val="Heading3"/>
      </w:pPr>
      <w:r>
        <w:rPr>
          <w:rFonts w:ascii="Calibri" w:hAnsi="Calibri"/>
          <w:color w:val="2B2B2B"/>
        </w:rPr>
        <w:t>Example 6: Case 242856579 (Delta = +0.909, Qwen wins)</w:t>
      </w:r>
    </w:p>
    <w:p>
      <w:r>
        <w:rPr>
          <w:rFonts w:ascii="Calibri" w:hAnsi="Calibri"/>
          <w:b/>
          <w:i w:val="0"/>
          <w:color w:val="333333"/>
          <w:sz w:val="22"/>
        </w:rPr>
        <w:t>Database</w:t>
      </w:r>
      <w:r>
        <w:rPr>
          <w:rFonts w:ascii="Calibri" w:hAnsi="Calibri"/>
          <w:b w:val="0"/>
          <w:i w:val="0"/>
          <w:color w:val="333333"/>
          <w:sz w:val="22"/>
        </w:rPr>
        <w:t xml:space="preserve">: Crime/property analytics with </w:t>
      </w:r>
      <w:r>
        <w:rPr>
          <w:rFonts w:ascii="Consolas" w:hAnsi="Consolas"/>
          <w:b w:val="0"/>
          <w:i w:val="0"/>
          <w:color w:val="444444"/>
          <w:sz w:val="20"/>
        </w:rPr>
        <w:t>factCrime</w:t>
      </w:r>
      <w:r>
        <w:rPr>
          <w:rFonts w:ascii="Calibri" w:hAnsi="Calibri"/>
          <w:b w:val="0"/>
          <w:i w:val="0"/>
          <w:color w:val="333333"/>
          <w:sz w:val="22"/>
        </w:rPr>
        <w:t xml:space="preserve">, </w:t>
      </w:r>
      <w:r>
        <w:rPr>
          <w:rFonts w:ascii="Consolas" w:hAnsi="Consolas"/>
          <w:b w:val="0"/>
          <w:i w:val="0"/>
          <w:color w:val="444444"/>
          <w:sz w:val="20"/>
        </w:rPr>
        <w:t>weather</w:t>
      </w:r>
      <w:r>
        <w:rPr>
          <w:rFonts w:ascii="Calibri" w:hAnsi="Calibri"/>
          <w:b w:val="0"/>
          <w:i w:val="0"/>
          <w:color w:val="333333"/>
          <w:sz w:val="22"/>
        </w:rPr>
        <w:t xml:space="preserve">, </w:t>
      </w:r>
      <w:r>
        <w:rPr>
          <w:rFonts w:ascii="Consolas" w:hAnsi="Consolas"/>
          <w:b w:val="0"/>
          <w:i w:val="0"/>
          <w:color w:val="444444"/>
          <w:sz w:val="20"/>
        </w:rPr>
        <w:t>propertysales</w:t>
      </w:r>
      <w:r>
        <w:rPr>
          <w:rFonts w:ascii="Calibri" w:hAnsi="Calibri"/>
          <w:b w:val="0"/>
          <w:i w:val="0"/>
          <w:color w:val="333333"/>
          <w:sz w:val="22"/>
        </w:rPr>
        <w:t xml:space="preserve">, </w:t>
      </w:r>
      <w:r>
        <w:rPr>
          <w:rFonts w:ascii="Consolas" w:hAnsi="Consolas"/>
          <w:b w:val="0"/>
          <w:i w:val="0"/>
          <w:color w:val="444444"/>
          <w:sz w:val="20"/>
        </w:rPr>
        <w:t>dimDate</w:t>
      </w:r>
      <w:r>
        <w:rPr>
          <w:rFonts w:ascii="Calibri" w:hAnsi="Calibri"/>
          <w:b w:val="0"/>
          <w:i w:val="0"/>
          <w:color w:val="333333"/>
          <w:sz w:val="22"/>
        </w:rPr>
        <w:t xml:space="preserve">, </w:t>
      </w:r>
      <w:r>
        <w:rPr>
          <w:rFonts w:ascii="Consolas" w:hAnsi="Consolas"/>
          <w:b w:val="0"/>
          <w:i w:val="0"/>
          <w:color w:val="444444"/>
          <w:sz w:val="20"/>
        </w:rPr>
        <w:t>dimNeighborhood</w:t>
      </w:r>
      <w:r>
        <w:rPr>
          <w:rFonts w:ascii="Calibri" w:hAnsi="Calibri"/>
          <w:b w:val="0"/>
          <w:i w:val="0"/>
          <w:color w:val="333333"/>
          <w:sz w:val="22"/>
        </w:rPr>
        <w:t xml:space="preserve">, </w:t>
      </w:r>
      <w:r>
        <w:rPr>
          <w:rFonts w:ascii="Consolas" w:hAnsi="Consolas"/>
          <w:b w:val="0"/>
          <w:i w:val="0"/>
          <w:color w:val="444444"/>
          <w:sz w:val="20"/>
        </w:rPr>
        <w:t>dimCrime</w:t>
      </w:r>
      <w:r>
        <w:rPr>
          <w:rFonts w:ascii="Calibri" w:hAnsi="Calibri"/>
          <w:b w:val="0"/>
          <w:i w:val="0"/>
          <w:color w:val="333333"/>
          <w:sz w:val="22"/>
        </w:rPr>
        <w:t>.</w:t>
      </w:r>
    </w:p>
    <w:p>
      <w:r>
        <w:rPr>
          <w:rFonts w:ascii="Calibri" w:hAnsi="Calibri"/>
          <w:b/>
          <w:i w:val="0"/>
          <w:color w:val="333333"/>
          <w:sz w:val="22"/>
        </w:rPr>
        <w:t>Ground truth</w:t>
      </w:r>
      <w:r>
        <w:rPr>
          <w:rFonts w:ascii="Calibri" w:hAnsi="Calibri"/>
          <w:b w:val="0"/>
          <w:i w:val="0"/>
          <w:color w:val="333333"/>
          <w:sz w:val="22"/>
        </w:rPr>
        <w:t xml:space="preserve"> (5 joins): Fact/source tables as </w:t>
      </w:r>
      <w:r>
        <w:rPr>
          <w:rFonts w:ascii="Consolas" w:hAnsi="Consolas"/>
          <w:b w:val="0"/>
          <w:i w:val="0"/>
          <w:color w:val="444444"/>
          <w:sz w:val="20"/>
        </w:rPr>
        <w:t>from_table</w:t>
      </w:r>
      <w:r>
        <w:rPr>
          <w:rFonts w:ascii="Calibri" w:hAnsi="Calibri"/>
          <w:b w:val="0"/>
          <w:i w:val="0"/>
          <w:color w:val="333333"/>
          <w:sz w:val="22"/>
        </w:rPr>
        <w:t>:</w:t>
      </w:r>
    </w:p>
    <w:p>
      <w:pPr>
        <w:shd w:fill="F5F5F5" w:val="clear"/>
      </w:pPr>
      <w:r>
        <w:rPr>
          <w:rFonts w:ascii="Consolas" w:hAnsi="Consolas"/>
          <w:b w:val="0"/>
          <w:i w:val="0"/>
          <w:color w:val="444444"/>
          <w:sz w:val="18"/>
        </w:rPr>
        <w:t>(weather, DateKey) -&gt; (dimDate, datekey)</w:t>
        <w:br/>
        <w:t>(propertysales, NeighborhoodKey) -&gt; (dimNeighborhood, NeighborhoodKey)</w:t>
        <w:br/>
        <w:t>(factCrime, dateKey) -&gt; (dimDate, datekey)</w:t>
        <w:br/>
        <w:t>(factCrime, crimeTypeKey) -&gt; (dimCrime, CrimeTypeKey)</w:t>
        <w:br/>
        <w:t>(factCrime, neighborhoodKey) -&gt; (dimNeighborhood, NeighborhoodKey)</w:t>
      </w:r>
    </w:p>
    <w:p>
      <w:r>
        <w:rPr>
          <w:rFonts w:ascii="Calibri" w:hAnsi="Calibri"/>
          <w:b/>
          <w:i w:val="0"/>
          <w:color w:val="333333"/>
          <w:sz w:val="22"/>
        </w:rPr>
        <w:t>Qwen</w:t>
      </w:r>
      <w:r>
        <w:rPr>
          <w:rFonts w:ascii="Calibri" w:hAnsi="Calibri"/>
          <w:b w:val="0"/>
          <w:i w:val="0"/>
          <w:color w:val="333333"/>
          <w:sz w:val="22"/>
        </w:rPr>
        <w:t>: 5/5 GT joins found, plus 1 extra (</w:t>
      </w:r>
      <w:r>
        <w:rPr>
          <w:rFonts w:ascii="Consolas" w:hAnsi="Consolas"/>
          <w:b w:val="0"/>
          <w:i w:val="0"/>
          <w:color w:val="444444"/>
          <w:sz w:val="20"/>
        </w:rPr>
        <w:t>propertysales.datekey -&gt; dimDate.datekey</w:t>
      </w:r>
      <w:r>
        <w:rPr>
          <w:rFonts w:ascii="Calibri" w:hAnsi="Calibri"/>
          <w:b w:val="0"/>
          <w:i w:val="0"/>
          <w:color w:val="333333"/>
          <w:sz w:val="22"/>
        </w:rPr>
        <w:t>). F1 = 0.909.</w:t>
      </w:r>
    </w:p>
    <w:p>
      <w:r>
        <w:rPr>
          <w:rFonts w:ascii="Calibri" w:hAnsi="Calibri"/>
          <w:b/>
          <w:i w:val="0"/>
          <w:color w:val="333333"/>
          <w:sz w:val="22"/>
        </w:rPr>
        <w:t>T5Gemma</w:t>
      </w:r>
      <w:r>
        <w:rPr>
          <w:rFonts w:ascii="Calibri" w:hAnsi="Calibri"/>
          <w:b w:val="0"/>
          <w:i w:val="0"/>
          <w:color w:val="333333"/>
          <w:sz w:val="22"/>
        </w:rPr>
        <w:t>: 0/6 match. F1 = 0.0. Every join has the direction reversed (</w:t>
      </w:r>
      <w:r>
        <w:rPr>
          <w:rFonts w:ascii="Consolas" w:hAnsi="Consolas"/>
          <w:b w:val="0"/>
          <w:i w:val="0"/>
          <w:color w:val="444444"/>
          <w:sz w:val="20"/>
        </w:rPr>
        <w:t>dimDate -&gt; factCrime</w:t>
      </w:r>
      <w:r>
        <w:rPr>
          <w:rFonts w:ascii="Calibri" w:hAnsi="Calibri"/>
          <w:b w:val="0"/>
          <w:i w:val="0"/>
          <w:color w:val="333333"/>
          <w:sz w:val="22"/>
        </w:rPr>
        <w:t xml:space="preserve"> instead of </w:t>
      </w:r>
      <w:r>
        <w:rPr>
          <w:rFonts w:ascii="Consolas" w:hAnsi="Consolas"/>
          <w:b w:val="0"/>
          <w:i w:val="0"/>
          <w:color w:val="444444"/>
          <w:sz w:val="20"/>
        </w:rPr>
        <w:t>factCrime -&gt; dimDate</w:t>
      </w:r>
      <w:r>
        <w:rPr>
          <w:rFonts w:ascii="Calibri" w:hAnsi="Calibri"/>
          <w:b w:val="0"/>
          <w:i w:val="0"/>
          <w:color w:val="333333"/>
          <w:sz w:val="22"/>
        </w:rPr>
        <w:t>). Also hallucinates a wrong join (</w:t>
      </w:r>
      <w:r>
        <w:rPr>
          <w:rFonts w:ascii="Consolas" w:hAnsi="Consolas"/>
          <w:b w:val="0"/>
          <w:i w:val="0"/>
          <w:color w:val="444444"/>
          <w:sz w:val="20"/>
        </w:rPr>
        <w:t>weather.DateKey -&gt; factCrime.dateKey</w:t>
      </w:r>
      <w:r>
        <w:rPr>
          <w:rFonts w:ascii="Calibri" w:hAnsi="Calibri"/>
          <w:b w:val="0"/>
          <w:i w:val="0"/>
          <w:color w:val="333333"/>
          <w:sz w:val="22"/>
        </w:rPr>
        <w:t xml:space="preserve"> instead of </w:t>
      </w:r>
      <w:r>
        <w:rPr>
          <w:rFonts w:ascii="Consolas" w:hAnsi="Consolas"/>
          <w:b w:val="0"/>
          <w:i w:val="0"/>
          <w:color w:val="444444"/>
          <w:sz w:val="20"/>
        </w:rPr>
        <w:t>weather.DateKey -&gt; dimDate.datekey</w:t>
      </w:r>
      <w:r>
        <w:rPr>
          <w:rFonts w:ascii="Calibri" w:hAnsi="Calibri"/>
          <w:b w:val="0"/>
          <w:i w:val="0"/>
          <w:color w:val="333333"/>
          <w:sz w:val="22"/>
        </w:rPr>
        <w:t>).</w:t>
      </w:r>
    </w:p>
    <w:p>
      <w:r>
        <w:rPr>
          <w:rFonts w:ascii="Calibri" w:hAnsi="Calibri"/>
          <w:b/>
          <w:i w:val="0"/>
          <w:color w:val="333333"/>
          <w:sz w:val="22"/>
        </w:rPr>
        <w:t>Analysis</w:t>
      </w:r>
      <w:r>
        <w:rPr>
          <w:rFonts w:ascii="Calibri" w:hAnsi="Calibri"/>
          <w:b w:val="0"/>
          <w:i w:val="0"/>
          <w:color w:val="333333"/>
          <w:sz w:val="22"/>
        </w:rPr>
        <w:t>: Classic T5Gemma direction reversal in a star schema. T5Gemma uses PK -&gt; FK direction; GT expects FK -&gt; PK.</w:t>
      </w:r>
    </w:p>
    <w:p>
      <w:pPr>
        <w:pStyle w:val="Heading2"/>
      </w:pPr>
      <w:r>
        <w:rPr>
          <w:rFonts w:ascii="Calibri" w:hAnsi="Calibri"/>
          <w:color w:val="2B2B2B"/>
        </w:rPr>
        <w:t>Conclusion: Why Does Qwen Win?</w:t>
      </w:r>
    </w:p>
    <w:p>
      <w:r>
        <w:rPr>
          <w:rFonts w:ascii="Calibri" w:hAnsi="Calibri"/>
          <w:b w:val="0"/>
          <w:i w:val="0"/>
          <w:color w:val="333333"/>
          <w:sz w:val="22"/>
        </w:rPr>
        <w:t xml:space="preserve">The 17.7pp gap is dominated by a </w:t>
      </w:r>
      <w:r>
        <w:rPr>
          <w:rFonts w:ascii="Calibri" w:hAnsi="Calibri"/>
          <w:b/>
          <w:i w:val="0"/>
          <w:color w:val="333333"/>
          <w:sz w:val="22"/>
        </w:rPr>
        <w:t>direction-matching artifact</w:t>
      </w:r>
      <w:r>
        <w:rPr>
          <w:rFonts w:ascii="Calibri" w:hAnsi="Calibri"/>
          <w:b w:val="0"/>
          <w:i w:val="0"/>
          <w:color w:val="333333"/>
          <w:sz w:val="22"/>
        </w:rPr>
        <w:t>, not a fundamental difference in join detection ability:</w:t>
      </w:r>
    </w:p>
    <w:p>
      <w:pPr>
        <w:pStyle w:val="ListNumber"/>
      </w:pPr>
      <w:r>
        <w:rPr>
          <w:rFonts w:ascii="Calibri" w:hAnsi="Calibri"/>
          <w:b/>
          <w:i w:val="0"/>
          <w:color w:val="333333"/>
          <w:sz w:val="22"/>
        </w:rPr>
        <w:t>Direction convention alignment (accounts for ~83% of the gap)</w:t>
      </w:r>
      <w:r>
        <w:rPr>
          <w:rFonts w:ascii="Calibri" w:hAnsi="Calibri"/>
          <w:b w:val="0"/>
          <w:i w:val="0"/>
          <w:color w:val="333333"/>
          <w:sz w:val="22"/>
        </w:rPr>
        <w:t xml:space="preserve">: The ground truth follows an FK -&gt; PK convention where the table holding the foreign key is </w:t>
      </w:r>
      <w:r>
        <w:rPr>
          <w:rFonts w:ascii="Consolas" w:hAnsi="Consolas"/>
          <w:b w:val="0"/>
          <w:i w:val="0"/>
          <w:color w:val="444444"/>
          <w:sz w:val="20"/>
        </w:rPr>
        <w:t>from_table</w:t>
      </w:r>
      <w:r>
        <w:rPr>
          <w:rFonts w:ascii="Calibri" w:hAnsi="Calibri"/>
          <w:b w:val="0"/>
          <w:i w:val="0"/>
          <w:color w:val="333333"/>
          <w:sz w:val="22"/>
        </w:rPr>
        <w:t xml:space="preserve">. Qwen naturally follows this convention (89% of cases), likely because its instruction-following training and chain-of-thought reasoning help it adopt the perspective of "this table references that table." T5Gemma adopts a PK -&gt; FK convention (dimension as </w:t>
      </w:r>
      <w:r>
        <w:rPr>
          <w:rFonts w:ascii="Consolas" w:hAnsi="Consolas"/>
          <w:b w:val="0"/>
          <w:i w:val="0"/>
          <w:color w:val="444444"/>
          <w:sz w:val="20"/>
        </w:rPr>
        <w:t>from_table</w:t>
      </w:r>
      <w:r>
        <w:rPr>
          <w:rFonts w:ascii="Calibri" w:hAnsi="Calibri"/>
          <w:b w:val="0"/>
          <w:i w:val="0"/>
          <w:color w:val="333333"/>
          <w:sz w:val="22"/>
        </w:rPr>
        <w:t>) on ~35% of cases, and the direction-sensitive evaluator treats every reversed tuple as a complete miss.</w:t>
      </w:r>
    </w:p>
    <w:p>
      <w:pPr>
        <w:pStyle w:val="ListNumber"/>
      </w:pPr>
      <w:r>
        <w:rPr>
          <w:rFonts w:ascii="Calibri" w:hAnsi="Calibri"/>
          <w:b/>
          <w:i w:val="0"/>
          <w:color w:val="333333"/>
          <w:sz w:val="22"/>
        </w:rPr>
        <w:t>Output truncation (accounts for ~6% of the gap)</w:t>
      </w:r>
      <w:r>
        <w:rPr>
          <w:rFonts w:ascii="Calibri" w:hAnsi="Calibri"/>
          <w:b w:val="0"/>
          <w:i w:val="0"/>
          <w:color w:val="333333"/>
          <w:sz w:val="22"/>
        </w:rPr>
        <w:t>: T5Gemma produces 7 unparseable (truncated) responses vs. 3 for Qwen. The likely cause is T5Gemma's shorter effective generation budget -- its responses average 783 characters vs. Qwen's 1237, yet it still runs out on complex databases.</w:t>
      </w:r>
    </w:p>
    <w:p>
      <w:pPr>
        <w:pStyle w:val="ListNumber"/>
      </w:pPr>
      <w:r>
        <w:rPr>
          <w:rFonts w:ascii="Calibri" w:hAnsi="Calibri"/>
          <w:b/>
          <w:i w:val="0"/>
          <w:color w:val="333333"/>
          <w:sz w:val="22"/>
        </w:rPr>
        <w:t>Column/table name accuracy (accounts for ~11% of the gap)</w:t>
      </w:r>
      <w:r>
        <w:rPr>
          <w:rFonts w:ascii="Calibri" w:hAnsi="Calibri"/>
          <w:b w:val="0"/>
          <w:i w:val="0"/>
          <w:color w:val="333333"/>
          <w:sz w:val="22"/>
        </w:rPr>
        <w:t>: T5Gemma occasionally hallucinates column names (</w:t>
      </w:r>
      <w:r>
        <w:rPr>
          <w:rFonts w:ascii="Consolas" w:hAnsi="Consolas"/>
          <w:b w:val="0"/>
          <w:i w:val="0"/>
          <w:color w:val="444444"/>
          <w:sz w:val="20"/>
        </w:rPr>
        <w:t>DateKey</w:t>
      </w:r>
      <w:r>
        <w:rPr>
          <w:rFonts w:ascii="Calibri" w:hAnsi="Calibri"/>
          <w:b w:val="0"/>
          <w:i w:val="0"/>
          <w:color w:val="333333"/>
          <w:sz w:val="22"/>
        </w:rPr>
        <w:t xml:space="preserve"> vs </w:t>
      </w:r>
      <w:r>
        <w:rPr>
          <w:rFonts w:ascii="Consolas" w:hAnsi="Consolas"/>
          <w:b w:val="0"/>
          <w:i w:val="0"/>
          <w:color w:val="444444"/>
          <w:sz w:val="20"/>
        </w:rPr>
        <w:t>Date</w:t>
      </w:r>
      <w:r>
        <w:rPr>
          <w:rFonts w:ascii="Calibri" w:hAnsi="Calibri"/>
          <w:b w:val="0"/>
          <w:i w:val="0"/>
          <w:color w:val="333333"/>
          <w:sz w:val="22"/>
        </w:rPr>
        <w:t>) or table names (</w:t>
      </w:r>
      <w:r>
        <w:rPr>
          <w:rFonts w:ascii="Consolas" w:hAnsi="Consolas"/>
          <w:b w:val="0"/>
          <w:i w:val="0"/>
          <w:color w:val="444444"/>
          <w:sz w:val="20"/>
        </w:rPr>
        <w:t>D_VENDEUR</w:t>
      </w:r>
      <w:r>
        <w:rPr>
          <w:rFonts w:ascii="Calibri" w:hAnsi="Calibri"/>
          <w:b w:val="0"/>
          <w:i w:val="0"/>
          <w:color w:val="333333"/>
          <w:sz w:val="22"/>
        </w:rPr>
        <w:t xml:space="preserve"> vs </w:t>
      </w:r>
      <w:r>
        <w:rPr>
          <w:rFonts w:ascii="Consolas" w:hAnsi="Consolas"/>
          <w:b w:val="0"/>
          <w:i w:val="0"/>
          <w:color w:val="444444"/>
          <w:sz w:val="20"/>
        </w:rPr>
        <w:t>D_Vendedor</w:t>
      </w:r>
      <w:r>
        <w:rPr>
          <w:rFonts w:ascii="Calibri" w:hAnsi="Calibri"/>
          <w:b w:val="0"/>
          <w:i w:val="0"/>
          <w:color w:val="333333"/>
          <w:sz w:val="22"/>
        </w:rPr>
        <w:t>). These errors compound with direction reversal to ensure zero credit even on partial matches.</w:t>
      </w:r>
    </w:p>
    <w:p>
      <w:r>
        <w:rPr>
          <w:rFonts w:ascii="Calibri" w:hAnsi="Calibri"/>
          <w:b/>
          <w:i w:val="0"/>
          <w:color w:val="333333"/>
          <w:sz w:val="22"/>
        </w:rPr>
        <w:t>If direction were treated as symmetric</w:t>
      </w:r>
      <w:r>
        <w:rPr>
          <w:rFonts w:ascii="Calibri" w:hAnsi="Calibri"/>
          <w:b w:val="0"/>
          <w:i w:val="0"/>
          <w:color w:val="333333"/>
          <w:sz w:val="22"/>
        </w:rPr>
        <w:t xml:space="preserve"> (i.e., </w:t>
      </w:r>
      <w:r>
        <w:rPr>
          <w:rFonts w:ascii="Consolas" w:hAnsi="Consolas"/>
          <w:b w:val="0"/>
          <w:i w:val="0"/>
          <w:color w:val="444444"/>
          <w:sz w:val="20"/>
        </w:rPr>
        <w:t>(A, col1, B, col2)</w:t>
      </w:r>
      <w:r>
        <w:rPr>
          <w:rFonts w:ascii="Calibri" w:hAnsi="Calibri"/>
          <w:b w:val="0"/>
          <w:i w:val="0"/>
          <w:color w:val="333333"/>
          <w:sz w:val="22"/>
        </w:rPr>
        <w:t xml:space="preserve"> equivalent to </w:t>
      </w:r>
      <w:r>
        <w:rPr>
          <w:rFonts w:ascii="Consolas" w:hAnsi="Consolas"/>
          <w:b w:val="0"/>
          <w:i w:val="0"/>
          <w:color w:val="444444"/>
          <w:sz w:val="20"/>
        </w:rPr>
        <w:t>(B, col2, A, col1)</w:t>
      </w:r>
      <w:r>
        <w:rPr>
          <w:rFonts w:ascii="Calibri" w:hAnsi="Calibri"/>
          <w:b w:val="0"/>
          <w:i w:val="0"/>
          <w:color w:val="333333"/>
          <w:sz w:val="22"/>
        </w:rPr>
        <w:t>), the gap would shrink from 17.7pp to approximately 3.0pp -- within noise for a 67-sample evaluation. The remaining gap would be attributable to T5Gemma's slightly higher truncation rate and occasional name hallucinations.</w:t>
      </w:r>
    </w:p>
    <w:p>
      <w:r>
        <w:rPr>
          <w:rFonts w:ascii="Calibri" w:hAnsi="Calibri"/>
          <w:b w:val="0"/>
          <w:i w:val="0"/>
          <w:color w:val="333333"/>
          <w:sz w:val="22"/>
        </w:rPr>
        <w:t xml:space="preserve">This finding suggests that the equi-join-detect task, as currently evaluated, measures </w:t>
      </w:r>
      <w:r>
        <w:rPr>
          <w:rFonts w:ascii="Calibri" w:hAnsi="Calibri"/>
          <w:b/>
          <w:i w:val="0"/>
          <w:color w:val="333333"/>
          <w:sz w:val="22"/>
        </w:rPr>
        <w:t>convention-following</w:t>
      </w:r>
      <w:r>
        <w:rPr>
          <w:rFonts w:ascii="Calibri" w:hAnsi="Calibri"/>
          <w:b w:val="0"/>
          <w:i w:val="0"/>
          <w:color w:val="333333"/>
          <w:sz w:val="22"/>
        </w:rPr>
        <w:t xml:space="preserve"> more than </w:t>
      </w:r>
      <w:r>
        <w:rPr>
          <w:rFonts w:ascii="Calibri" w:hAnsi="Calibri"/>
          <w:b/>
          <w:i w:val="0"/>
          <w:color w:val="333333"/>
          <w:sz w:val="22"/>
        </w:rPr>
        <w:t>join detection ability</w:t>
      </w:r>
      <w:r>
        <w:rPr>
          <w:rFonts w:ascii="Calibri" w:hAnsi="Calibri"/>
          <w:b w:val="0"/>
          <w:i w:val="0"/>
          <w:color w:val="333333"/>
          <w:sz w:val="22"/>
        </w:rPr>
        <w:t>. A direction-insensitive metric would provide a fairer comparison of the models' structural understanding of relational databases.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B2B2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B2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B2B2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