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F13665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4D572A7B" w14:textId="77777777" w:rsidR="00E46685" w:rsidRPr="00034B08" w:rsidRDefault="00F13665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69E045D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A28B0">
        <w:rPr>
          <w:rFonts w:ascii="Helvetica" w:hAnsi="Helvetica"/>
          <w:sz w:val="24"/>
          <w:szCs w:val="24"/>
        </w:rPr>
        <w:t>at</w:t>
      </w:r>
      <w:bookmarkStart w:id="2" w:name="_GoBack"/>
      <w:bookmarkEnd w:id="2"/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5CD4142F" w14:textId="6BC03901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Center of Competence in Research (NCCR) Affective sciences financed by the Swiss National Science Foundation (n° 51NF40-104897). </w:t>
      </w:r>
      <w:bookmarkStart w:id="3" w:name="OLE_LINK14"/>
      <w:bookmarkStart w:id="4" w:name="OLE_LINK13"/>
      <w:bookmarkEnd w:id="3"/>
      <w:bookmarkEnd w:id="4"/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5" w:name="OLE_LINK1"/>
      <w:bookmarkStart w:id="6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5"/>
      <w:bookmarkEnd w:id="6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3156CD87" w14:textId="5F30CF37" w:rsidR="004703FC" w:rsidRPr="00034B08" w:rsidRDefault="004703FC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Matlab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336076A6" w14:textId="29FDA677" w:rsidR="00110F6B" w:rsidRPr="00AF6602" w:rsidRDefault="00110F6B" w:rsidP="00AF660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Kandrik,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>Han, C., ... &amp; DeBru</w:t>
      </w:r>
      <w:r w:rsidR="006E5708">
        <w:rPr>
          <w:rFonts w:ascii="Helvetica" w:hAnsi="Helvetica"/>
          <w:bCs/>
          <w:color w:val="000000"/>
        </w:rPr>
        <w:t>ine,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>No evidence that more physically attractive women have higher estradiol or progesterone</w:t>
      </w:r>
      <w:r w:rsidRPr="00C003B4">
        <w:rPr>
          <w:rFonts w:ascii="Helvetica" w:hAnsi="Helvetica"/>
          <w:bCs/>
          <w:color w:val="000000"/>
        </w:rPr>
        <w:t>. </w:t>
      </w:r>
      <w:r w:rsidRPr="00C003B4">
        <w:rPr>
          <w:rFonts w:ascii="Helvetica" w:hAnsi="Helvetica"/>
          <w:bCs/>
          <w:i/>
          <w:iCs/>
          <w:color w:val="000000"/>
        </w:rPr>
        <w:t>bioRxiv</w:t>
      </w:r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4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6CCF5BF2" w14:textId="1797FE9E" w:rsidR="00986173" w:rsidRDefault="00986173" w:rsidP="00986173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Eulerich, M., Theis,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="006E5708"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Feathers Make a Fine </w:t>
      </w:r>
      <w:proofErr w:type="gramStart"/>
      <w:r w:rsidRPr="006E75A5">
        <w:rPr>
          <w:rFonts w:ascii="Helvetica" w:hAnsi="Helvetica"/>
          <w:bCs/>
          <w:color w:val="000000"/>
          <w:lang w:val="fr-CH"/>
        </w:rPr>
        <w:t>Bird?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Attractiveness on Fraud-Risk Judgments by Internal Auditors. </w:t>
      </w:r>
      <w:r w:rsidRPr="006E75A5">
        <w:rPr>
          <w:rFonts w:ascii="Helvetica" w:hAnsi="Helvetica"/>
          <w:bCs/>
          <w:i/>
          <w:color w:val="000000"/>
          <w:lang w:val="fr-CH"/>
        </w:rPr>
        <w:t>Available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5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49B0EF24" w14:textId="207CFF9C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6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3C7F13FA" w14:textId="6DA45BB6" w:rsidR="00F95C09" w:rsidRPr="00F95C09" w:rsidRDefault="00DB56A2" w:rsidP="00F95C09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4507D1A4" w14:textId="77777777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</w:p>
    <w:p w14:paraId="0FDDC64E" w14:textId="4505527F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792893">
        <w:rPr>
          <w:rFonts w:ascii="Helvetica" w:hAnsi="Helvetica"/>
          <w:bCs/>
          <w:color w:val="000000"/>
        </w:rPr>
        <w:t xml:space="preserve">Lakens, D., Adolfi,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Zwaan,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Behaviour.</w:t>
      </w:r>
      <w:r w:rsidRPr="00792893">
        <w:rPr>
          <w:rFonts w:ascii="Helvetica" w:hAnsi="Helvetica"/>
          <w:bCs/>
          <w:color w:val="000000"/>
        </w:rPr>
        <w:t xml:space="preserve"> </w:t>
      </w:r>
      <w:hyperlink r:id="rId17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r w:rsidRPr="00C003B4">
        <w:rPr>
          <w:rFonts w:ascii="Helvetica" w:hAnsi="Helvetica"/>
          <w:color w:val="000000"/>
        </w:rPr>
        <w:t>Turano</w:t>
      </w:r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Richoz,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r w:rsidR="002C684F">
        <w:rPr>
          <w:rFonts w:ascii="Helvetica" w:hAnsi="Helvetica"/>
          <w:color w:val="000000"/>
        </w:rPr>
        <w:t>Lissa, P.</w:t>
      </w:r>
      <w:r w:rsidRPr="00C003B4">
        <w:rPr>
          <w:rFonts w:ascii="Helvetica" w:hAnsi="Helvetica"/>
          <w:color w:val="000000"/>
        </w:rPr>
        <w:t>, Degosciu, S. B., Viggiano,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18" w:history="1">
        <w:r w:rsidR="001804E6" w:rsidRPr="001804E6">
          <w:rPr>
            <w:rStyle w:val="Hyperlink"/>
            <w:rFonts w:ascii="Helvetica" w:hAnsi="Helvetica"/>
          </w:rPr>
          <w:t>doi: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19" w:history="1">
        <w:r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0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1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2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3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4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lastRenderedPageBreak/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5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gramEnd"/>
      <w:r w:rsidRPr="00034B08">
        <w:rPr>
          <w:rFonts w:ascii="Helvetica" w:hAnsi="Helvetica"/>
          <w:color w:val="000000"/>
        </w:rPr>
        <w:t>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Pascalis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64E5F" w14:textId="77777777" w:rsidR="00F13665" w:rsidRDefault="00F13665">
      <w:r>
        <w:separator/>
      </w:r>
    </w:p>
  </w:endnote>
  <w:endnote w:type="continuationSeparator" w:id="0">
    <w:p w14:paraId="6ACFE672" w14:textId="77777777" w:rsidR="00F13665" w:rsidRDefault="00F1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071DB" w14:textId="77777777" w:rsidR="00F13665" w:rsidRDefault="00F13665">
      <w:r>
        <w:separator/>
      </w:r>
    </w:p>
  </w:footnote>
  <w:footnote w:type="continuationSeparator" w:id="0">
    <w:p w14:paraId="5D40BEC5" w14:textId="77777777" w:rsidR="00F13665" w:rsidRDefault="00F13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6AAE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4B46"/>
    <w:rsid w:val="00095535"/>
    <w:rsid w:val="000A28B0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7F71"/>
    <w:rsid w:val="00213B8D"/>
    <w:rsid w:val="0022734D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409F4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E2DFB"/>
    <w:rsid w:val="006E5708"/>
    <w:rsid w:val="006F0213"/>
    <w:rsid w:val="006F679D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67E0F"/>
    <w:rsid w:val="00977300"/>
    <w:rsid w:val="0098099C"/>
    <w:rsid w:val="00982B79"/>
    <w:rsid w:val="00986173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50D8"/>
    <w:rsid w:val="00AA3E8E"/>
    <w:rsid w:val="00AB3BA0"/>
    <w:rsid w:val="00AD3019"/>
    <w:rsid w:val="00AE3005"/>
    <w:rsid w:val="00AE557E"/>
    <w:rsid w:val="00AF531E"/>
    <w:rsid w:val="00AF6602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3665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jov.arvojournals.org/article.aspx?articleid=2629823" TargetMode="External"/><Relationship Id="rId21" Type="http://schemas.openxmlformats.org/officeDocument/2006/relationships/hyperlink" Target="http://www.sciencedirect.com/science/article/pii/S096399691730159X" TargetMode="External"/><Relationship Id="rId22" Type="http://schemas.openxmlformats.org/officeDocument/2006/relationships/hyperlink" Target="http://link.springer.com/article/10.3758/s13428-016-0737-x" TargetMode="External"/><Relationship Id="rId23" Type="http://schemas.openxmlformats.org/officeDocument/2006/relationships/hyperlink" Target="http://dx.doi.org/10.1016/j.neuropsychologia.2016.11.009" TargetMode="External"/><Relationship Id="rId24" Type="http://schemas.openxmlformats.org/officeDocument/2006/relationships/hyperlink" Target="http://www.cell.com/current-biology/abstract/S0960-9822(16)30605-4" TargetMode="External"/><Relationship Id="rId25" Type="http://schemas.openxmlformats.org/officeDocument/2006/relationships/hyperlink" Target="http://www.nature.com/articles/srep18551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doi.org/10.1101/136515" TargetMode="External"/><Relationship Id="rId15" Type="http://schemas.openxmlformats.org/officeDocument/2006/relationships/hyperlink" Target="https://ssrn.com/abstract=2988269" TargetMode="External"/><Relationship Id="rId16" Type="http://schemas.openxmlformats.org/officeDocument/2006/relationships/hyperlink" Target="http://beta.briefideas.org/ideas/dc4f3d8981cbea107f013cbb8f2f2cb7" TargetMode="External"/><Relationship Id="rId17" Type="http://schemas.openxmlformats.org/officeDocument/2006/relationships/hyperlink" Target="http://rdcu.be/HQ1y" TargetMode="External"/><Relationship Id="rId18" Type="http://schemas.openxmlformats.org/officeDocument/2006/relationships/hyperlink" Target="https://academic.oup.com/scan/article/12/12/1959/4430450" TargetMode="External"/><Relationship Id="rId19" Type="http://schemas.openxmlformats.org/officeDocument/2006/relationships/hyperlink" Target="https://academic.oup.com/jdsde/article-abstract/doi/10.1093/deafed/enx034/4107883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1466</Words>
  <Characters>8357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9804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5</cp:revision>
  <cp:lastPrinted>2018-01-05T13:11:00Z</cp:lastPrinted>
  <dcterms:created xsi:type="dcterms:W3CDTF">2018-01-05T13:11:00Z</dcterms:created>
  <dcterms:modified xsi:type="dcterms:W3CDTF">2018-03-12T19:50:00Z</dcterms:modified>
</cp:coreProperties>
</file>