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52126D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52126D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Matlab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as: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r w:rsidR="003C1D73"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26B7E3EF" w:rsidR="00C8145E" w:rsidRPr="00034B08" w:rsidRDefault="0072410D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63FA9763" w14:textId="272D3AC9" w:rsidR="003020D0" w:rsidRPr="00034B08" w:rsidRDefault="003020D0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1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75BD85B0" w14:textId="48ADE41A" w:rsidR="003020D0" w:rsidRPr="00034B08" w:rsidRDefault="003020D0" w:rsidP="00550B0C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2" w:history="1">
        <w:r w:rsidR="00EE4B26"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Bartholomée,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3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0948D062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>., Cotrufo, S., Caldara, R., &amp; Morley, S. (2013). A Functional Magnetic Resonance Imaging Paradigm to Identify Distinct Cortical Areas of Facial Function: A Reliable Localizer. </w:t>
      </w:r>
      <w:r w:rsidR="000E4551">
        <w:rPr>
          <w:rFonts w:ascii="Helvetica" w:hAnsi="Helvetica"/>
          <w:i/>
          <w:iCs/>
          <w:color w:val="000000"/>
          <w:lang w:val="en-US"/>
        </w:rPr>
        <w:t>Plastic and Reconstructive S</w:t>
      </w:r>
      <w:r w:rsidRPr="00034B08">
        <w:rPr>
          <w:rFonts w:ascii="Helvetica" w:hAnsi="Helvetica"/>
          <w:i/>
          <w:iCs/>
          <w:color w:val="000000"/>
          <w:lang w:val="en-US"/>
        </w:rPr>
        <w:t>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496EF9AC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>&amp; Caldara, R. (2012). When East meets West: gaze-contingent Blindspots abolish cultural diversity in eye movements for faces. </w:t>
      </w:r>
      <w:r w:rsidR="000E4551">
        <w:rPr>
          <w:rFonts w:ascii="Helvetica" w:hAnsi="Helvetica"/>
          <w:i/>
          <w:iCs/>
          <w:color w:val="000000"/>
        </w:rPr>
        <w:t>Journal of Eye Movement Research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05AF12CB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>., &amp; Baumeister, R. F. (2012). Control deprivation and styles of thinking. </w:t>
      </w:r>
      <w:r w:rsidR="000E4551">
        <w:rPr>
          <w:rFonts w:ascii="Helvetica" w:hAnsi="Helvetica"/>
          <w:bCs/>
          <w:i/>
          <w:iCs/>
          <w:color w:val="000000"/>
        </w:rPr>
        <w:t>Journal of Personality and Social P</w:t>
      </w:r>
      <w:bookmarkStart w:id="6" w:name="_GoBack"/>
      <w:bookmarkEnd w:id="6"/>
      <w:r w:rsidRPr="00034B08">
        <w:rPr>
          <w:rFonts w:ascii="Helvetica" w:hAnsi="Helvetica"/>
          <w:bCs/>
          <w:i/>
          <w:iCs/>
          <w:color w:val="000000"/>
        </w:rPr>
        <w:t>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2405E" w14:textId="77777777" w:rsidR="0052126D" w:rsidRDefault="0052126D">
      <w:r>
        <w:separator/>
      </w:r>
    </w:p>
  </w:endnote>
  <w:endnote w:type="continuationSeparator" w:id="0">
    <w:p w14:paraId="62CCE45D" w14:textId="77777777" w:rsidR="0052126D" w:rsidRDefault="0052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AF1B7" w14:textId="77777777" w:rsidR="0052126D" w:rsidRDefault="0052126D">
      <w:r>
        <w:separator/>
      </w:r>
    </w:p>
  </w:footnote>
  <w:footnote w:type="continuationSeparator" w:id="0">
    <w:p w14:paraId="7E235BB1" w14:textId="77777777" w:rsidR="0052126D" w:rsidRDefault="0052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962EB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2E015A"/>
    <w:rsid w:val="003020D0"/>
    <w:rsid w:val="003175A9"/>
    <w:rsid w:val="003416D0"/>
    <w:rsid w:val="00345EA1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065E2"/>
    <w:rsid w:val="00710EEF"/>
    <w:rsid w:val="0072410D"/>
    <w:rsid w:val="00746C81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ell.com/current-biology/abstract/S0960-9822(16)30605-4" TargetMode="External"/><Relationship Id="rId12" Type="http://schemas.openxmlformats.org/officeDocument/2006/relationships/hyperlink" Target="http://link.springer.com/article/10.3758/s13428-016-0737-x" TargetMode="External"/><Relationship Id="rId13" Type="http://schemas.openxmlformats.org/officeDocument/2006/relationships/hyperlink" Target="http://www.nature.com/articles/srep1855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964</Words>
  <Characters>5498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6450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</cp:revision>
  <cp:lastPrinted>2016-08-11T09:06:00Z</cp:lastPrinted>
  <dcterms:created xsi:type="dcterms:W3CDTF">2016-08-11T09:06:00Z</dcterms:created>
  <dcterms:modified xsi:type="dcterms:W3CDTF">2016-08-19T07:59:00Z</dcterms:modified>
</cp:coreProperties>
</file>