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Agreement</w:t>
      </w:r>
    </w:p>
    <w:p>
      <w:r>
        <w:t>This Data Processing Agreement ("DPA") forms part of the services agreement between Riverside Dental Practice Ltd (the "Controller") and Copperleaf Studio LLP (the "Processor") dated 2 March 2026.</w:t>
      </w:r>
    </w:p>
    <w:p>
      <w:pPr>
        <w:pStyle w:val="Heading2"/>
      </w:pPr>
      <w:r>
        <w:t>1. Subject matter and duration</w:t>
      </w:r>
    </w:p>
    <w:p>
      <w:r>
        <w:t>The Processor processes personal data on behalf of the Controller to host and maintain the Controller's website and appointment request form, for the duration of the services agreement.</w:t>
      </w:r>
    </w:p>
    <w:p>
      <w:pPr>
        <w:pStyle w:val="Heading2"/>
      </w:pPr>
      <w:r>
        <w:t>2. Categories of data and data subjects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subjects</w:t>
            </w:r>
          </w:p>
        </w:tc>
        <w:tc>
          <w:tcPr>
            <w:tcW w:type="dxa" w:w="4320"/>
          </w:tcPr>
          <w:p>
            <w:r>
              <w:t>Categories of personal data</w:t>
            </w:r>
          </w:p>
        </w:tc>
      </w:tr>
      <w:tr>
        <w:tc>
          <w:tcPr>
            <w:tcW w:type="dxa" w:w="4320"/>
          </w:tcPr>
          <w:p>
            <w:r>
              <w:t>Patients and prospective patients</w:t>
            </w:r>
          </w:p>
        </w:tc>
        <w:tc>
          <w:tcPr>
            <w:tcW w:type="dxa" w:w="4320"/>
          </w:tcPr>
          <w:p>
            <w:r>
              <w:t>Name, email, telephone, preferred appointment time, free-text message</w:t>
            </w:r>
          </w:p>
        </w:tc>
      </w:tr>
      <w:tr>
        <w:tc>
          <w:tcPr>
            <w:tcW w:type="dxa" w:w="4320"/>
          </w:tcPr>
          <w:p>
            <w:r>
              <w:t>Practice staff</w:t>
            </w:r>
          </w:p>
        </w:tc>
        <w:tc>
          <w:tcPr>
            <w:tcW w:type="dxa" w:w="4320"/>
          </w:tcPr>
          <w:p>
            <w:r>
              <w:t>Name, work email, login records</w:t>
            </w:r>
          </w:p>
        </w:tc>
      </w:tr>
    </w:tbl>
    <w:p/>
    <w:p>
      <w:pPr>
        <w:pStyle w:val="Heading2"/>
      </w:pPr>
      <w:r>
        <w:t>3. Processor obligations</w:t>
      </w:r>
    </w:p>
    <w:p>
      <w:pPr>
        <w:pStyle w:val="ListBullet"/>
      </w:pPr>
      <w:r>
        <w:t>Process personal data only on the Controller's documented instructions.</w:t>
      </w:r>
    </w:p>
    <w:p>
      <w:pPr>
        <w:pStyle w:val="ListBullet"/>
      </w:pPr>
      <w:r>
        <w:t>Ensure that people authorised to process the data are bound by confidentiality.</w:t>
      </w:r>
    </w:p>
    <w:p>
      <w:pPr>
        <w:pStyle w:val="ListBullet"/>
      </w:pPr>
      <w:r>
        <w:t>Implement appropriate technical and organisational security measures, including encryption in transit and at rest.</w:t>
      </w:r>
    </w:p>
    <w:p>
      <w:pPr>
        <w:pStyle w:val="ListBullet"/>
      </w:pPr>
      <w:r>
        <w:t>Not engage another processor without the Controller's prior written authorisation.</w:t>
      </w:r>
    </w:p>
    <w:p>
      <w:pPr>
        <w:pStyle w:val="ListBullet"/>
      </w:pPr>
      <w:r>
        <w:t>Assist the Controller in responding to data subject requests.</w:t>
      </w:r>
    </w:p>
    <w:p>
      <w:pPr>
        <w:pStyle w:val="ListBullet"/>
      </w:pPr>
      <w:r>
        <w:t>Notify the Controller without undue delay, and in any case within 48 hours, of a personal data breach.</w:t>
      </w:r>
    </w:p>
    <w:p>
      <w:pPr>
        <w:pStyle w:val="Heading2"/>
      </w:pPr>
      <w:r>
        <w:t>4. Sub-processors</w:t>
      </w:r>
    </w:p>
    <w:p>
      <w:r>
        <w:t>The Controller authorises the hosting provider listed in Annex 2. The Processor remains liable for its sub-processors.</w:t>
      </w:r>
    </w:p>
    <w:p>
      <w:pPr>
        <w:pStyle w:val="Heading2"/>
      </w:pPr>
      <w:r>
        <w:t>5. Deletion and return</w:t>
      </w:r>
    </w:p>
    <w:p>
      <w:r>
        <w:t>At the end of the services, the Processor will delete or return all personal data, at the Controller's choice.</w:t>
      </w:r>
    </w:p>
    <w:p>
      <w:pPr>
        <w:pStyle w:val="Heading2"/>
      </w:pPr>
      <w:r>
        <w:t>6. Audit</w:t>
      </w:r>
    </w:p>
    <w:p>
      <w:r>
        <w:t>The Processor will make available the information needed to demonstrate compliance and allow audits once a year.</w:t>
      </w:r>
    </w:p>
    <w:p>
      <w:r>
        <w:t>Signed for the Controller: ______________    Signed for the Processor: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