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Quarterly Report</w:t>
      </w:r>
    </w:p>
    <w:p w14:paraId="10000002" w14:textId="77777777"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Overview 1  Results 2  Outlook 3</w:t>
      </w:r>
      <w:r>
        <w:fldChar w:fldCharType="end"/>
      </w:r>
    </w:p>
    <w:p w14:paraId="10000003" w14:textId="77777777">
      <w:pPr>
        <w:pStyle w:val="Heading1"/>
      </w:pPr>
      <w:r>
        <w:t xml:space="preserve">Overview</w:t>
      </w:r>
    </w:p>
    <w:p w14:paraId="10000004" w14:textId="77777777">
      <w:r>
        <w:t xml:space="preserve">Revenue grew 8% on the quarter</w:t>
      </w:r>
      <w:r>
        <w:rPr>
          <w:rStyle w:val="FootnoteReference"/>
        </w:rPr>
        <w:footnoteReference w:id="1"/>
      </w:r>
      <w:r>
        <w:t xml:space="preserve"> and costs were flat.</w:t>
      </w:r>
    </w:p>
    <w:p w14:paraId="10000005" w14:textId="77777777">
      <w:pPr>
        <w:pStyle w:val="Heading1"/>
      </w:pPr>
      <w:bookmarkStart w:id="2" w:name="results"/>
      <w:r>
        <w:t xml:space="preserve">Results</w:t>
      </w:r>
      <w:bookmarkEnd w:id="2"/>
    </w:p>
    <w:p w14:paraId="10000006" w14:textId="77777777">
      <w:pPr>
        <w:pStyle w:val="Heading2"/>
      </w:pPr>
      <w:r>
        <w:t xml:space="preserve">Revenue by region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000"/>
      </w:tblGrid>
      <w:tr>
        <w:trPr>
          <w:tblHeader/>
        </w:trPr>
        <w:tc>
          <w:tcPr>
            <w:tcW w:w="2400" w:type="dxa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Q3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Q4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Change</w:t>
            </w:r>
          </w:p>
        </w:tc>
      </w:tr>
      <w:tr>
        <w:tc>
          <w:tcPr>
            <w:tcW w:w="2400" w:type="dxa"/>
          </w:tcPr>
          <w:p>
            <w:r>
              <w:t xml:space="preserve">North</w:t>
            </w:r>
          </w:p>
        </w:tc>
        <w:tc>
          <w:tcPr>
            <w:tcW w:w="2000" w:type="dxa"/>
          </w:tcPr>
          <w:p>
            <w:r>
              <w:t xml:space="preserve">4.1</w:t>
            </w:r>
          </w:p>
        </w:tc>
        <w:tc>
          <w:tcPr>
            <w:tcW w:w="2000" w:type="dxa"/>
          </w:tcPr>
          <w:p>
            <w:r>
              <w:t xml:space="preserve">4.5</w:t>
            </w:r>
          </w:p>
        </w:tc>
        <w:tc>
          <w:tcPr>
            <w:tcW w:w="2000" w:type="dxa"/>
          </w:tcPr>
          <w:p>
            <w:r>
              <w:t xml:space="preserve">+10%</w:t>
            </w:r>
          </w:p>
        </w:tc>
      </w:tr>
      <w:tr>
        <w:tc>
          <w:tcPr>
            <w:tcW w:w="2400" w:type="dxa"/>
          </w:tcPr>
          <w:p>
            <w:r>
              <w:t xml:space="preserve">South</w:t>
            </w:r>
          </w:p>
        </w:tc>
        <w:tc>
          <w:tcPr>
            <w:tcW w:w="2000" w:type="dxa"/>
          </w:tcPr>
          <w:p>
            <w:r>
              <w:t xml:space="preserve">3.2</w:t>
            </w:r>
          </w:p>
        </w:tc>
        <w:tc>
          <w:tcPr>
            <w:tcW w:w="2000" w:type="dxa"/>
          </w:tcPr>
          <w:p>
            <w:r>
              <w:t xml:space="preserve">3.3</w:t>
            </w:r>
          </w:p>
        </w:tc>
        <w:tc>
          <w:tcPr>
            <w:tcW w:w="2000" w:type="dxa"/>
          </w:tcPr>
          <w:p>
            <w:r>
              <w:t xml:space="preserve">+3%</w:t>
            </w:r>
          </w:p>
        </w:tc>
      </w:tr>
      <w:tr>
        <w:tc>
          <w:tcPr>
            <w:tcW w:w="2400" w:type="dxa"/>
          </w:tcPr>
          <w:p>
            <w:r>
              <w:t xml:space="preserve">Overseas</w:t>
            </w:r>
          </w:p>
        </w:tc>
        <w:tc>
          <w:tcPr>
            <w:tcW w:w="2000" w:type="dxa"/>
          </w:tcPr>
          <w:p>
            <w:r>
              <w:t xml:space="preserve">1.9</w:t>
            </w:r>
          </w:p>
        </w:tc>
        <w:tc>
          <w:tcPr>
            <w:tcW w:w="2000" w:type="dxa"/>
          </w:tcPr>
          <w:p>
            <w:r>
              <w:t xml:space="preserve">2.1</w:t>
            </w:r>
          </w:p>
        </w:tc>
        <w:tc>
          <w:tcPr>
            <w:tcW w:w="2000" w:type="dxa"/>
          </w:tcPr>
          <w:p>
            <w:r>
              <w:t xml:space="preserve">+11%</w:t>
            </w:r>
          </w:p>
        </w:tc>
      </w:tr>
    </w:tbl>
    <w:p/>
    <w:p w14:paraId="10000007" w14:textId="77777777">
      <w:pPr>
        <w:pStyle w:val="Heading2"/>
      </w:pPr>
      <w:r>
        <w:t xml:space="preserve">Costs</w:t>
      </w:r>
    </w:p>
    <w:p w14:paraId="10000008" w14:textId="77777777">
      <w:r>
        <w:t xml:space="preserve">Staff costs rose 2%, while hosting fell 6%</w:t>
      </w:r>
      <w:r>
        <w:rPr>
          <w:rStyle w:val="EndnoteReference"/>
        </w:rPr>
        <w:endnoteReference w:id="1"/>
      </w:r>
    </w:p>
    <w:p w14:paraId="10000009" w14:textId="77777777">
      <w:pPr>
        <w:pStyle w:val="Heading1"/>
      </w:pPr>
      <w:r>
        <w:t xml:space="preserve">Outlook</w:t>
      </w:r>
    </w:p>
    <w:p w14:paraId="1000000A" w14:textId="77777777">
      <w:r>
        <w:t xml:space="preserve">See </w:t>
      </w:r>
      <w:r>
        <w:fldChar w:fldCharType="begin"/>
      </w:r>
      <w:r>
        <w:instrText xml:space="preserve"> REF results \h </w:instrText>
      </w:r>
      <w:r>
        <w:fldChar w:fldCharType="separate"/>
      </w:r>
      <w:r>
        <w:t xml:space="preserve">Results</w:t>
      </w:r>
      <w:r>
        <w:fldChar w:fldCharType="end"/>
      </w:r>
      <w:r>
        <w:t xml:space="preserve"> for the figures behind this.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The hosting contract was renegotiated in October.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Revenue is stated before refunds.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Quarterly Report, Q4 2025</w:t>
    </w:r>
    <w:r>
      <w:tab/>
    </w:r>
    <w:sdt>
      <w:sdtPr>
        <w:alias w:val="Company"/>
        <w:tag w:val="company"/>
        <w:id w:val="4001"/>
        <w:text/>
      </w:sdtPr>
      <w:sdtContent>
        <w:r>
          <w:t xml:space="preserve">Northwind Example Ltd</w:t>
        </w:r>
      </w:sdtContent>
    </w:sdt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en-report-quarterly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