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_default.xml" ContentType="application/vnd.openxmlformats-officedocument.wordprocessingml.header+xml"/>
  <Override PartName="/word/footer_default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10000001" w14:textId="77777777">
      <w:pPr>
        <w:pStyle w:val="Title"/>
      </w:pPr>
      <w:r>
        <w:t xml:space="preserve">2025年度报告</w:t>
      </w:r>
    </w:p>
    <w:p w14:paraId="10000002" w14:textId="77777777">
      <w:pPr>
        <w:pStyle w:val="TOC1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 xml:space="preserve">概述 1  经营情况 2  展望 3</w:t>
      </w:r>
      <w:r>
        <w:fldChar w:fldCharType="end"/>
      </w:r>
    </w:p>
    <w:p w14:paraId="10000003" w14:textId="77777777">
      <w:pPr>
        <w:pStyle w:val="Heading1"/>
      </w:pPr>
      <w:r>
        <w:t xml:space="preserve">概述</w:t>
      </w:r>
    </w:p>
    <w:p w14:paraId="10000004" w14:textId="77777777">
      <w:r>
        <w:t xml:space="preserve">全年营业收入同比增长百分之八。</w:t>
      </w:r>
      <w:r>
        <w:rPr>
          <w:rStyle w:val="FootnoteReference"/>
        </w:rPr>
        <w:footnoteReference w:id="1"/>
      </w:r>
    </w:p>
    <w:p w14:paraId="10000005" w14:textId="77777777">
      <w:pPr>
        <w:pStyle w:val="Heading1"/>
      </w:pPr>
      <w:r>
        <w:t xml:space="preserve">经营情况</w:t>
      </w:r>
    </w:p>
    <w:p w14:paraId="10000006" w14:textId="77777777">
      <w:pPr>
        <w:pStyle w:val="Heading2"/>
      </w:pPr>
      <w:r>
        <w:t xml:space="preserve">各地区收入</w:t>
      </w:r>
    </w:p>
    <w:tbl>
      <w:tblPr>
        <w:tblStyle w:val="TableGrid"/>
        <w:tblW w:w="8400" w:type="dxa"/>
        <w:tblLook w:val="04A0" w:firstRow="1" w:lastRow="0" w:firstColumn="1" w:lastColumn="0" w:noHBand="0" w:noVBand="1"/>
      </w:tblPr>
      <w:tblGrid>
        <w:gridCol w:w="2400"/>
        <w:gridCol w:w="2000"/>
        <w:gridCol w:w="2000"/>
        <w:gridCol w:w="2000"/>
      </w:tblGrid>
      <w:tr>
        <w:trPr>
          <w:tblHeader/>
        </w:trPr>
        <w:tc>
          <w:tcPr>
            <w:tcW w:w="2400" w:type="dxa"/>
          </w:tcPr>
          <w:p>
            <w:r>
              <w:rPr>
                <w:b/>
              </w:rPr>
              <w:t xml:space="preserve">地区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第三季度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第四季度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变化</w:t>
            </w:r>
          </w:p>
        </w:tc>
      </w:tr>
      <w:tr>
        <w:tc>
          <w:tcPr>
            <w:tcW w:w="2400" w:type="dxa"/>
          </w:tcPr>
          <w:p>
            <w:r>
              <w:t xml:space="preserve">北方</w:t>
            </w:r>
          </w:p>
        </w:tc>
        <w:tc>
          <w:tcPr>
            <w:tcW w:w="2000" w:type="dxa"/>
          </w:tcPr>
          <w:p>
            <w:r>
              <w:t xml:space="preserve">4.1</w:t>
            </w:r>
          </w:p>
        </w:tc>
        <w:tc>
          <w:tcPr>
            <w:tcW w:w="2000" w:type="dxa"/>
          </w:tcPr>
          <w:p>
            <w:r>
              <w:t xml:space="preserve">4.5</w:t>
            </w:r>
          </w:p>
        </w:tc>
        <w:tc>
          <w:tcPr>
            <w:tcW w:w="2000" w:type="dxa"/>
          </w:tcPr>
          <w:p>
            <w:r>
              <w:t xml:space="preserve">+10%</w:t>
            </w:r>
          </w:p>
        </w:tc>
      </w:tr>
      <w:tr>
        <w:tc>
          <w:tcPr>
            <w:tcW w:w="2400" w:type="dxa"/>
          </w:tcPr>
          <w:p>
            <w:r>
              <w:t xml:space="preserve">南方</w:t>
            </w:r>
          </w:p>
        </w:tc>
        <w:tc>
          <w:tcPr>
            <w:tcW w:w="2000" w:type="dxa"/>
          </w:tcPr>
          <w:p>
            <w:r>
              <w:t xml:space="preserve">3.2</w:t>
            </w:r>
          </w:p>
        </w:tc>
        <w:tc>
          <w:tcPr>
            <w:tcW w:w="2000" w:type="dxa"/>
          </w:tcPr>
          <w:p>
            <w:r>
              <w:t xml:space="preserve">3.3</w:t>
            </w:r>
          </w:p>
        </w:tc>
        <w:tc>
          <w:tcPr>
            <w:tcW w:w="2000" w:type="dxa"/>
          </w:tcPr>
          <w:p>
            <w:r>
              <w:t xml:space="preserve">+3%</w:t>
            </w:r>
          </w:p>
        </w:tc>
      </w:tr>
      <w:tr>
        <w:tc>
          <w:tcPr>
            <w:tcW w:w="2400" w:type="dxa"/>
          </w:tcPr>
          <w:p>
            <w:r>
              <w:t xml:space="preserve">海外</w:t>
            </w:r>
          </w:p>
        </w:tc>
        <w:tc>
          <w:tcPr>
            <w:tcW w:w="2000" w:type="dxa"/>
          </w:tcPr>
          <w:p>
            <w:r>
              <w:t xml:space="preserve">1.9</w:t>
            </w:r>
          </w:p>
        </w:tc>
        <w:tc>
          <w:tcPr>
            <w:tcW w:w="2000" w:type="dxa"/>
          </w:tcPr>
          <w:p>
            <w:r>
              <w:t xml:space="preserve">2.1</w:t>
            </w:r>
          </w:p>
        </w:tc>
        <w:tc>
          <w:tcPr>
            <w:tcW w:w="2000" w:type="dxa"/>
          </w:tcPr>
          <w:p>
            <w:r>
              <w:t xml:space="preserve">+11%</w:t>
            </w:r>
          </w:p>
        </w:tc>
      </w:tr>
    </w:tbl>
    <w:p/>
    <w:p w14:paraId="10000007" w14:textId="77777777">
      <w:r>
        <w:t xml:space="preserve">人员成本上升百分之二，托管成本下降百分之六。</w:t>
      </w:r>
      <w:r>
        <w:rPr>
          <w:rStyle w:val="EndnoteReference"/>
        </w:rPr>
        <w:endnoteReference w:id="1"/>
      </w:r>
    </w:p>
    <w:p w14:paraId="10000008" w14:textId="77777777">
      <w:pPr>
        <w:pStyle w:val="Heading1"/>
      </w:pPr>
      <w:r>
        <w:t xml:space="preserve">展望</w:t>
      </w:r>
    </w:p>
    <w:p w14:paraId="10000009" w14:textId="77777777">
      <w:r>
        <w:t xml:space="preserve">明年将继续控制成本，并扩大海外业务。</w:t>
      </w:r>
    </w:p>
    <w:sectPr>
      <w:headerReference w:type="default" r:id="rIdHdefault"/>
      <w:footerReference w:type="default" r:id="rIdFdefault"/>
      <w:pgSz w:w="11906" w:h="16838"/>
      <w:pgMar w:top="1440" w:right="1440" w:bottom="1440" w:left="1440" w:header="708" w:footer="708" w:gutter="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  <w:endnote w:id="1">
    <w:p>
      <w:pPr>
        <w:pStyle w:val="EndnoteText"/>
      </w:pPr>
      <w:r>
        <w:rPr>
          <w:rStyle w:val="EndnoteReference"/>
        </w:rPr>
        <w:endnoteRef/>
      </w:r>
      <w:r>
        <w:t xml:space="preserve"> 托管合同已于十月重新议价。</w:t>
      </w:r>
    </w:p>
  </w:endnote>
</w:endnotes>
</file>

<file path=word/footer_default.xml><?xml version="1.0" encoding="utf-8"?>
<w:ft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p>
    <w:pPr>
      <w:pStyle w:val="Footer"/>
    </w:pPr>
    <w: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页，共 </w:t>
    </w:r>
    <w:r>
      <w:fldChar w:fldCharType="begin"/>
    </w:r>
    <w:r>
      <w:instrText xml:space="preserve"> NUMPAGES </w:instrText>
    </w:r>
    <w:r>
      <w:fldChar w:fldCharType="separate"/>
    </w:r>
    <w:r>
      <w:t xml:space="preserve">3</w:t>
    </w:r>
    <w: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营业收入为扣除退款前的金额。</w:t>
      </w:r>
    </w:p>
  </w:footnote>
</w:footnotes>
</file>

<file path=word/header_default.xml><?xml version="1.0" encoding="utf-8"?>
<w:hd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p>
    <w:pPr>
      <w:pStyle w:val="Header"/>
    </w:pPr>
    <w:r>
      <w:t xml:space="preserve">年度报告</w:t>
    </w:r>
    <w:r>
      <w:tab/>
    </w:r>
    <w:r>
      <w:fldChar w:fldCharType="begin"/>
    </w:r>
    <w:r>
      <w:instrText xml:space="preserve"> DATE \@ "yyyy年M月d日" </w:instrText>
    </w:r>
    <w:r>
      <w:fldChar w:fldCharType="separate"/>
    </w:r>
    <w:r>
      <w:t xml:space="preserve">2026年1月15日</w:t>
    </w:r>
    <w:r>
      <w:fldChar w:fldCharType="end"/>
    </w:r>
  </w:p>
</w:hdr>
</file>

<file path=word/numbering.xml><?xml version="1.0" encoding="utf-8"?>
<w:numbering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abstractNum w:abstractNumId="0">
    <w:multiLevelType w:val="multilevel"/>
    <w:lvl w:ilvl="0">
      <w:start w:val="1"/>
      <w:numFmt w:val="decimal"/>
      <w:lvlText w:val="%1."/>
      <w:lvlJc w:val="left"/>
      <w:pPr>
        <w:ind w:left="567" w:hanging="567"/>
      </w:pPr>
      <w:rPr>
        <w:b/>
      </w:rPr>
    </w:lvl>
    <w:lvl w:ilvl="1">
      <w:start w:val="1"/>
      <w:numFmt w:val="decimal"/>
      <w:lvlText w:val="%1.%2"/>
      <w:lvlJc w:val="left"/>
      <w:pPr>
        <w:ind w:left="1134" w:hanging="567"/>
      </w:pPr>
    </w:lvl>
    <w:lvl w:ilvl="2">
      <w:start w:val="1"/>
      <w:numFmt w:val="lowerLetter"/>
      <w:lvlText w:val="(%3)"/>
      <w:lvlJc w:val="left"/>
      <w:pPr>
        <w:ind w:left="1701" w:hanging="567"/>
      </w:pPr>
    </w:lvl>
    <w:lvl w:ilvl="3">
      <w:start w:val="1"/>
      <w:numFmt w:val="lowerRoman"/>
      <w:lvlText w:val="(%4)"/>
      <w:lvlJc w:val="left"/>
      <w:pPr>
        <w:ind w:left="2268" w:hanging="567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–"/>
      <w:lvlJc w:val="left"/>
      <w:pPr>
        <w:ind w:left="1440" w:hanging="360"/>
      </w:pPr>
    </w:lvl>
  </w:abstractNum>
  <w:abstractNum w:abstractNumId="2">
    <w:multiLevelType w:val="multilevel"/>
    <w:lvl w:ilvl="0">
      <w:start w:val="1"/>
      <w:numFmt w:val="chineseCounting"/>
      <w:lvlText w:val="第%1条"/>
      <w:lvlJc w:val="left"/>
      <w:pPr>
        <w:ind w:left="0" w:hanging="0"/>
      </w:pPr>
      <w:rPr>
        <w:b/>
      </w:rPr>
    </w:lvl>
    <w:lvl w:ilvl="1">
      <w:start w:val="1"/>
      <w:numFmt w:val="decimal"/>
      <w:lvlText w:val="%1.%2"/>
      <w:lvlJc w:val="left"/>
      <w:pPr>
        <w:ind w:left="567" w:hanging="567"/>
      </w:pPr>
    </w:lvl>
    <w:lvl w:ilvl="2">
      <w:start w:val="1"/>
      <w:numFmt w:val="decimal"/>
      <w:lvlText w:val="(%3)"/>
      <w:lvlJc w:val="left"/>
      <w:pPr>
        <w:ind w:left="1134" w:hanging="567"/>
      </w:pPr>
    </w:lvl>
  </w:abstractNum>
  <w:abstractNum w:abstractNumId="3">
    <w:multiLevelType w:val="multilevel"/>
    <w:lvl w:ilvl="0">
      <w:start w:val="1"/>
      <w:numFmt w:val="chineseCounting"/>
      <w:lvlText w:val="%1、"/>
      <w:lvlJc w:val="left"/>
      <w:pPr>
        <w:ind w:left="480" w:hanging="480"/>
      </w:pPr>
      <w:rPr>
        <w:b/>
      </w:rPr>
    </w:lvl>
    <w:lvl w:ilvl="1">
      <w:start w:val="1"/>
      <w:numFmt w:val="chineseCounting"/>
      <w:lvlText w:val="（%2）"/>
      <w:lvlJc w:val="left"/>
      <w:pPr>
        <w:ind w:left="960" w:hanging="480"/>
      </w:pPr>
    </w:lvl>
    <w:lvl w:ilvl="2">
      <w:start w:val="1"/>
      <w:numFmt w:val="decimal"/>
      <w:lvlText w:val="%3."/>
      <w:lvlJc w:val="left"/>
      <w:pPr>
        <w:ind w:left="1440" w:hanging="480"/>
      </w:pPr>
    </w:lvl>
  </w:abstractNum>
  <w:abstractNum w:abstractNumId="4">
    <w:multiLevelType w:val="multilevel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defaultTabStop w:val="720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docDefaults>
    <w:rPrDefault>
      <w:rPr>
        <w:rFonts w:ascii="Calibri" w:hAnsi="Calibri" w:eastAsia="SimSun" w:cs="Times New Roman"/>
        <w:sz w:val="22"/>
        <w:szCs w:val="22"/>
        <w:lang w:val="en-GB" w:eastAsia="zh-CN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</w:style>
  <w:style w:type="paragraph" w:styleId="Title">
    <w:name w:val="Title"/>
    <w:basedOn w:val="Normal"/>
    <w:next w:val="Normal"/>
    <w:qFormat/>
    <w:pPr>
      <w:spacing w:before="240" w:after="240"/>
      <w:jc w:val="center"/>
    </w:pPr>
    <w:rPr>
      <w:b/>
      <w:sz w:val="40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  <w:i/>
      <w:sz w:val="24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Header">
    <w:name w:val="header"/>
    <w:basedOn w:val="Normal"/>
    <w:qFormat/>
    <w:pPr>
      <w:tabs>
        <w:tab w:val="right" w:pos="9026"/>
      </w:tabs>
      <w:spacing w:after="0"/>
    </w:pPr>
    <w:rPr>
      <w:sz w:val="18"/>
    </w:rPr>
  </w:style>
  <w:style w:type="paragraph" w:styleId="Footer">
    <w:name w:val="footer"/>
    <w:basedOn w:val="Normal"/>
    <w:qFormat/>
    <w:pPr>
      <w:tabs>
        <w:tab w:val="right" w:pos="9026"/>
      </w:tabs>
      <w:spacing w:after="0"/>
    </w:pPr>
    <w:rPr>
      <w:sz w:val="18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20"/>
    </w:rPr>
  </w:style>
  <w:style w:type="paragraph" w:styleId="CommentText">
    <w:name w:val="annotation text"/>
    <w:basedOn w:val="Normal"/>
    <w:qFormat/>
    <w:rPr>
      <w:sz w:val="20"/>
    </w:rPr>
  </w:style>
  <w:style w:type="paragraph" w:styleId="TOC1">
    <w:name w:val="toc 1"/>
    <w:basedOn w:val="Normal"/>
    <w:qFormat/>
    <w:pPr>
      <w:tabs>
        <w:tab w:val="right" w:leader="dot" w:pos="9016"/>
      </w:tabs>
    </w:p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Set" Type="http://schemas.openxmlformats.org/officeDocument/2006/relationships/settings" Target="settings.xml"/><Relationship Id="rIdFn" Type="http://schemas.openxmlformats.org/officeDocument/2006/relationships/footnotes" Target="footnotes.xml"/><Relationship Id="rIdEn" Type="http://schemas.openxmlformats.org/officeDocument/2006/relationships/endnotes" Target="endnotes.xml"/><Relationship Id="rIdHdefault" Type="http://schemas.openxmlformats.org/officeDocument/2006/relationships/header" Target="header_default.xml"/><Relationship Id="rIdFdefault" Type="http://schemas.openxmlformats.org/officeDocument/2006/relationships/footer" Target="footer_default.xml"/></Relationships>
</file>

<file path=docProps/app.xml><?xml version="1.0" encoding="utf-8"?>
<Properties xmlns="http://schemas.openxmlformats.org/officeDocument/2006/extended-properties">
  <Application>Synthetic corpus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zh-report-annual</dc:title>
  <dc:creator>Synthetic corpus</dc:creator>
  <cp:lastModifiedBy>Synthetic corpus</cp:lastModifiedBy>
  <dcterms:created xsi:type="dcterms:W3CDTF">2026-01-15T09:00:00Z</dcterms:created>
  <dcterms:modified xsi:type="dcterms:W3CDTF">2026-01-15T09:00:00Z</dcterms:modified>
</cp:coreProperties>
</file>