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Contrat de prestation de services</w:t>
      </w:r>
    </w:p>
    <w:p w14:paraId="10000002" w14:textId="77777777">
      <w:pPr>
        <w:jc w:val="center"/>
      </w:pPr>
      <w:r>
        <w:t xml:space="preserve">Entre les soussignés</w:t>
      </w:r>
    </w:p>
    <w:p w14:paraId="10000003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Objet</w:t>
      </w:r>
      <w:bookmarkEnd w:id="1"/>
    </w:p>
    <w:p w14:paraId="10000004" w14:textId="77777777">
      <w:r>
        <w:t xml:space="preserve">Le prestataire s'engage à fournir au client des services de maintenance informatique.</w:t>
      </w:r>
      <w:r>
        <w:rPr>
          <w:rStyle w:val="FootnoteReference"/>
        </w:rPr>
        <w:footnoteReference w:id="1"/>
      </w:r>
    </w:p>
    <w:p w14:paraId="10000005" w14:textId="77777777">
      <w:r>
        <w:t xml:space="preserve">Les services sont décrits à l'annexe 1.</w:t>
      </w:r>
      <w:r>
        <w:rPr>
          <w:rStyle w:val="EndnoteReference"/>
        </w:rPr>
        <w:endnoteReference w:id="1"/>
      </w:r>
    </w:p>
    <w:p w14:paraId="10000006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Prix et paiement</w:t>
      </w:r>
      <w:bookmarkEnd w:id="2"/>
    </w:p>
    <w:p w14:paraId="10000007" w14:textId="77777777">
      <w:r>
        <w:t xml:space="preserve">Le client verse une redevance mensuelle fixe, payable à trente jours.</w:t>
      </w:r>
    </w:p>
    <w:p w14:paraId="10000008" w14:textId="77777777">
      <w:r>
        <w:t xml:space="preserve">Tout retard donne lieu à des intérêts au taux légal.</w:t>
      </w:r>
    </w:p>
    <w:p w14:paraId="10000009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Durée et résiliation</w:t>
      </w:r>
      <w:bookmarkEnd w:id="3"/>
    </w:p>
    <w:p w14:paraId="1000000A" w14:textId="77777777">
      <w:r>
        <w:t xml:space="preserve">Le contrat dure douze mois et se renouvelle par tacite reconduction.</w:t>
      </w:r>
    </w:p>
    <w:p w14:paraId="1000000B" w14:textId="77777777">
      <w:r>
        <w:t xml:space="preserve">Chaque partie peut y mettre fin avec un préavis de trois mois.</w:t>
      </w:r>
    </w:p>
    <w:p w14:paraId="1000000C" w14:textId="77777777">
      <w:pPr>
        <w:jc w:val="center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Point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Point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Responsable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Échéance</w:t>
            </w:r>
          </w:p>
        </w:tc>
      </w:tr>
      <w:tr>
        <w:tc>
          <w:tcPr>
            <w:tcW w:w="3000" w:type="dxa"/>
          </w:tcPr>
          <w:p>
            <w:r>
              <w:t xml:space="preserve">Projet</w:t>
            </w:r>
          </w:p>
        </w:tc>
        <w:tc>
          <w:tcPr>
            <w:tcW w:w="3000" w:type="dxa"/>
          </w:tcPr>
          <w:p>
            <w:r>
              <w:t xml:space="preserve">Juridique</w:t>
            </w:r>
          </w:p>
        </w:tc>
        <w:tc>
          <w:tcPr>
            <w:tcW w:w="3000" w:type="dxa"/>
          </w:tcPr>
          <w:p>
            <w:r>
              <w:t xml:space="preserve">3 févr.</w:t>
            </w:r>
          </w:p>
        </w:tc>
      </w:tr>
      <w:tr>
        <w:tc>
          <w:tcPr>
            <w:tcW w:w="3000" w:type="dxa"/>
          </w:tcPr>
          <w:p>
            <w:r>
              <w:t xml:space="preserve">Relecture</w:t>
            </w:r>
          </w:p>
        </w:tc>
        <w:tc>
          <w:tcPr>
            <w:tcW w:w="3000" w:type="dxa"/>
          </w:tcPr>
          <w:p>
            <w:r>
              <w:t xml:space="preserve">Finances</w:t>
            </w:r>
          </w:p>
        </w:tc>
        <w:tc>
          <w:tcPr>
            <w:tcW w:w="3000" w:type="dxa"/>
          </w:tcPr>
          <w:p>
            <w:r>
              <w:t xml:space="preserve">10 févr.</w:t>
            </w:r>
          </w:p>
        </w:tc>
      </w:tr>
      <w:tr>
        <w:tc>
          <w:tcPr>
            <w:tcW w:w="3000" w:type="dxa"/>
          </w:tcPr>
          <w:p>
            <w:r>
              <w:t xml:space="preserve">Validation</w:t>
            </w:r>
          </w:p>
        </w:tc>
        <w:tc>
          <w:tcPr>
            <w:tcW w:w="3000" w:type="dxa"/>
          </w:tcPr>
          <w:p>
            <w:r>
              <w:t xml:space="preserve">Conseil</w:t>
            </w:r>
          </w:p>
        </w:tc>
        <w:tc>
          <w:tcPr>
            <w:tcW w:w="3000" w:type="dxa"/>
          </w:tcPr>
          <w:p>
            <w:r>
              <w:t xml:space="preserve">24 févr.</w:t>
            </w:r>
          </w:p>
        </w:tc>
      </w:tr>
    </w:tbl>
    <w:p/>
    <w:p w14:paraId="1000000D" w14:textId="77777777">
      <w:r>
        <w:t xml:space="preserve">Objet: </w:t>
      </w:r>
      <w:r>
        <w:fldChar w:fldCharType="begin"/>
      </w:r>
      <w:r>
        <w:instrText xml:space="preserve"> REF sec0 \h </w:instrText>
      </w:r>
      <w:r>
        <w:fldChar w:fldCharType="separate"/>
      </w:r>
      <w:r>
        <w:t xml:space="preserve">Objet</w:t>
      </w:r>
      <w:r>
        <w:fldChar w:fldCharType="end"/>
      </w:r>
      <w:r>
        <w:t xml:space="preserve"> </w:t>
      </w:r>
      <w:r>
        <w:fldChar w:fldCharType="begin"/>
      </w:r>
      <w:r>
        <w:instrText xml:space="preserve"> PAGEREF sec0 \h </w:instrText>
      </w:r>
      <w:r>
        <w:fldChar w:fldCharType="separate"/>
      </w:r>
      <w:r>
        <w:t xml:space="preserve">1</w:t>
      </w:r>
      <w:r>
        <w:fldChar w:fldCharType="end"/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Pour la première partie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Pour la seconde partie</w:t>
            </w:r>
          </w:p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Les termes définis figurent au glossaire.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sur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Les chiffres sont arrondis à l'unité.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Contrat de prestation de services</w:t>
    </w:r>
    <w:r>
      <w:tab/>
    </w:r>
    <w:r>
      <w:t xml:space="preserve">Confidentiel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fr-FR" w:eastAsia="zh-CN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legal-fr-contrat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