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WrenSong-2K: An Annotated Corpus of Urban Bird Vocalisations</w:t>
      </w:r>
    </w:p>
    <w:p>
      <w:r>
        <w:t>Maya Okafor, Benedikt Sauer and Hye-jin Park — Urban Ecology Lab, Northbridge Institute of Technology</w:t>
      </w:r>
    </w:p>
    <w:p>
      <w:pPr>
        <w:pStyle w:val="Heading2"/>
      </w:pPr>
      <w:r>
        <w:t>Abstract</w:t>
      </w:r>
    </w:p>
    <w:p>
      <w:r>
        <w:t>Automatic recognition of bird song is increasingly used to monitor urban biodiversity, but public datasets are dominated by recordings from forests and wetlands with little traffic noise. We introduce WrenSong-2K, 2,014 hours of audio from 64 recorders in parks, gardens and street trees of three cities, with 48,300 time-stamped annotations of 37 species. We describe the recording protocol, the two-stage annotation process and inter-annotator agreement (Cohen's kappa 0.82), and report baselines for species detection. A model trained on existing forest datasets loses 21 points of mean average precision on our test set, showing the need for urban training data.</w:t>
      </w:r>
    </w:p>
    <w:p>
      <w:pPr>
        <w:pStyle w:val="Heading2"/>
      </w:pPr>
      <w:r>
        <w:t>1. Introduction</w:t>
      </w:r>
    </w:p>
    <w:p>
      <w:r>
        <w:t>Cities are home to a surprising diversity of birds, and passive acoustic monitoring could track how they respond to green infrastructure. Classifiers trained on quiet natural recordings, however, are confused by buses, sirens and human speech.</w:t>
      </w:r>
    </w:p>
    <w:p>
      <w:pPr>
        <w:pStyle w:val="Heading2"/>
      </w:pPr>
      <w:r>
        <w:t>2. Data collection</w:t>
      </w:r>
    </w:p>
    <w:p>
      <w:r>
        <w:t>Recorders sampled at 48 kHz for the first four hours after sunrise from March to July 2025. Sites were stratified by distance to the nearest major road. Recordings containing identifiable speech were removed to protect privacy.</w:t>
      </w:r>
    </w:p>
    <w:p>
      <w:pPr>
        <w:pStyle w:val="Heading2"/>
      </w:pPr>
      <w:r>
        <w:t>3. Annotation protocol</w:t>
      </w:r>
    </w:p>
    <w:p>
      <w:r>
        <w:t>Volunteer birders first marked candidate vocalisations; two expert annotators then confirmed the species and adjusted boundaries. Disagreements were resolved by a third expert.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Species group</w:t>
            </w:r>
          </w:p>
        </w:tc>
        <w:tc>
          <w:tcPr>
            <w:tcW w:type="dxa" w:w="2160"/>
          </w:tcPr>
          <w:p>
            <w:r>
              <w:t>Species</w:t>
            </w:r>
          </w:p>
        </w:tc>
        <w:tc>
          <w:tcPr>
            <w:tcW w:type="dxa" w:w="2160"/>
          </w:tcPr>
          <w:p>
            <w:r>
              <w:t>Annotations</w:t>
            </w:r>
          </w:p>
        </w:tc>
        <w:tc>
          <w:tcPr>
            <w:tcW w:type="dxa" w:w="2160"/>
          </w:tcPr>
          <w:p>
            <w:r>
              <w:t>Share of test set (%)</w:t>
            </w:r>
          </w:p>
        </w:tc>
      </w:tr>
      <w:tr>
        <w:tc>
          <w:tcPr>
            <w:tcW w:type="dxa" w:w="2160"/>
          </w:tcPr>
          <w:p>
            <w:r>
              <w:t>Corvids</w:t>
            </w:r>
          </w:p>
        </w:tc>
        <w:tc>
          <w:tcPr>
            <w:tcW w:type="dxa" w:w="2160"/>
          </w:tcPr>
          <w:p>
            <w:r>
              <w:t>4</w:t>
            </w:r>
          </w:p>
        </w:tc>
        <w:tc>
          <w:tcPr>
            <w:tcW w:type="dxa" w:w="2160"/>
          </w:tcPr>
          <w:p>
            <w:r>
              <w:t>9,812</w:t>
            </w:r>
          </w:p>
        </w:tc>
        <w:tc>
          <w:tcPr>
            <w:tcW w:type="dxa" w:w="2160"/>
          </w:tcPr>
          <w:p>
            <w:r>
              <w:t>18.6</w:t>
            </w:r>
          </w:p>
        </w:tc>
      </w:tr>
      <w:tr>
        <w:tc>
          <w:tcPr>
            <w:tcW w:type="dxa" w:w="2160"/>
          </w:tcPr>
          <w:p>
            <w:r>
              <w:t>Tits and warblers</w:t>
            </w:r>
          </w:p>
        </w:tc>
        <w:tc>
          <w:tcPr>
            <w:tcW w:type="dxa" w:w="2160"/>
          </w:tcPr>
          <w:p>
            <w:r>
              <w:t>11</w:t>
            </w:r>
          </w:p>
        </w:tc>
        <w:tc>
          <w:tcPr>
            <w:tcW w:type="dxa" w:w="2160"/>
          </w:tcPr>
          <w:p>
            <w:r>
              <w:t>14,027</w:t>
            </w:r>
          </w:p>
        </w:tc>
        <w:tc>
          <w:tcPr>
            <w:tcW w:type="dxa" w:w="2160"/>
          </w:tcPr>
          <w:p>
            <w:r>
              <w:t>31.2</w:t>
            </w:r>
          </w:p>
        </w:tc>
      </w:tr>
      <w:tr>
        <w:tc>
          <w:tcPr>
            <w:tcW w:type="dxa" w:w="2160"/>
          </w:tcPr>
          <w:p>
            <w:r>
              <w:t>Thrushes</w:t>
            </w:r>
          </w:p>
        </w:tc>
        <w:tc>
          <w:tcPr>
            <w:tcW w:type="dxa" w:w="2160"/>
          </w:tcPr>
          <w:p>
            <w:r>
              <w:t>5</w:t>
            </w:r>
          </w:p>
        </w:tc>
        <w:tc>
          <w:tcPr>
            <w:tcW w:type="dxa" w:w="2160"/>
          </w:tcPr>
          <w:p>
            <w:r>
              <w:t>8,456</w:t>
            </w:r>
          </w:p>
        </w:tc>
        <w:tc>
          <w:tcPr>
            <w:tcW w:type="dxa" w:w="2160"/>
          </w:tcPr>
          <w:p>
            <w:r>
              <w:t>16.9</w:t>
            </w:r>
          </w:p>
        </w:tc>
      </w:tr>
      <w:tr>
        <w:tc>
          <w:tcPr>
            <w:tcW w:type="dxa" w:w="2160"/>
          </w:tcPr>
          <w:p>
            <w:r>
              <w:t>Others</w:t>
            </w:r>
          </w:p>
        </w:tc>
        <w:tc>
          <w:tcPr>
            <w:tcW w:type="dxa" w:w="2160"/>
          </w:tcPr>
          <w:p>
            <w:r>
              <w:t>17</w:t>
            </w:r>
          </w:p>
        </w:tc>
        <w:tc>
          <w:tcPr>
            <w:tcW w:type="dxa" w:w="2160"/>
          </w:tcPr>
          <w:p>
            <w:r>
              <w:t>16,005</w:t>
            </w:r>
          </w:p>
        </w:tc>
        <w:tc>
          <w:tcPr>
            <w:tcW w:type="dxa" w:w="2160"/>
          </w:tcPr>
          <w:p>
            <w:r>
              <w:t>33.3</w:t>
            </w:r>
          </w:p>
        </w:tc>
      </w:tr>
    </w:tbl>
    <w:p/>
    <w:p>
      <w:pPr>
        <w:pStyle w:val="Heading2"/>
      </w:pPr>
      <w:r>
        <w:t>4. Baselines</w:t>
      </w:r>
    </w:p>
    <w:p>
      <w:r>
        <w:t>A convolutional network pre-trained on forest recordings reached 0.47 mean average precision; fine-tuning on the WrenSong-2K training split raised it to 0.68.</w:t>
      </w:r>
    </w:p>
    <w:p>
      <w:pPr>
        <w:pStyle w:val="Heading2"/>
      </w:pPr>
      <w:r>
        <w:t>5. Limitations</w:t>
      </w:r>
    </w:p>
    <w:p>
      <w:r>
        <w:t>All three cities are temperate and coastal; species lists will differ elsewhere.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2026-01-15T09:00:00Z</dcterms:created>
  <dcterms:modified xsi:type="dcterms:W3CDTF">2026-01-15T09:00:00Z</dcterms:modified>
  <cp:category/>
  <cp:lastPrinted>2026-01-15T09:00:00Z</cp:lastPrinted>
</cp:coreProperties>
</file>