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_default.xml" ContentType="application/vnd.openxmlformats-officedocument.wordprocessingml.header+xml"/>
  <Override PartName="/word/footer_default.xml" ContentType="application/vnd.openxmlformats-officedocument.wordprocessingml.footer+xml"/>
  <Override PartName="/word/header_s1.xml" ContentType="application/vnd.openxmlformats-officedocument.wordprocessingml.header+xml"/>
  <Override PartName="/word/footer_s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body>
    <w:p w14:paraId="10000001" w14:textId="77777777">
      <w:pPr>
        <w:pStyle w:val="Title"/>
      </w:pPr>
      <w:r>
        <w:t xml:space="preserve">Prospectus: Example Growth Fund</w:t>
      </w:r>
    </w:p>
    <w:p w14:paraId="10000002" w14:textId="77777777">
      <w:pPr>
        <w:jc w:val="center"/>
      </w:pPr>
      <w:r>
        <w:t xml:space="preserve">Offer of units to the public</w:t>
      </w:r>
    </w:p>
    <w:p w14:paraId="10000003" w14:textId="77777777">
      <w:r>
        <w:rPr>
          <w:b/>
        </w:rPr>
        <w:t xml:space="preserve">Contents</w:t>
      </w:r>
    </w:p>
    <w:p w14:paraId="10000004" w14:textId="77777777">
      <w:pPr>
        <w:pStyle w:val="TOC1"/>
      </w:pPr>
      <w:r>
        <w:fldChar w:fldCharType="begin"/>
      </w:r>
      <w:r>
        <w:instrText xml:space="preserve"> TOC \o "1-2" \h \z \u </w:instrText>
      </w:r>
      <w:r>
        <w:fldChar w:fldCharType="separate"/>
      </w:r>
      <w:r>
        <w:t xml:space="preserve">The offer Risk factors Charges</w:t>
      </w:r>
      <w:r>
        <w:fldChar w:fldCharType="end"/>
      </w:r>
    </w:p>
    <w:p w14:paraId="10000005" w14:textId="77777777">
      <w:pPr>
        <w:pStyle w:val="Heading1"/>
        <w:numPr>
          <w:ilvl w:val="0"/>
          <w:numId w:val="5"/>
        </w:numPr>
      </w:pPr>
      <w:bookmarkStart w:id="1" w:name="sec0"/>
      <w:r>
        <w:t xml:space="preserve">The offer</w:t>
      </w:r>
      <w:bookmarkEnd w:id="1"/>
    </w:p>
    <w:p w14:paraId="10000006" w14:textId="77777777">
      <w:r>
        <w:t xml:space="preserve">The fund offers units at their net asset value plus a small initial charge.</w:t>
      </w:r>
    </w:p>
    <w:p w14:paraId="10000007" w14:textId="77777777">
      <w:r>
        <w:t xml:space="preserve">Investors may buy or sell units on any business day.</w:t>
      </w:r>
    </w:p>
    <w:p w14:paraId="10000008" w14:textId="77777777">
      <w:pPr>
        <w:pStyle w:val="Heading1"/>
        <w:numPr>
          <w:ilvl w:val="0"/>
          <w:numId w:val="5"/>
        </w:numPr>
      </w:pPr>
      <w:bookmarkStart w:id="2" w:name="sec1"/>
      <w:r>
        <w:t xml:space="preserve">Risk factors</w:t>
      </w:r>
      <w:bookmarkEnd w:id="2"/>
    </w:p>
    <w:p w14:paraId="10000009" w14:textId="77777777">
      <w:r>
        <w:t xml:space="preserve">The value of units can fall as well as rise, and investors may get back less than they paid.</w:t>
      </w:r>
    </w:p>
    <w:p w14:paraId="1000000A" w14:textId="77777777">
      <w:r>
        <w:t xml:space="preserve">The fund invests in smaller companies, whose prices can move sharply.</w:t>
      </w:r>
    </w:p>
    <w:p w14:paraId="1000000B" w14:textId="77777777">
      <w:pPr>
        <w:pStyle w:val="Heading1"/>
        <w:numPr>
          <w:ilvl w:val="0"/>
          <w:numId w:val="5"/>
        </w:numPr>
      </w:pPr>
      <w:bookmarkStart w:id="3" w:name="sec2"/>
      <w:r>
        <w:t xml:space="preserve">Charges</w:t>
      </w:r>
      <w:bookmarkEnd w:id="3"/>
    </w:p>
    <w:p w14:paraId="1000000C" w14:textId="77777777">
      <w:r>
        <w:t xml:space="preserve">The annual management charge is 0.75% of the fund's value.</w:t>
      </w:r>
    </w:p>
    <w:p w14:paraId="1000000D" w14:textId="77777777">
      <w:r>
        <w:t xml:space="preserve">There is no charge for switching between funds.</w:t>
      </w:r>
    </w:p>
    <w:p w14:paraId="1000000E" w14:textId="77777777">
      <w:pPr>
        <w:jc w:val="center"/>
      </w:pPr>
      <w:r>
        <w:t xml:space="preserve">Table </w:t>
      </w:r>
      <w:r>
        <w:fldChar w:fldCharType="begin"/>
      </w:r>
      <w:r>
        <w:instrText xml:space="preserve"> SEQ Table \* ARABIC </w:instrText>
      </w:r>
      <w:r>
        <w:fldChar w:fldCharType="separate"/>
      </w:r>
      <w:r>
        <w:t xml:space="preserve">1</w:t>
      </w:r>
      <w:r>
        <w:fldChar w:fldCharType="end"/>
      </w:r>
      <w:r>
        <w:t xml:space="preserve">: Phase one / Phase two</w:t>
      </w:r>
    </w:p>
    <w:tbl>
      <w:tblPr>
        <w:tblStyle w:val="TableGrid"/>
        <w:tblW w:w="9000" w:type="dxa"/>
        <w:tblLook w:val="04A0" w:firstRow="1" w:lastRow="0" w:firstColumn="1" w:lastColumn="0" w:noHBand="0" w:noVBand="1"/>
      </w:tblPr>
      <w:tblGrid>
        <w:gridCol w:w="3000"/>
        <w:gridCol w:w="3000"/>
        <w:gridCol w:w="3000"/>
      </w:tblGrid>
      <w:tr>
        <w:trPr>
          <w:tblHeader/>
        </w:trPr>
        <w:tc>
          <w:tcPr>
            <w:tcW w:w="6000" w:type="dxa"/>
            <w:gridSpan w:val="2"/>
          </w:tcPr>
          <w:p>
            <w:r>
              <w:rPr>
                <w:b/>
              </w:rPr>
              <w:t xml:space="preserve">Phase one</w:t>
            </w:r>
          </w:p>
        </w:tc>
        <w:tc>
          <w:tcPr>
            <w:tcW w:w="3000" w:type="dxa"/>
          </w:tcPr>
          <w:p>
            <w:r>
              <w:rPr>
                <w:b/>
              </w:rPr>
              <w:t xml:space="preserve">Phase two</w:t>
            </w:r>
          </w:p>
        </w:tc>
      </w:tr>
      <w:tr>
        <w:tc>
          <w:tcPr>
            <w:tcW w:w="3000" w:type="dxa"/>
          </w:tcPr>
          <w:p>
            <w:r>
              <w:t xml:space="preserve">Item</w:t>
            </w:r>
          </w:p>
        </w:tc>
        <w:tc>
          <w:tcPr>
            <w:tcW w:w="3000" w:type="dxa"/>
          </w:tcPr>
          <w:p>
            <w:r>
              <w:t xml:space="preserve">Owner</w:t>
            </w:r>
          </w:p>
        </w:tc>
        <w:tc>
          <w:tcPr>
            <w:tcW w:w="3000" w:type="dxa"/>
          </w:tcPr>
          <w:p>
            <w:r>
              <w:t xml:space="preserve">Due</w:t>
            </w:r>
          </w:p>
        </w:tc>
      </w:tr>
      <w:tr>
        <w:tc>
          <w:tcPr>
            <w:tcW w:w="3000" w:type="dxa"/>
            <w:vMerge w:val="restart"/>
          </w:tcPr>
          <w:p>
            <w:r>
              <w:t xml:space="preserve">Draft</w:t>
            </w:r>
          </w:p>
        </w:tc>
        <w:tc>
          <w:tcPr>
            <w:tcW w:w="3000" w:type="dxa"/>
          </w:tcPr>
          <w:p>
            <w:r>
              <w:t xml:space="preserve">Legal</w:t>
            </w:r>
          </w:p>
        </w:tc>
        <w:tc>
          <w:tcPr>
            <w:tcW w:w="3000" w:type="dxa"/>
          </w:tcPr>
          <w:p>
            <w:r>
              <w:t xml:space="preserve">3 Feb</w:t>
            </w:r>
          </w:p>
        </w:tc>
      </w:tr>
      <w:tr>
        <w:tc>
          <w:tcPr>
            <w:tcW w:w="3000" w:type="dxa"/>
            <w:vMerge/>
          </w:tcPr>
          <w:p/>
        </w:tc>
        <w:tc>
          <w:tcPr>
            <w:tcW w:w="3000" w:type="dxa"/>
          </w:tcPr>
          <w:p>
            <w:r>
              <w:t xml:space="preserve">Finance</w:t>
            </w:r>
          </w:p>
        </w:tc>
        <w:tc>
          <w:tcPr>
            <w:tcW w:w="3000" w:type="dxa"/>
          </w:tcPr>
          <w:p>
            <w:r>
              <w:t xml:space="preserve">10 Feb</w:t>
            </w:r>
          </w:p>
        </w:tc>
      </w:tr>
      <w:tr>
        <w:tc>
          <w:tcPr>
            <w:tcW w:w="3000" w:type="dxa"/>
          </w:tcPr>
          <w:p>
            <w:r>
              <w:t xml:space="preserve">Sign-off</w:t>
            </w:r>
          </w:p>
        </w:tc>
        <w:tc>
          <w:tcPr>
            <w:tcW w:w="6000" w:type="dxa"/>
            <w:gridSpan w:val="2"/>
          </w:tcPr>
          <w:p>
            <w:r>
              <w:t xml:space="preserve">Board</w:t>
            </w:r>
          </w:p>
        </w:tc>
      </w:tr>
    </w:tbl>
    <w:p/>
    <w:p w14:paraId="1000000F" w14:textId="77777777">
      <w:r>
        <w:t xml:space="preserve">The offer: </w:t>
      </w:r>
      <w:r>
        <w:fldChar w:fldCharType="begin"/>
      </w:r>
      <w:r>
        <w:instrText xml:space="preserve"> REF sec0 \h </w:instrText>
      </w:r>
      <w:r>
        <w:fldChar w:fldCharType="separate"/>
      </w:r>
      <w:r>
        <w:t xml:space="preserve">The offer</w:t>
      </w:r>
      <w:r>
        <w:fldChar w:fldCharType="end"/>
      </w:r>
      <w:r>
        <w:t xml:space="preserve"> </w:t>
      </w:r>
      <w:r>
        <w:fldChar w:fldCharType="begin"/>
      </w:r>
      <w:r>
        <w:instrText xml:space="preserve"> PAGEREF sec0 \h </w:instrText>
      </w:r>
      <w:r>
        <w:fldChar w:fldCharType="separate"/>
      </w:r>
      <w:r>
        <w:t xml:space="preserve">1</w:t>
      </w:r>
      <w:r>
        <w:fldChar w:fldCharType="end"/>
      </w:r>
    </w:p>
    <w:p w14:paraId="10000010" w14:textId="77777777">
      <w:pPr>
        <w:sectPr>
          <w:headerReference w:type="default" r:id="rIdSH1"/>
          <w:footerReference w:type="default" r:id="rIdSF1"/>
          <w:type w:val="nextPage"/>
          <w:pgSz w:w="11906" w:h="16838"/>
          <w:pgMar w:top="1440" w:right="1440" w:bottom="1440" w:left="1440" w:header="708" w:footer="708" w:gutter="0"/>
        </w:sectPr>
      </w:pPr>
    </w:p>
    <w:p w14:paraId="10000011" w14:textId="77777777">
      <w:r>
        <w:t xml:space="preserve">The fund offers units at their net asset value plus a small initial charge.The fund offers units at their net asset value plus a small initial charge.</w:t>
      </w:r>
    </w:p>
    <w:p w14:paraId="10000012" w14:textId="77777777">
      <w:r>
        <w:t xml:space="preserve">Investors may buy or sell units on any business day.Investors may buy or sell units on any business day.</w:t>
      </w:r>
    </w:p>
    <w:p w14:paraId="10000013" w14:textId="77777777">
      <w:r>
        <w:t xml:space="preserve">The value of units can fall as well as rise, and investors may get back less than they paid.The value of units can fall as well as rise, and investors may get back less than they paid.</w:t>
      </w:r>
    </w:p>
    <w:p w14:paraId="10000014" w14:textId="77777777">
      <w:r>
        <w:t xml:space="preserve">The fund invests in smaller companies, whose prices can move sharply.The fund invests in smaller companies, whose prices can move sharply.</w:t>
      </w:r>
    </w:p>
    <w:p w14:paraId="10000015" w14:textId="77777777">
      <w:r>
        <w:t xml:space="preserve">The annual management charge is 0.75% of the fund's value.The annual management charge is 0.75% of the fund's value.</w:t>
      </w:r>
    </w:p>
    <w:p w14:paraId="10000016" w14:textId="77777777">
      <w:r>
        <w:t xml:space="preserve">There is no charge for switching between funds.There is no charge for switching between funds.</w:t>
      </w:r>
    </w:p>
    <w:p w14:paraId="10000017" w14:textId="77777777">
      <w:pPr>
        <w:sectPr>
          <w:type w:val="nextPage"/>
          <w:pgSz w:w="11906" w:h="16838"/>
          <w:pgMar w:top="1440" w:right="1440" w:bottom="1440" w:left="1440" w:header="708" w:footer="708" w:gutter="0"/>
          <w:cols w:num="2" w:space="720"/>
        </w:sectPr>
      </w:pPr>
    </w:p>
    <w:sectPr>
      <w:headerReference w:type="default" r:id="rIdHdefault"/>
      <w:footerReference w:type="default" r:id="rIdFdefault"/>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endnote w:type="separator" w:id="-1">
    <w:p>
      <w:pPr>
        <w:spacing w:after="0" w:line="240" w:lineRule="auto"/>
      </w:pPr>
      <w:r>
        <w:separator/>
      </w:r>
    </w:p>
  </w:endnote>
  <w:endnote w:type="continuationSeparator" w:id="0">
    <w:p>
      <w:pPr>
        <w:spacing w:after="0" w:line="240" w:lineRule="auto"/>
      </w:pPr>
      <w:r>
        <w:continuationSeparator/>
      </w:r>
    </w:p>
  </w:endnote>
</w:endnotes>
</file>

<file path=word/footer_default.xml><?xml version="1.0" encoding="utf-8"?>
<w:ft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Footer"/>
    </w:pPr>
    <w:r>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3</w:t>
    </w:r>
    <w:r>
      <w:fldChar w:fldCharType="end"/>
    </w:r>
  </w:p>
</w:ftr>
</file>

<file path=word/footer_s1.xml><?xml version="1.0" encoding="utf-8"?>
<w:ft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Footer"/>
    </w:pPr>
    <w:r>
      <w:t xml:space="preserve">Page</w:t>
    </w:r>
  </w:p>
</w:ftr>
</file>

<file path=word/footnotes.xml><?xml version="1.0" encoding="utf-8"?>
<w:footnote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_default.xml><?xml version="1.0" encoding="utf-8"?>
<w:hd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Header"/>
    </w:pPr>
    <w:r>
      <w:t xml:space="preserve">Prospectus: Example Growth Fund</w:t>
    </w:r>
    <w:r>
      <w:tab/>
    </w:r>
    <w:r>
      <w:t xml:space="preserve">Confidential</w:t>
    </w:r>
  </w:p>
</w:hdr>
</file>

<file path=word/header_s1.xml><?xml version="1.0" encoding="utf-8"?>
<w:hdr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p>
    <w:pPr>
      <w:pStyle w:val="Header"/>
    </w:pPr>
    <w:r>
      <w:t xml:space="preserve">Confidential</w:t>
    </w:r>
  </w:p>
</w:hdr>
</file>

<file path=word/numbering.xml><?xml version="1.0" encoding="utf-8"?>
<w:numbering xmlns:w="http://schemas.openxmlformats.org/wordprocessingml/2006/main" xmlns:r="http://schemas.openxmlformats.org/officeDocument/2006/relationships" xmlns:w14="http://schemas.microsoft.com/office/word/2010/wordml" xmlns:mc="http://schemas.openxmlformats.org/markup-compatibility/2006" mc:Ignorable="w14">
  <w:abstractNum w:abstractNumId="0">
    <w:multiLevelType w:val="multilevel"/>
    <w:lvl w:ilvl="0">
      <w:start w:val="1"/>
      <w:numFmt w:val="decimal"/>
      <w:lvlText w:val="%1."/>
      <w:lvlJc w:val="left"/>
      <w:pPr>
        <w:ind w:left="567" w:hanging="567"/>
      </w:pPr>
      <w:rPr>
        <w:b/>
      </w:rPr>
    </w:lvl>
    <w:lvl w:ilvl="1">
      <w:start w:val="1"/>
      <w:numFmt w:val="decimal"/>
      <w:lvlText w:val="%1.%2"/>
      <w:lvlJc w:val="left"/>
      <w:pPr>
        <w:ind w:left="1134" w:hanging="567"/>
      </w:pPr>
    </w:lvl>
    <w:lvl w:ilvl="2">
      <w:start w:val="1"/>
      <w:numFmt w:val="lowerLetter"/>
      <w:lvlText w:val="(%3)"/>
      <w:lvlJc w:val="left"/>
      <w:pPr>
        <w:ind w:left="1701" w:hanging="567"/>
      </w:pPr>
    </w:lvl>
    <w:lvl w:ilvl="3">
      <w:start w:val="1"/>
      <w:numFmt w:val="lowerRoman"/>
      <w:lvlText w:val="(%4)"/>
      <w:lvlJc w:val="left"/>
      <w:pPr>
        <w:ind w:left="2268" w:hanging="567"/>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abstractNum>
  <w:abstractNum w:abstractNumId="2">
    <w:multiLevelType w:val="multilevel"/>
    <w:lvl w:ilvl="0">
      <w:start w:val="1"/>
      <w:numFmt w:val="chineseCounting"/>
      <w:lvlText w:val="第%1条"/>
      <w:lvlJc w:val="left"/>
      <w:pPr>
        <w:ind w:left="0" w:hanging="0"/>
      </w:pPr>
      <w:rPr>
        <w:b/>
      </w:rPr>
    </w:lvl>
    <w:lvl w:ilvl="1">
      <w:start w:val="1"/>
      <w:numFmt w:val="decimal"/>
      <w:lvlText w:val="%1.%2"/>
      <w:lvlJc w:val="left"/>
      <w:pPr>
        <w:ind w:left="567" w:hanging="567"/>
      </w:pPr>
    </w:lvl>
    <w:lvl w:ilvl="2">
      <w:start w:val="1"/>
      <w:numFmt w:val="decimal"/>
      <w:lvlText w:val="(%3)"/>
      <w:lvlJc w:val="left"/>
      <w:pPr>
        <w:ind w:left="1134" w:hanging="567"/>
      </w:pPr>
    </w:lvl>
  </w:abstractNum>
  <w:abstractNum w:abstractNumId="3">
    <w:multiLevelType w:val="multilevel"/>
    <w:lvl w:ilvl="0">
      <w:start w:val="1"/>
      <w:numFmt w:val="chineseCounting"/>
      <w:lvlText w:val="%1、"/>
      <w:lvlJc w:val="left"/>
      <w:pPr>
        <w:ind w:left="480" w:hanging="480"/>
      </w:pPr>
      <w:rPr>
        <w:b/>
      </w:rPr>
    </w:lvl>
    <w:lvl w:ilvl="1">
      <w:start w:val="1"/>
      <w:numFmt w:val="chineseCounting"/>
      <w:lvlText w:val="（%2）"/>
      <w:lvlJc w:val="left"/>
      <w:pPr>
        <w:ind w:left="960" w:hanging="480"/>
      </w:pPr>
    </w:lvl>
    <w:lvl w:ilvl="2">
      <w:start w:val="1"/>
      <w:numFmt w:val="decimal"/>
      <w:lvlText w:val="%3."/>
      <w:lvlJc w:val="left"/>
      <w:pPr>
        <w:ind w:left="1440" w:hanging="480"/>
      </w:pPr>
    </w:lvl>
  </w:abstractNum>
  <w:abstractNum w:abstractNumId="4">
    <w:multiLevelType w:val="multilevel"/>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mc="http://schemas.openxmlformats.org/markup-compatibility/2006" xmlns:m="http://schemas.openxmlformats.org/officeDocument/2006/math" xmlns:v="urn:schemas-microsoft-com:vml" xmlns:o="urn:schemas-microsoft-com:office:office" xmlns:w10="urn:schemas-microsoft-com:office:word" xmlns:wp="http://schemas.openxmlformats.org/drawingml/2006/wordprocessingDrawing" xmlns:a="http://schemas.openxmlformats.org/drawingml/2006/main" xmlns:pic="http://schemas.openxmlformats.org/drawingml/2006/picture" xmlns:c="http://schemas.openxmlformats.org/drawingml/2006/chart" xmlns:w15="http://schemas.microsoft.com/office/word/2012/wordml" mc:Ignorable="w14 w15">
  <w:defaultTabStop w:val="720"/>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Calibri" w:hAnsi="Calibri" w:eastAsia="SimSun" w:cs="Times New Roman"/>
        <w:sz w:val="22"/>
        <w:szCs w:val="22"/>
        <w:lang w:val="en-GB" w:eastAsia="zh-CN"/>
      </w:rPr>
    </w:rPrDefault>
    <w:pPrDefault>
      <w:pPr>
        <w:spacing w:after="12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Title">
    <w:name w:val="Title"/>
    <w:basedOn w:val="Normal"/>
    <w:next w:val="Normal"/>
    <w:qFormat/>
    <w:pPr>
      <w:spacing w:before="240" w:after="240"/>
      <w:jc w:val="center"/>
    </w:pPr>
    <w:rPr>
      <w:b/>
      <w:sz w:val="40"/>
    </w:r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40" w:after="80"/>
      <w:outlineLvl w:val="1"/>
    </w:pPr>
    <w:rPr>
      <w:b/>
      <w:sz w:val="26"/>
    </w:rPr>
  </w:style>
  <w:style w:type="paragraph" w:styleId="Heading3">
    <w:name w:val="heading 3"/>
    <w:basedOn w:val="Normal"/>
    <w:next w:val="Normal"/>
    <w:qFormat/>
    <w:pPr>
      <w:keepNext/>
      <w:spacing w:before="200" w:after="60"/>
      <w:outlineLvl w:val="2"/>
    </w:pPr>
    <w:rPr>
      <w:b/>
      <w:i/>
      <w:sz w:val="24"/>
    </w:rPr>
  </w:style>
  <w:style w:type="paragraph" w:styleId="ListParagraph">
    <w:name w:val="List Paragraph"/>
    <w:basedOn w:val="Normal"/>
    <w:qFormat/>
    <w:pPr>
      <w:ind w:left="720"/>
    </w:pPr>
  </w:style>
  <w:style w:type="paragraph" w:styleId="Header">
    <w:name w:val="header"/>
    <w:basedOn w:val="Normal"/>
    <w:qFormat/>
    <w:pPr>
      <w:tabs>
        <w:tab w:val="right" w:pos="9026"/>
      </w:tabs>
      <w:spacing w:after="0"/>
    </w:pPr>
    <w:rPr>
      <w:sz w:val="18"/>
    </w:rPr>
  </w:style>
  <w:style w:type="paragraph" w:styleId="Footer">
    <w:name w:val="footer"/>
    <w:basedOn w:val="Normal"/>
    <w:qFormat/>
    <w:pPr>
      <w:tabs>
        <w:tab w:val="right" w:pos="9026"/>
      </w:tabs>
      <w:spacing w:after="0"/>
    </w:pPr>
    <w:rPr>
      <w:sz w:val="18"/>
    </w:rPr>
  </w:style>
  <w:style w:type="paragraph" w:styleId="FootnoteText">
    <w:name w:val="footnote text"/>
    <w:basedOn w:val="Normal"/>
    <w:qFormat/>
    <w:pPr>
      <w:spacing w:after="0" w:line="240" w:lineRule="auto"/>
    </w:pPr>
    <w:rPr>
      <w:sz w:val="20"/>
    </w:rPr>
  </w:style>
  <w:style w:type="paragraph" w:styleId="EndnoteText">
    <w:name w:val="endnote text"/>
    <w:basedOn w:val="Normal"/>
    <w:qFormat/>
    <w:pPr>
      <w:spacing w:after="0" w:line="240" w:lineRule="auto"/>
    </w:pPr>
    <w:rPr>
      <w:sz w:val="20"/>
    </w:rPr>
  </w:style>
  <w:style w:type="paragraph" w:styleId="CommentText">
    <w:name w:val="annotation text"/>
    <w:basedOn w:val="Normal"/>
    <w:qFormat/>
    <w:rPr>
      <w:sz w:val="20"/>
    </w:rPr>
  </w:style>
  <w:style w:type="paragraph" w:styleId="TOC1">
    <w:name w:val="toc 1"/>
    <w:basedOn w:val="Normal"/>
    <w:qFormat/>
    <w:pPr>
      <w:tabs>
        <w:tab w:val="right" w:leader="dot" w:pos="9016"/>
      </w:tabs>
    </w:p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Fn" Type="http://schemas.openxmlformats.org/officeDocument/2006/relationships/footnotes" Target="footnotes.xml"/><Relationship Id="rIdEn" Type="http://schemas.openxmlformats.org/officeDocument/2006/relationships/endnotes" Target="endnotes.xml"/><Relationship Id="rIdHdefault" Type="http://schemas.openxmlformats.org/officeDocument/2006/relationships/header" Target="header_default.xml"/><Relationship Id="rIdFdefault" Type="http://schemas.openxmlformats.org/officeDocument/2006/relationships/footer" Target="footer_default.xml"/><Relationship Id="rIdSH1" Type="http://schemas.openxmlformats.org/officeDocument/2006/relationships/header" Target="header_s1.xml"/><Relationship Id="rIdSF1" Type="http://schemas.openxmlformats.org/officeDocument/2006/relationships/footer" Target="footer_s1.xml"/></Relationships>
</file>

<file path=docProps/app.xml><?xml version="1.0" encoding="utf-8"?>
<Properties xmlns="http://schemas.openxmlformats.org/officeDocument/2006/extended-properties">
  <Application>Synthetic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finance-en-prospectus</dc:title>
  <dc:creator>Synthetic corpus</dc:creator>
  <cp:lastModifiedBy>Synthetic corpus</cp:lastModifiedBy>
  <dcterms:created xsi:type="dcterms:W3CDTF">2026-01-15T09:00:00Z</dcterms:created>
  <dcterms:modified xsi:type="dcterms:W3CDTF">2026-01-15T09:00:00Z</dcterms:modified>
</cp:coreProperties>
</file>