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Brightwater Home Goods — Q1 2026 Sales Report</w:t>
      </w:r>
    </w:p>
    <w:p>
      <w:r>
        <w:t>Prepared by: Commercial Analytics team · Distribution: leadership team · 9 April 2026</w:t>
      </w:r>
    </w:p>
    <w:p>
      <w:pPr>
        <w:pStyle w:val="Heading2"/>
      </w:pPr>
      <w:r>
        <w:t>Summary</w:t>
      </w:r>
    </w:p>
    <w:p>
      <w:r>
        <w:t>Net sales for the first quarter were 18.4 million, 6.2% above Q1 2025 and 1.8% above plan. Growth came almost entirely from online channels, while store sales were flat. Gross margin improved by 0.9 points to 41.7% as we cleared less winter stock at a discount than last year.</w:t>
      </w:r>
    </w:p>
    <w:p>
      <w:pPr>
        <w:pStyle w:val="Heading2"/>
      </w:pPr>
      <w:r>
        <w:t>Revenue by channel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Channel</w:t>
            </w:r>
          </w:p>
        </w:tc>
        <w:tc>
          <w:tcPr>
            <w:tcW w:type="dxa" w:w="2160"/>
          </w:tcPr>
          <w:p>
            <w:r>
              <w:t>Q1 2025</w:t>
            </w:r>
          </w:p>
        </w:tc>
        <w:tc>
          <w:tcPr>
            <w:tcW w:type="dxa" w:w="2160"/>
          </w:tcPr>
          <w:p>
            <w:r>
              <w:t>Q1 2026</w:t>
            </w:r>
          </w:p>
        </w:tc>
        <w:tc>
          <w:tcPr>
            <w:tcW w:type="dxa" w:w="2160"/>
          </w:tcPr>
          <w:p>
            <w:r>
              <w:t>Change</w:t>
            </w:r>
          </w:p>
        </w:tc>
      </w:tr>
      <w:tr>
        <w:tc>
          <w:tcPr>
            <w:tcW w:type="dxa" w:w="2160"/>
          </w:tcPr>
          <w:p>
            <w:r>
              <w:t>Own website</w:t>
            </w:r>
          </w:p>
        </w:tc>
        <w:tc>
          <w:tcPr>
            <w:tcW w:type="dxa" w:w="2160"/>
          </w:tcPr>
          <w:p>
            <w:r>
              <w:t>4.1 m</w:t>
            </w:r>
          </w:p>
        </w:tc>
        <w:tc>
          <w:tcPr>
            <w:tcW w:type="dxa" w:w="2160"/>
          </w:tcPr>
          <w:p>
            <w:r>
              <w:t>5.0 m</w:t>
            </w:r>
          </w:p>
        </w:tc>
        <w:tc>
          <w:tcPr>
            <w:tcW w:type="dxa" w:w="2160"/>
          </w:tcPr>
          <w:p>
            <w:r>
              <w:t>+22%</w:t>
            </w:r>
          </w:p>
        </w:tc>
      </w:tr>
      <w:tr>
        <w:tc>
          <w:tcPr>
            <w:tcW w:type="dxa" w:w="2160"/>
          </w:tcPr>
          <w:p>
            <w:r>
              <w:t>Marketplaces</w:t>
            </w:r>
          </w:p>
        </w:tc>
        <w:tc>
          <w:tcPr>
            <w:tcW w:type="dxa" w:w="2160"/>
          </w:tcPr>
          <w:p>
            <w:r>
              <w:t>2.6 m</w:t>
            </w:r>
          </w:p>
        </w:tc>
        <w:tc>
          <w:tcPr>
            <w:tcW w:type="dxa" w:w="2160"/>
          </w:tcPr>
          <w:p>
            <w:r>
              <w:t>3.1 m</w:t>
            </w:r>
          </w:p>
        </w:tc>
        <w:tc>
          <w:tcPr>
            <w:tcW w:type="dxa" w:w="2160"/>
          </w:tcPr>
          <w:p>
            <w:r>
              <w:t>+19%</w:t>
            </w:r>
          </w:p>
        </w:tc>
      </w:tr>
      <w:tr>
        <w:tc>
          <w:tcPr>
            <w:tcW w:type="dxa" w:w="2160"/>
          </w:tcPr>
          <w:p>
            <w:r>
              <w:t>Stores</w:t>
            </w:r>
          </w:p>
        </w:tc>
        <w:tc>
          <w:tcPr>
            <w:tcW w:type="dxa" w:w="2160"/>
          </w:tcPr>
          <w:p>
            <w:r>
              <w:t>8.9 m</w:t>
            </w:r>
          </w:p>
        </w:tc>
        <w:tc>
          <w:tcPr>
            <w:tcW w:type="dxa" w:w="2160"/>
          </w:tcPr>
          <w:p>
            <w:r>
              <w:t>8.8 m</w:t>
            </w:r>
          </w:p>
        </w:tc>
        <w:tc>
          <w:tcPr>
            <w:tcW w:type="dxa" w:w="2160"/>
          </w:tcPr>
          <w:p>
            <w:r>
              <w:t>-1%</w:t>
            </w:r>
          </w:p>
        </w:tc>
      </w:tr>
      <w:tr>
        <w:tc>
          <w:tcPr>
            <w:tcW w:type="dxa" w:w="2160"/>
          </w:tcPr>
          <w:p>
            <w:r>
              <w:t>Wholesale</w:t>
            </w:r>
          </w:p>
        </w:tc>
        <w:tc>
          <w:tcPr>
            <w:tcW w:type="dxa" w:w="2160"/>
          </w:tcPr>
          <w:p>
            <w:r>
              <w:t>1.7 m</w:t>
            </w:r>
          </w:p>
        </w:tc>
        <w:tc>
          <w:tcPr>
            <w:tcW w:type="dxa" w:w="2160"/>
          </w:tcPr>
          <w:p>
            <w:r>
              <w:t>1.5 m</w:t>
            </w:r>
          </w:p>
        </w:tc>
        <w:tc>
          <w:tcPr>
            <w:tcW w:type="dxa" w:w="2160"/>
          </w:tcPr>
          <w:p>
            <w:r>
              <w:t>-12%</w:t>
            </w:r>
          </w:p>
        </w:tc>
      </w:tr>
    </w:tbl>
    <w:p/>
    <w:p>
      <w:pPr>
        <w:pStyle w:val="Heading2"/>
      </w:pPr>
      <w:r>
        <w:t>Products</w:t>
      </w:r>
    </w:p>
    <w:p>
      <w:r>
        <w:t>Bedding and bath towels remained the largest category (31% of sales). The new recycled-cotton towel range sold out twice and is now our best-selling line online. Small kitchen appliances declined by 9% after a competitor cut prices.</w:t>
      </w:r>
    </w:p>
    <w:p>
      <w:pPr>
        <w:pStyle w:val="Heading2"/>
      </w:pPr>
      <w:r>
        <w:t>Regional highlights</w:t>
      </w:r>
    </w:p>
    <w:p>
      <w:pPr>
        <w:pStyle w:val="ListBullet"/>
      </w:pPr>
      <w:r>
        <w:t>North: +11%, driven by two store refurbishments.</w:t>
      </w:r>
    </w:p>
    <w:p>
      <w:pPr>
        <w:pStyle w:val="ListBullet"/>
      </w:pPr>
      <w:r>
        <w:t>Coast: flat; the Harbour Street store closed for three weeks for repairs.</w:t>
      </w:r>
    </w:p>
    <w:p>
      <w:pPr>
        <w:pStyle w:val="ListBullet"/>
      </w:pPr>
      <w:r>
        <w:t>Inland: +4%, with click-and-collect orders up by a third.</w:t>
      </w:r>
    </w:p>
    <w:p>
      <w:pPr>
        <w:pStyle w:val="Heading2"/>
      </w:pPr>
      <w:r>
        <w:t>Outlook for Q2</w:t>
      </w:r>
    </w:p>
    <w:p>
      <w:r>
        <w:t>We expect growth of 4–5% in Q2. The main risks are shipping delays on garden furniture and the planned price increase on towels. We recommend extending the recycled range to bedding and reviewing wholesale terms with our two largest trade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2026-01-15T09:00:00Z</dcterms:created>
  <dcterms:modified xsi:type="dcterms:W3CDTF">2026-01-15T09:00:00Z</dcterms:modified>
  <cp:category/>
  <cp:lastPrinted>2026-01-15T09:00:00Z</cp:lastPrinted>
</cp:coreProperties>
</file>