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notes: cloud hosting contract renewal</w:t>
      </w:r>
    </w:p>
    <w:p>
      <w:r>
        <w:t>Date: 19 March 2026 · Attendees: Daniel Reyes (IT), Lena Fischer (Procurement), Omar Haddad (Legal), vendor account manager (first 30 minutes)</w:t>
      </w:r>
    </w:p>
    <w:p>
      <w:pPr>
        <w:pStyle w:val="Heading2"/>
      </w:pPr>
      <w:r>
        <w:t>Background</w:t>
      </w:r>
    </w:p>
    <w:p>
      <w:r>
        <w:t>Our three-year hosting contract with Example Cloud Services ends on 30 June 2026. Current spend is about 182,000 per year. The vendor sent a renewal proposal on 5 March.</w:t>
      </w:r>
    </w:p>
    <w:p>
      <w:pPr>
        <w:pStyle w:val="Heading2"/>
      </w:pPr>
      <w:r>
        <w:t>Discussion</w:t>
      </w:r>
    </w:p>
    <w:p>
      <w:pPr>
        <w:pStyle w:val="ListBullet"/>
      </w:pPr>
      <w:r>
        <w:t>Price: the proposal raises unit prices by 7%; the vendor offered to hold prices if we commit for three years.</w:t>
      </w:r>
    </w:p>
    <w:p>
      <w:pPr>
        <w:pStyle w:val="ListBullet"/>
      </w:pPr>
      <w:r>
        <w:t>Service levels: we want 99.95% availability with service credits; the draft offers 99.9%.</w:t>
      </w:r>
    </w:p>
    <w:p>
      <w:pPr>
        <w:pStyle w:val="ListBullet"/>
      </w:pPr>
      <w:r>
        <w:t>Data location: Omar insists the contract names the two data centre regions and requires notice of any change.</w:t>
      </w:r>
    </w:p>
    <w:p>
      <w:pPr>
        <w:pStyle w:val="ListBullet"/>
      </w:pPr>
      <w:r>
        <w:t>Exit: we need a 90-day assisted exit clause and data export in open formats.</w:t>
      </w:r>
    </w:p>
    <w:p>
      <w:pPr>
        <w:pStyle w:val="Heading2"/>
      </w:pPr>
      <w:r>
        <w:t>Decisions</w:t>
      </w:r>
    </w:p>
    <w:p>
      <w:pPr>
        <w:pStyle w:val="ListBullet"/>
      </w:pPr>
      <w:r>
        <w:t>Counter-propose a two-year term with prices held and 99.95% availability.</w:t>
      </w:r>
    </w:p>
    <w:p>
      <w:pPr>
        <w:pStyle w:val="ListBullet"/>
      </w:pPr>
      <w:r>
        <w:t>Legal to mark up the vendor's draft with our data location and exit clauses.</w:t>
      </w:r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Send counter-proposal on term and price</w:t>
            </w:r>
          </w:p>
        </w:tc>
        <w:tc>
          <w:tcPr>
            <w:tcW w:type="dxa" w:w="2880"/>
          </w:tcPr>
          <w:p>
            <w:r>
              <w:t>Lena</w:t>
            </w:r>
          </w:p>
        </w:tc>
        <w:tc>
          <w:tcPr>
            <w:tcW w:type="dxa" w:w="2880"/>
          </w:tcPr>
          <w:p>
            <w:r>
              <w:t>26 March</w:t>
            </w:r>
          </w:p>
        </w:tc>
      </w:tr>
      <w:tr>
        <w:tc>
          <w:tcPr>
            <w:tcW w:type="dxa" w:w="2880"/>
          </w:tcPr>
          <w:p>
            <w:r>
              <w:t>Redline of contract draft</w:t>
            </w:r>
          </w:p>
        </w:tc>
        <w:tc>
          <w:tcPr>
            <w:tcW w:type="dxa" w:w="2880"/>
          </w:tcPr>
          <w:p>
            <w:r>
              <w:t>Omar</w:t>
            </w:r>
          </w:p>
        </w:tc>
        <w:tc>
          <w:tcPr>
            <w:tcW w:type="dxa" w:w="2880"/>
          </w:tcPr>
          <w:p>
            <w:r>
              <w:t>2 April</w:t>
            </w:r>
          </w:p>
        </w:tc>
      </w:tr>
      <w:tr>
        <w:tc>
          <w:tcPr>
            <w:tcW w:type="dxa" w:w="2880"/>
          </w:tcPr>
          <w:p>
            <w:r>
              <w:t>Usage forecast for next two years</w:t>
            </w:r>
          </w:p>
        </w:tc>
        <w:tc>
          <w:tcPr>
            <w:tcW w:type="dxa" w:w="2880"/>
          </w:tcPr>
          <w:p>
            <w:r>
              <w:t>Daniel</w:t>
            </w:r>
          </w:p>
        </w:tc>
        <w:tc>
          <w:tcPr>
            <w:tcW w:type="dxa" w:w="2880"/>
          </w:tcPr>
          <w:p>
            <w:r>
              <w:t>30 March</w:t>
            </w:r>
          </w:p>
        </w:tc>
      </w:tr>
    </w:tbl>
    <w:p/>
    <w:p>
      <w:r>
        <w:t>Next meeting: 3 April, to review the vendor's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