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中国预制菜行业研究报告（2026）</w:t>
      </w:r>
    </w:p>
    <w:p>
      <w:r>
        <w:t>示例咨询研究部　　2026 年 2 月</w:t>
      </w:r>
    </w:p>
    <w:p>
      <w:pPr>
        <w:pStyle w:val="Heading2"/>
      </w:pPr>
      <w:r>
        <w:t>摘要</w:t>
      </w:r>
    </w:p>
    <w:p>
      <w:r>
        <w:t>2025 年我国预制菜市场规模约 6,100 亿元，同比增长 16%。餐饮企业降本增效需求和家庭消费便利化是两大驱动力。预计到 2028 年市场规模将突破 1 万亿元，但行业集中度低、标准不统一、冷链成本高等问题仍制约发展。</w:t>
      </w:r>
    </w:p>
    <w:p>
      <w:pPr>
        <w:pStyle w:val="Heading2"/>
      </w:pPr>
      <w:r>
        <w:t>一、市场规模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年份</w:t>
            </w:r>
          </w:p>
        </w:tc>
        <w:tc>
          <w:tcPr>
            <w:tcW w:type="dxa" w:w="2160"/>
          </w:tcPr>
          <w:p>
            <w:r>
              <w:t>市场规模（亿元）</w:t>
            </w:r>
          </w:p>
        </w:tc>
        <w:tc>
          <w:tcPr>
            <w:tcW w:type="dxa" w:w="2160"/>
          </w:tcPr>
          <w:p>
            <w:r>
              <w:t>同比增速</w:t>
            </w:r>
          </w:p>
        </w:tc>
        <w:tc>
          <w:tcPr>
            <w:tcW w:type="dxa" w:w="2160"/>
          </w:tcPr>
          <w:p>
            <w:r>
              <w:t>B 端占比</w:t>
            </w:r>
          </w:p>
        </w:tc>
      </w:tr>
      <w:tr>
        <w:tc>
          <w:tcPr>
            <w:tcW w:type="dxa" w:w="2160"/>
          </w:tcPr>
          <w:p>
            <w:r>
              <w:t>2023</w:t>
            </w:r>
          </w:p>
        </w:tc>
        <w:tc>
          <w:tcPr>
            <w:tcW w:type="dxa" w:w="2160"/>
          </w:tcPr>
          <w:p>
            <w:r>
              <w:t>4,520</w:t>
            </w:r>
          </w:p>
        </w:tc>
        <w:tc>
          <w:tcPr>
            <w:tcW w:type="dxa" w:w="2160"/>
          </w:tcPr>
          <w:p>
            <w:r>
              <w:t>21%</w:t>
            </w:r>
          </w:p>
        </w:tc>
        <w:tc>
          <w:tcPr>
            <w:tcW w:type="dxa" w:w="2160"/>
          </w:tcPr>
          <w:p>
            <w:r>
              <w:t>68%</w:t>
            </w:r>
          </w:p>
        </w:tc>
      </w:tr>
      <w:tr>
        <w:tc>
          <w:tcPr>
            <w:tcW w:type="dxa" w:w="2160"/>
          </w:tcPr>
          <w:p>
            <w:r>
              <w:t>2024</w:t>
            </w:r>
          </w:p>
        </w:tc>
        <w:tc>
          <w:tcPr>
            <w:tcW w:type="dxa" w:w="2160"/>
          </w:tcPr>
          <w:p>
            <w:r>
              <w:t>5,260</w:t>
            </w:r>
          </w:p>
        </w:tc>
        <w:tc>
          <w:tcPr>
            <w:tcW w:type="dxa" w:w="2160"/>
          </w:tcPr>
          <w:p>
            <w:r>
              <w:t>16%</w:t>
            </w:r>
          </w:p>
        </w:tc>
        <w:tc>
          <w:tcPr>
            <w:tcW w:type="dxa" w:w="2160"/>
          </w:tcPr>
          <w:p>
            <w:r>
              <w:t>66%</w:t>
            </w:r>
          </w:p>
        </w:tc>
      </w:tr>
      <w:tr>
        <w:tc>
          <w:tcPr>
            <w:tcW w:type="dxa" w:w="2160"/>
          </w:tcPr>
          <w:p>
            <w:r>
              <w:t>2025</w:t>
            </w:r>
          </w:p>
        </w:tc>
        <w:tc>
          <w:tcPr>
            <w:tcW w:type="dxa" w:w="2160"/>
          </w:tcPr>
          <w:p>
            <w:r>
              <w:t>6,100</w:t>
            </w:r>
          </w:p>
        </w:tc>
        <w:tc>
          <w:tcPr>
            <w:tcW w:type="dxa" w:w="2160"/>
          </w:tcPr>
          <w:p>
            <w:r>
              <w:t>16%</w:t>
            </w:r>
          </w:p>
        </w:tc>
        <w:tc>
          <w:tcPr>
            <w:tcW w:type="dxa" w:w="2160"/>
          </w:tcPr>
          <w:p>
            <w:r>
              <w:t>64%</w:t>
            </w:r>
          </w:p>
        </w:tc>
      </w:tr>
      <w:tr>
        <w:tc>
          <w:tcPr>
            <w:tcW w:type="dxa" w:w="2160"/>
          </w:tcPr>
          <w:p>
            <w:r>
              <w:t>2028（预测）</w:t>
            </w:r>
          </w:p>
        </w:tc>
        <w:tc>
          <w:tcPr>
            <w:tcW w:type="dxa" w:w="2160"/>
          </w:tcPr>
          <w:p>
            <w:r>
              <w:t>10,300</w:t>
            </w:r>
          </w:p>
        </w:tc>
        <w:tc>
          <w:tcPr>
            <w:tcW w:type="dxa" w:w="2160"/>
          </w:tcPr>
          <w:p>
            <w:r>
              <w:t>约 19%</w:t>
            </w:r>
          </w:p>
        </w:tc>
        <w:tc>
          <w:tcPr>
            <w:tcW w:type="dxa" w:w="2160"/>
          </w:tcPr>
          <w:p>
            <w:r>
              <w:t>58%</w:t>
            </w:r>
          </w:p>
        </w:tc>
      </w:tr>
    </w:tbl>
    <w:p/>
    <w:p>
      <w:pPr>
        <w:pStyle w:val="Heading2"/>
      </w:pPr>
      <w:r>
        <w:t>二、产业链分析</w:t>
      </w:r>
    </w:p>
    <w:p>
      <w:r>
        <w:t>上游为农产品与调味品，中游为预制菜生产企业，下游为餐饮、商超、电商等渠道。冷链物流是连接中游与下游的关键环节。</w:t>
      </w:r>
    </w:p>
    <w:p>
      <w:pPr>
        <w:pStyle w:val="Heading2"/>
      </w:pPr>
      <w:r>
        <w:t>三、竞争格局</w:t>
      </w:r>
    </w:p>
    <w:p>
      <w:r>
        <w:t>行业前十企业市场份额合计不足 15%，以区域性企业为主。头部企业通过并购扩张产能，并布局中央厨房。</w:t>
      </w:r>
    </w:p>
    <w:p>
      <w:pPr>
        <w:pStyle w:val="Heading2"/>
      </w:pPr>
      <w:r>
        <w:t>四、风险提示</w:t>
      </w:r>
    </w:p>
    <w:p>
      <w:pPr>
        <w:pStyle w:val="ListBullet"/>
      </w:pPr>
      <w:r>
        <w:t>食品安全事件可能引发消费者信任危机。</w:t>
      </w:r>
    </w:p>
    <w:p>
      <w:pPr>
        <w:pStyle w:val="ListBullet"/>
      </w:pPr>
      <w:r>
        <w:t>原材料价格波动影响毛利率。</w:t>
      </w:r>
    </w:p>
    <w:p>
      <w:pPr>
        <w:pStyle w:val="ListBullet"/>
      </w:pPr>
      <w:r>
        <w:t>地方标准不统一，增加跨区域经营成本。</w:t>
      </w:r>
    </w:p>
    <w:p>
      <w:pPr>
        <w:pStyle w:val="Heading2"/>
      </w:pPr>
      <w:r>
        <w:t>五、结论</w:t>
      </w:r>
    </w:p>
    <w:p>
      <w:r>
        <w:t>预制菜行业仍处于成长期，具备供应链整合能力和品牌优势的企业有望脱颖而出。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2026-01-15T09:00:00Z</dcterms:created>
  <dcterms:modified xsi:type="dcterms:W3CDTF">2026-01-15T09:00:00Z</dcterms:modified>
  <cp:category/>
  <cp:lastPrinted>2026-01-15T09:00:00Z</cp:lastPrinted>
</cp:coreProperties>
</file>