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黑体" w:hAnsi="黑体" w:eastAsia="黑体" w:cs="黑体"/>
          <w:color w:val="000000"/>
          <w:sz w:val="32"/>
          <w:szCs w:val="32"/>
          <w:lang w:val="en-US" w:eastAsia="zh-CN"/>
        </w:rPr>
      </w:pPr>
      <w:r>
        <w:rPr>
          <w:rFonts w:hint="eastAsia" w:ascii="黑体" w:hAnsi="黑体" w:eastAsia="黑体" w:cs="黑体"/>
          <w:color w:val="000000"/>
          <w:sz w:val="32"/>
          <w:szCs w:val="32"/>
        </w:rPr>
        <w:t>附件</w:t>
      </w:r>
      <w:r>
        <w:rPr>
          <w:rFonts w:hint="eastAsia" w:ascii="黑体" w:hAnsi="黑体" w:eastAsia="黑体" w:cs="黑体"/>
          <w:color w:val="000000"/>
          <w:sz w:val="32"/>
          <w:szCs w:val="32"/>
          <w:lang w:val="en-US" w:eastAsia="zh-CN"/>
        </w:rPr>
        <w:t>1</w:t>
      </w:r>
    </w:p>
    <w:p>
      <w:pPr>
        <w:rPr>
          <w:rFonts w:hint="eastAsia" w:ascii="黑体" w:hAnsi="黑体" w:eastAsia="黑体" w:cs="黑体"/>
          <w:color w:val="000000"/>
          <w:sz w:val="32"/>
          <w:szCs w:val="32"/>
          <w:lang w:val="en-US" w:eastAsia="zh-CN"/>
        </w:rPr>
      </w:pPr>
    </w:p>
    <w:p>
      <w:pPr>
        <w:jc w:val="center"/>
        <w:rPr>
          <w:rFonts w:hint="eastAsia" w:ascii="方正小标宋_GBK" w:hAnsi="方正小标宋_GBK" w:eastAsia="方正小标宋_GBK" w:cs="方正小标宋_GBK"/>
          <w:color w:val="000000"/>
          <w:sz w:val="36"/>
          <w:szCs w:val="36"/>
        </w:rPr>
      </w:pPr>
      <w:r>
        <w:rPr>
          <w:rFonts w:hint="eastAsia" w:ascii="方正小标宋_GBK" w:hAnsi="方正小标宋_GBK" w:eastAsia="方正小标宋_GBK" w:cs="方正小标宋_GBK"/>
          <w:color w:val="000000"/>
          <w:sz w:val="36"/>
          <w:szCs w:val="36"/>
        </w:rPr>
        <w:t>中国人民银行</w:t>
      </w:r>
      <w:r>
        <w:rPr>
          <w:rFonts w:hint="eastAsia" w:ascii="方正小标宋_GBK" w:hAnsi="方正小标宋_GBK" w:eastAsia="方正小标宋_GBK" w:cs="方正小标宋_GBK"/>
          <w:color w:val="000000"/>
          <w:sz w:val="36"/>
          <w:szCs w:val="36"/>
          <w:lang w:eastAsia="zh-CN"/>
        </w:rPr>
        <w:t>福建省分行</w:t>
      </w:r>
      <w:r>
        <w:rPr>
          <w:rFonts w:hint="eastAsia" w:ascii="方正小标宋_GBK" w:hAnsi="方正小标宋_GBK" w:eastAsia="方正小标宋_GBK" w:cs="方正小标宋_GBK"/>
          <w:color w:val="000000"/>
          <w:sz w:val="36"/>
          <w:szCs w:val="36"/>
        </w:rPr>
        <w:t>主要规范性文件目录</w:t>
      </w:r>
    </w:p>
    <w:tbl>
      <w:tblPr>
        <w:tblStyle w:val="4"/>
        <w:tblW w:w="9075" w:type="dxa"/>
        <w:jc w:val="center"/>
        <w:tblLayout w:type="fixed"/>
        <w:tblCellMar>
          <w:top w:w="15" w:type="dxa"/>
          <w:left w:w="15" w:type="dxa"/>
          <w:bottom w:w="15" w:type="dxa"/>
          <w:right w:w="15" w:type="dxa"/>
        </w:tblCellMar>
      </w:tblPr>
      <w:tblGrid>
        <w:gridCol w:w="585"/>
        <w:gridCol w:w="6135"/>
        <w:gridCol w:w="2355"/>
      </w:tblGrid>
      <w:tr>
        <w:tblPrEx>
          <w:tblCellMar>
            <w:top w:w="15" w:type="dxa"/>
            <w:left w:w="15" w:type="dxa"/>
            <w:bottom w:w="15" w:type="dxa"/>
            <w:right w:w="15" w:type="dxa"/>
          </w:tblCellMar>
        </w:tblPrEx>
        <w:trPr>
          <w:trHeight w:val="542" w:hRule="atLeast"/>
          <w:jc w:val="center"/>
        </w:trPr>
        <w:tc>
          <w:tcPr>
            <w:tcW w:w="58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仿宋" w:hAnsi="仿宋" w:eastAsia="仿宋" w:cs="仿宋"/>
                <w:b/>
                <w:color w:val="000000"/>
                <w:sz w:val="24"/>
                <w:szCs w:val="24"/>
              </w:rPr>
            </w:pPr>
            <w:r>
              <w:rPr>
                <w:rFonts w:hint="eastAsia" w:ascii="仿宋" w:hAnsi="仿宋" w:eastAsia="仿宋" w:cs="仿宋"/>
                <w:b/>
                <w:color w:val="000000"/>
                <w:kern w:val="0"/>
                <w:sz w:val="24"/>
                <w:szCs w:val="24"/>
              </w:rPr>
              <w:t>序号</w:t>
            </w:r>
          </w:p>
        </w:tc>
        <w:tc>
          <w:tcPr>
            <w:tcW w:w="613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仿宋" w:hAnsi="仿宋" w:eastAsia="仿宋" w:cs="仿宋"/>
                <w:b/>
                <w:color w:val="000000"/>
                <w:sz w:val="24"/>
                <w:szCs w:val="24"/>
              </w:rPr>
            </w:pPr>
            <w:r>
              <w:rPr>
                <w:rFonts w:hint="eastAsia" w:ascii="仿宋" w:hAnsi="仿宋" w:eastAsia="仿宋" w:cs="仿宋"/>
                <w:b/>
                <w:color w:val="000000"/>
                <w:kern w:val="0"/>
                <w:sz w:val="24"/>
                <w:szCs w:val="24"/>
              </w:rPr>
              <w:t>文件名称</w:t>
            </w:r>
          </w:p>
        </w:tc>
        <w:tc>
          <w:tcPr>
            <w:tcW w:w="235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仿宋" w:hAnsi="仿宋" w:eastAsia="仿宋" w:cs="仿宋"/>
                <w:b/>
                <w:color w:val="000000"/>
                <w:sz w:val="24"/>
                <w:szCs w:val="24"/>
              </w:rPr>
            </w:pPr>
            <w:r>
              <w:rPr>
                <w:rFonts w:hint="eastAsia" w:ascii="仿宋" w:hAnsi="仿宋" w:eastAsia="仿宋" w:cs="仿宋"/>
                <w:b/>
                <w:color w:val="000000"/>
                <w:kern w:val="0"/>
                <w:sz w:val="24"/>
                <w:szCs w:val="24"/>
              </w:rPr>
              <w:t>文号</w:t>
            </w:r>
          </w:p>
        </w:tc>
      </w:tr>
      <w:tr>
        <w:tblPrEx>
          <w:tblCellMar>
            <w:top w:w="15" w:type="dxa"/>
            <w:left w:w="15" w:type="dxa"/>
            <w:bottom w:w="15" w:type="dxa"/>
            <w:right w:w="15" w:type="dxa"/>
          </w:tblCellMar>
        </w:tblPrEx>
        <w:trPr>
          <w:trHeight w:val="737" w:hRule="atLeast"/>
          <w:jc w:val="center"/>
        </w:trPr>
        <w:tc>
          <w:tcPr>
            <w:tcW w:w="58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仿宋" w:hAnsi="仿宋" w:eastAsia="仿宋" w:cs="仿宋"/>
                <w:color w:val="000000"/>
                <w:kern w:val="0"/>
                <w:sz w:val="24"/>
                <w:szCs w:val="24"/>
                <w:lang w:eastAsia="zh-CN"/>
              </w:rPr>
            </w:pPr>
            <w:r>
              <w:rPr>
                <w:rFonts w:hint="eastAsia" w:ascii="仿宋" w:hAnsi="仿宋" w:eastAsia="仿宋" w:cs="仿宋"/>
                <w:color w:val="000000"/>
                <w:kern w:val="0"/>
                <w:sz w:val="24"/>
                <w:szCs w:val="24"/>
                <w:lang w:val="en-US" w:eastAsia="zh-CN"/>
              </w:rPr>
              <w:t>1</w:t>
            </w:r>
          </w:p>
        </w:tc>
        <w:tc>
          <w:tcPr>
            <w:tcW w:w="6135" w:type="dxa"/>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hint="eastAsia" w:ascii="仿宋" w:hAnsi="仿宋" w:eastAsia="仿宋" w:cs="仿宋"/>
                <w:color w:val="000000"/>
                <w:kern w:val="0"/>
                <w:sz w:val="24"/>
                <w:szCs w:val="24"/>
              </w:rPr>
            </w:pPr>
            <w:r>
              <w:rPr>
                <w:rFonts w:hint="eastAsia" w:ascii="仿宋" w:hAnsi="仿宋" w:eastAsia="仿宋" w:cs="仿宋"/>
                <w:color w:val="000000"/>
                <w:kern w:val="0"/>
                <w:sz w:val="24"/>
                <w:szCs w:val="24"/>
              </w:rPr>
              <w:t>中国人民银行福州中心支行 福建省财政厅关于印发《福建省省级财政国库集中支付资金银行支付清算暂行办法》的通知</w:t>
            </w:r>
          </w:p>
          <w:p>
            <w:pPr>
              <w:widowControl/>
              <w:jc w:val="left"/>
              <w:textAlignment w:val="center"/>
              <w:rPr>
                <w:rFonts w:hint="eastAsia" w:ascii="仿宋" w:hAnsi="仿宋" w:eastAsia="仿宋" w:cs="仿宋"/>
                <w:color w:val="000000"/>
                <w:kern w:val="0"/>
                <w:sz w:val="24"/>
                <w:szCs w:val="24"/>
              </w:rPr>
            </w:pPr>
            <w:r>
              <w:rPr>
                <w:rFonts w:hint="eastAsia" w:ascii="仿宋" w:hAnsi="仿宋" w:eastAsia="仿宋" w:cs="仿宋"/>
                <w:color w:val="000000"/>
                <w:kern w:val="0"/>
                <w:sz w:val="24"/>
                <w:szCs w:val="24"/>
              </w:rPr>
              <w:t>中国人民银行福建省分行  福建省财政厅关于修改《福建省省级财政国库集中支付资金银行支付清算暂行办法》的通知</w:t>
            </w:r>
          </w:p>
        </w:tc>
        <w:tc>
          <w:tcPr>
            <w:tcW w:w="2355" w:type="dxa"/>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hint="eastAsia" w:ascii="仿宋" w:hAnsi="仿宋" w:eastAsia="仿宋" w:cs="仿宋"/>
                <w:color w:val="000000"/>
                <w:kern w:val="0"/>
                <w:sz w:val="24"/>
                <w:szCs w:val="24"/>
              </w:rPr>
            </w:pPr>
            <w:r>
              <w:rPr>
                <w:rFonts w:hint="eastAsia" w:ascii="仿宋" w:hAnsi="仿宋" w:eastAsia="仿宋" w:cs="仿宋"/>
                <w:color w:val="000000"/>
                <w:kern w:val="0"/>
                <w:sz w:val="24"/>
                <w:szCs w:val="24"/>
              </w:rPr>
              <w:t>福银〔2005〕160号</w:t>
            </w:r>
          </w:p>
          <w:p>
            <w:pPr>
              <w:widowControl/>
              <w:jc w:val="left"/>
              <w:textAlignment w:val="center"/>
              <w:rPr>
                <w:rFonts w:hint="eastAsia" w:ascii="仿宋" w:hAnsi="仿宋" w:eastAsia="仿宋" w:cs="仿宋"/>
                <w:color w:val="000000"/>
                <w:kern w:val="0"/>
                <w:sz w:val="24"/>
                <w:szCs w:val="24"/>
              </w:rPr>
            </w:pPr>
            <w:r>
              <w:rPr>
                <w:rFonts w:hint="eastAsia" w:ascii="仿宋" w:hAnsi="仿宋" w:eastAsia="仿宋" w:cs="仿宋"/>
                <w:color w:val="000000"/>
                <w:kern w:val="0"/>
                <w:sz w:val="24"/>
                <w:szCs w:val="24"/>
              </w:rPr>
              <w:t>闽银〔2024〕63号</w:t>
            </w:r>
          </w:p>
        </w:tc>
      </w:tr>
      <w:tr>
        <w:tblPrEx>
          <w:tblCellMar>
            <w:top w:w="15" w:type="dxa"/>
            <w:left w:w="15" w:type="dxa"/>
            <w:bottom w:w="15" w:type="dxa"/>
            <w:right w:w="15" w:type="dxa"/>
          </w:tblCellMar>
        </w:tblPrEx>
        <w:trPr>
          <w:trHeight w:val="737" w:hRule="atLeast"/>
          <w:jc w:val="center"/>
        </w:trPr>
        <w:tc>
          <w:tcPr>
            <w:tcW w:w="58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仿宋" w:hAnsi="仿宋" w:eastAsia="仿宋" w:cs="仿宋"/>
                <w:color w:val="000000"/>
                <w:kern w:val="0"/>
                <w:sz w:val="24"/>
                <w:szCs w:val="24"/>
                <w:lang w:eastAsia="zh-CN"/>
              </w:rPr>
            </w:pPr>
            <w:r>
              <w:rPr>
                <w:rFonts w:hint="eastAsia" w:ascii="仿宋" w:hAnsi="仿宋" w:eastAsia="仿宋" w:cs="仿宋"/>
                <w:color w:val="000000"/>
                <w:kern w:val="0"/>
                <w:sz w:val="24"/>
                <w:szCs w:val="24"/>
                <w:lang w:val="en-US" w:eastAsia="zh-CN"/>
              </w:rPr>
              <w:t>2</w:t>
            </w:r>
          </w:p>
        </w:tc>
        <w:tc>
          <w:tcPr>
            <w:tcW w:w="6135" w:type="dxa"/>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hint="eastAsia" w:ascii="仿宋" w:hAnsi="仿宋" w:eastAsia="仿宋" w:cs="仿宋"/>
                <w:color w:val="000000"/>
                <w:kern w:val="0"/>
                <w:sz w:val="24"/>
                <w:szCs w:val="24"/>
              </w:rPr>
            </w:pPr>
            <w:r>
              <w:rPr>
                <w:rFonts w:hint="eastAsia" w:ascii="仿宋" w:hAnsi="仿宋" w:eastAsia="仿宋" w:cs="仿宋"/>
                <w:color w:val="000000"/>
                <w:kern w:val="0"/>
                <w:sz w:val="24"/>
                <w:szCs w:val="24"/>
              </w:rPr>
              <w:t>关于建立金融统计数据查询和数据差错告知制度的通知</w:t>
            </w:r>
          </w:p>
        </w:tc>
        <w:tc>
          <w:tcPr>
            <w:tcW w:w="2355" w:type="dxa"/>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hint="eastAsia" w:ascii="仿宋" w:hAnsi="仿宋" w:eastAsia="仿宋" w:cs="仿宋"/>
                <w:color w:val="000000"/>
                <w:kern w:val="0"/>
                <w:sz w:val="24"/>
                <w:szCs w:val="24"/>
              </w:rPr>
            </w:pPr>
            <w:r>
              <w:rPr>
                <w:rFonts w:hint="eastAsia" w:ascii="仿宋" w:hAnsi="仿宋" w:eastAsia="仿宋" w:cs="仿宋"/>
                <w:color w:val="000000"/>
                <w:kern w:val="0"/>
                <w:sz w:val="24"/>
                <w:szCs w:val="24"/>
              </w:rPr>
              <w:t>福银〔2006〕71号</w:t>
            </w:r>
          </w:p>
        </w:tc>
      </w:tr>
      <w:tr>
        <w:tblPrEx>
          <w:tblCellMar>
            <w:top w:w="15" w:type="dxa"/>
            <w:left w:w="15" w:type="dxa"/>
            <w:bottom w:w="15" w:type="dxa"/>
            <w:right w:w="15" w:type="dxa"/>
          </w:tblCellMar>
        </w:tblPrEx>
        <w:trPr>
          <w:trHeight w:val="737" w:hRule="atLeast"/>
          <w:jc w:val="center"/>
        </w:trPr>
        <w:tc>
          <w:tcPr>
            <w:tcW w:w="58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仿宋" w:hAnsi="仿宋" w:eastAsia="仿宋" w:cs="仿宋"/>
                <w:color w:val="000000"/>
                <w:kern w:val="0"/>
                <w:sz w:val="24"/>
                <w:szCs w:val="24"/>
                <w:lang w:eastAsia="zh-CN"/>
              </w:rPr>
            </w:pPr>
            <w:r>
              <w:rPr>
                <w:rFonts w:hint="eastAsia" w:ascii="仿宋" w:hAnsi="仿宋" w:eastAsia="仿宋" w:cs="仿宋"/>
                <w:color w:val="000000"/>
                <w:kern w:val="0"/>
                <w:sz w:val="24"/>
                <w:szCs w:val="24"/>
                <w:lang w:val="en-US" w:eastAsia="zh-CN"/>
              </w:rPr>
              <w:t>3</w:t>
            </w:r>
          </w:p>
        </w:tc>
        <w:tc>
          <w:tcPr>
            <w:tcW w:w="6135" w:type="dxa"/>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hint="eastAsia" w:ascii="仿宋" w:hAnsi="仿宋" w:eastAsia="仿宋" w:cs="仿宋"/>
                <w:color w:val="000000"/>
                <w:kern w:val="0"/>
                <w:sz w:val="24"/>
                <w:szCs w:val="24"/>
              </w:rPr>
            </w:pPr>
            <w:r>
              <w:rPr>
                <w:rFonts w:hint="eastAsia" w:ascii="仿宋" w:hAnsi="仿宋" w:eastAsia="仿宋" w:cs="仿宋"/>
                <w:color w:val="000000"/>
                <w:kern w:val="0"/>
                <w:sz w:val="24"/>
                <w:szCs w:val="24"/>
              </w:rPr>
              <w:t>关于银行业金融机构报送会计财务资料有关事项的通知</w:t>
            </w:r>
          </w:p>
        </w:tc>
        <w:tc>
          <w:tcPr>
            <w:tcW w:w="2355" w:type="dxa"/>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hint="eastAsia" w:ascii="仿宋" w:hAnsi="仿宋" w:eastAsia="仿宋" w:cs="仿宋"/>
                <w:color w:val="000000"/>
                <w:kern w:val="0"/>
                <w:sz w:val="24"/>
                <w:szCs w:val="24"/>
              </w:rPr>
            </w:pPr>
            <w:r>
              <w:rPr>
                <w:rFonts w:hint="eastAsia" w:ascii="仿宋" w:hAnsi="仿宋" w:eastAsia="仿宋" w:cs="仿宋"/>
                <w:color w:val="000000"/>
                <w:kern w:val="0"/>
                <w:sz w:val="24"/>
                <w:szCs w:val="24"/>
              </w:rPr>
              <w:t>福银〔2010〕80号</w:t>
            </w:r>
          </w:p>
        </w:tc>
      </w:tr>
      <w:tr>
        <w:tblPrEx>
          <w:tblCellMar>
            <w:top w:w="15" w:type="dxa"/>
            <w:left w:w="15" w:type="dxa"/>
            <w:bottom w:w="15" w:type="dxa"/>
            <w:right w:w="15" w:type="dxa"/>
          </w:tblCellMar>
        </w:tblPrEx>
        <w:trPr>
          <w:trHeight w:val="737" w:hRule="atLeast"/>
          <w:jc w:val="center"/>
        </w:trPr>
        <w:tc>
          <w:tcPr>
            <w:tcW w:w="58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仿宋" w:hAnsi="仿宋" w:eastAsia="仿宋" w:cs="仿宋"/>
                <w:color w:val="000000"/>
                <w:kern w:val="0"/>
                <w:sz w:val="24"/>
                <w:szCs w:val="24"/>
                <w:lang w:eastAsia="zh-CN"/>
              </w:rPr>
            </w:pPr>
            <w:r>
              <w:rPr>
                <w:rFonts w:hint="eastAsia" w:ascii="仿宋" w:hAnsi="仿宋" w:eastAsia="仿宋" w:cs="仿宋"/>
                <w:color w:val="000000"/>
                <w:kern w:val="0"/>
                <w:sz w:val="24"/>
                <w:szCs w:val="24"/>
                <w:lang w:val="en-US" w:eastAsia="zh-CN"/>
              </w:rPr>
              <w:t>4</w:t>
            </w:r>
          </w:p>
        </w:tc>
        <w:tc>
          <w:tcPr>
            <w:tcW w:w="6135" w:type="dxa"/>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hint="eastAsia" w:ascii="仿宋" w:hAnsi="仿宋" w:eastAsia="仿宋" w:cs="仿宋"/>
                <w:color w:val="000000"/>
                <w:kern w:val="0"/>
                <w:sz w:val="24"/>
                <w:szCs w:val="24"/>
              </w:rPr>
            </w:pPr>
            <w:r>
              <w:rPr>
                <w:rFonts w:hint="eastAsia" w:ascii="仿宋" w:hAnsi="仿宋" w:eastAsia="仿宋" w:cs="仿宋"/>
                <w:color w:val="000000"/>
                <w:kern w:val="0"/>
                <w:sz w:val="24"/>
                <w:szCs w:val="24"/>
              </w:rPr>
              <w:t>关于印发《福建省金融统计事项报备制度》的通知</w:t>
            </w:r>
          </w:p>
        </w:tc>
        <w:tc>
          <w:tcPr>
            <w:tcW w:w="2355" w:type="dxa"/>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hint="eastAsia" w:ascii="仿宋" w:hAnsi="仿宋" w:eastAsia="仿宋" w:cs="仿宋"/>
                <w:color w:val="000000"/>
                <w:kern w:val="0"/>
                <w:sz w:val="24"/>
                <w:szCs w:val="24"/>
              </w:rPr>
            </w:pPr>
            <w:r>
              <w:rPr>
                <w:rFonts w:hint="eastAsia" w:ascii="仿宋" w:hAnsi="仿宋" w:eastAsia="仿宋" w:cs="仿宋"/>
                <w:color w:val="000000"/>
                <w:kern w:val="0"/>
                <w:sz w:val="24"/>
                <w:szCs w:val="24"/>
              </w:rPr>
              <w:t>福银〔2011〕16号</w:t>
            </w:r>
          </w:p>
        </w:tc>
      </w:tr>
      <w:tr>
        <w:tblPrEx>
          <w:tblCellMar>
            <w:top w:w="15" w:type="dxa"/>
            <w:left w:w="15" w:type="dxa"/>
            <w:bottom w:w="15" w:type="dxa"/>
            <w:right w:w="15" w:type="dxa"/>
          </w:tblCellMar>
        </w:tblPrEx>
        <w:trPr>
          <w:trHeight w:val="737" w:hRule="atLeast"/>
          <w:jc w:val="center"/>
        </w:trPr>
        <w:tc>
          <w:tcPr>
            <w:tcW w:w="58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仿宋" w:hAnsi="仿宋" w:eastAsia="仿宋" w:cs="仿宋"/>
                <w:color w:val="000000"/>
                <w:kern w:val="0"/>
                <w:sz w:val="24"/>
                <w:szCs w:val="24"/>
                <w:lang w:eastAsia="zh-CN"/>
              </w:rPr>
            </w:pPr>
            <w:r>
              <w:rPr>
                <w:rFonts w:hint="eastAsia" w:ascii="仿宋" w:hAnsi="仿宋" w:eastAsia="仿宋" w:cs="仿宋"/>
                <w:color w:val="000000"/>
                <w:kern w:val="0"/>
                <w:sz w:val="24"/>
                <w:szCs w:val="24"/>
                <w:lang w:val="en-US" w:eastAsia="zh-CN"/>
              </w:rPr>
              <w:t>5</w:t>
            </w:r>
          </w:p>
        </w:tc>
        <w:tc>
          <w:tcPr>
            <w:tcW w:w="6135" w:type="dxa"/>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hint="eastAsia" w:ascii="仿宋" w:hAnsi="仿宋" w:eastAsia="仿宋" w:cs="仿宋"/>
                <w:color w:val="000000"/>
                <w:kern w:val="0"/>
                <w:sz w:val="24"/>
                <w:szCs w:val="24"/>
              </w:rPr>
            </w:pPr>
            <w:r>
              <w:rPr>
                <w:rFonts w:hint="eastAsia" w:ascii="仿宋" w:hAnsi="仿宋" w:eastAsia="仿宋" w:cs="仿宋"/>
                <w:color w:val="000000"/>
                <w:kern w:val="0"/>
                <w:sz w:val="24"/>
                <w:szCs w:val="24"/>
              </w:rPr>
              <w:t>关于加强金融机构残缺污损人民币兑换管理工作的通知</w:t>
            </w:r>
          </w:p>
        </w:tc>
        <w:tc>
          <w:tcPr>
            <w:tcW w:w="2355" w:type="dxa"/>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hint="eastAsia" w:ascii="仿宋" w:hAnsi="仿宋" w:eastAsia="仿宋" w:cs="仿宋"/>
                <w:color w:val="000000"/>
                <w:kern w:val="0"/>
                <w:sz w:val="24"/>
                <w:szCs w:val="24"/>
              </w:rPr>
            </w:pPr>
            <w:r>
              <w:rPr>
                <w:rFonts w:hint="eastAsia" w:ascii="仿宋" w:hAnsi="仿宋" w:eastAsia="仿宋" w:cs="仿宋"/>
                <w:color w:val="000000"/>
                <w:kern w:val="0"/>
                <w:sz w:val="24"/>
                <w:szCs w:val="24"/>
              </w:rPr>
              <w:t>福银办〔2013〕33号</w:t>
            </w:r>
          </w:p>
        </w:tc>
      </w:tr>
      <w:tr>
        <w:tblPrEx>
          <w:tblCellMar>
            <w:top w:w="15" w:type="dxa"/>
            <w:left w:w="15" w:type="dxa"/>
            <w:bottom w:w="15" w:type="dxa"/>
            <w:right w:w="15" w:type="dxa"/>
          </w:tblCellMar>
        </w:tblPrEx>
        <w:trPr>
          <w:trHeight w:val="737" w:hRule="atLeast"/>
          <w:jc w:val="center"/>
        </w:trPr>
        <w:tc>
          <w:tcPr>
            <w:tcW w:w="58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仿宋" w:hAnsi="仿宋" w:eastAsia="仿宋" w:cs="仿宋"/>
                <w:color w:val="000000"/>
                <w:sz w:val="24"/>
                <w:szCs w:val="24"/>
                <w:lang w:val="en-US" w:eastAsia="zh-CN"/>
              </w:rPr>
            </w:pPr>
            <w:r>
              <w:rPr>
                <w:rFonts w:hint="eastAsia" w:ascii="仿宋" w:hAnsi="仿宋" w:eastAsia="仿宋" w:cs="仿宋"/>
                <w:color w:val="000000"/>
                <w:kern w:val="0"/>
                <w:sz w:val="24"/>
                <w:szCs w:val="24"/>
                <w:lang w:val="en-US" w:eastAsia="zh-CN"/>
              </w:rPr>
              <w:t>6</w:t>
            </w:r>
          </w:p>
        </w:tc>
        <w:tc>
          <w:tcPr>
            <w:tcW w:w="6135" w:type="dxa"/>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hint="eastAsia" w:ascii="仿宋" w:hAnsi="仿宋" w:eastAsia="仿宋" w:cs="仿宋"/>
                <w:color w:val="000000"/>
                <w:sz w:val="24"/>
                <w:szCs w:val="24"/>
              </w:rPr>
            </w:pPr>
            <w:r>
              <w:rPr>
                <w:rFonts w:hint="eastAsia" w:ascii="仿宋" w:hAnsi="仿宋" w:eastAsia="仿宋" w:cs="仿宋"/>
                <w:color w:val="000000"/>
                <w:kern w:val="0"/>
                <w:sz w:val="24"/>
                <w:szCs w:val="24"/>
              </w:rPr>
              <w:t>中国人民银行福州中心支行关于明确工商登记制度改革后人民币单位银行结算账户管理相关事项的通知</w:t>
            </w:r>
          </w:p>
        </w:tc>
        <w:tc>
          <w:tcPr>
            <w:tcW w:w="2355" w:type="dxa"/>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hint="eastAsia" w:ascii="仿宋" w:hAnsi="仿宋" w:eastAsia="仿宋" w:cs="仿宋"/>
                <w:color w:val="000000"/>
                <w:sz w:val="24"/>
                <w:szCs w:val="24"/>
              </w:rPr>
            </w:pPr>
            <w:r>
              <w:rPr>
                <w:rFonts w:hint="eastAsia" w:ascii="仿宋" w:hAnsi="仿宋" w:eastAsia="仿宋" w:cs="仿宋"/>
                <w:color w:val="000000"/>
                <w:kern w:val="0"/>
                <w:sz w:val="24"/>
                <w:szCs w:val="24"/>
              </w:rPr>
              <w:t>福银〔2014〕188号</w:t>
            </w:r>
          </w:p>
        </w:tc>
      </w:tr>
      <w:tr>
        <w:tblPrEx>
          <w:tblCellMar>
            <w:top w:w="15" w:type="dxa"/>
            <w:left w:w="15" w:type="dxa"/>
            <w:bottom w:w="15" w:type="dxa"/>
            <w:right w:w="15" w:type="dxa"/>
          </w:tblCellMar>
        </w:tblPrEx>
        <w:trPr>
          <w:trHeight w:val="1191" w:hRule="atLeast"/>
          <w:jc w:val="center"/>
        </w:trPr>
        <w:tc>
          <w:tcPr>
            <w:tcW w:w="58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仿宋" w:hAnsi="仿宋" w:eastAsia="仿宋" w:cs="仿宋"/>
                <w:color w:val="000000"/>
                <w:sz w:val="24"/>
                <w:szCs w:val="24"/>
                <w:lang w:val="en-US" w:eastAsia="zh-CN"/>
              </w:rPr>
            </w:pPr>
            <w:r>
              <w:rPr>
                <w:rFonts w:hint="eastAsia" w:ascii="仿宋" w:hAnsi="仿宋" w:eastAsia="仿宋" w:cs="仿宋"/>
                <w:color w:val="000000"/>
                <w:kern w:val="0"/>
                <w:sz w:val="24"/>
                <w:szCs w:val="24"/>
                <w:lang w:val="en-US" w:eastAsia="zh-CN"/>
              </w:rPr>
              <w:t>7</w:t>
            </w:r>
          </w:p>
        </w:tc>
        <w:tc>
          <w:tcPr>
            <w:tcW w:w="6135" w:type="dxa"/>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hint="eastAsia" w:ascii="仿宋" w:hAnsi="仿宋" w:eastAsia="仿宋" w:cs="仿宋"/>
                <w:color w:val="000000"/>
                <w:sz w:val="24"/>
                <w:szCs w:val="24"/>
              </w:rPr>
            </w:pPr>
            <w:r>
              <w:rPr>
                <w:rFonts w:hint="eastAsia" w:ascii="仿宋" w:hAnsi="仿宋" w:eastAsia="仿宋" w:cs="仿宋"/>
                <w:color w:val="000000"/>
                <w:kern w:val="0"/>
                <w:sz w:val="24"/>
                <w:szCs w:val="24"/>
              </w:rPr>
              <w:t>中国人民银行福州中心支行  福建省民族与宗教事务厅转发中国人民银行  国家宗教事务局关于进一步明确宗教活动场所和宗教院校开立单位银行结算账户有关事项的通知</w:t>
            </w:r>
          </w:p>
        </w:tc>
        <w:tc>
          <w:tcPr>
            <w:tcW w:w="2355" w:type="dxa"/>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center"/>
              <w:rPr>
                <w:rFonts w:hint="eastAsia" w:ascii="仿宋" w:hAnsi="仿宋" w:eastAsia="仿宋" w:cs="仿宋"/>
                <w:color w:val="000000"/>
                <w:sz w:val="24"/>
                <w:szCs w:val="24"/>
              </w:rPr>
            </w:pPr>
            <w:r>
              <w:rPr>
                <w:rFonts w:hint="eastAsia" w:ascii="仿宋" w:hAnsi="仿宋" w:eastAsia="仿宋" w:cs="仿宋"/>
                <w:color w:val="000000"/>
                <w:kern w:val="0"/>
                <w:sz w:val="24"/>
                <w:szCs w:val="24"/>
              </w:rPr>
              <w:t>福银〔2015〕53号</w:t>
            </w:r>
          </w:p>
        </w:tc>
      </w:tr>
    </w:tbl>
    <w:p/>
    <w:sectPr>
      <w:headerReference r:id="rId3" w:type="default"/>
      <w:footerReference r:id="rId4" w:type="default"/>
      <w:pgSz w:w="11906" w:h="16838"/>
      <w:pgMar w:top="1440" w:right="1800" w:bottom="1440" w:left="1800" w:header="851" w:footer="992" w:gutter="0"/>
      <w:pgNumType w:start="3"/>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_GBK">
    <w:panose1 w:val="02000000000000000000"/>
    <w:charset w:val="86"/>
    <w:family w:val="auto"/>
    <w:pitch w:val="default"/>
    <w:sig w:usb0="A00002BF" w:usb1="38CF7CFA" w:usb2="00082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ind w:left="210" w:leftChars="100" w:right="210" w:rightChars="100"/>
                            <w:textAlignment w:val="auto"/>
                            <w:rPr>
                              <w:rFonts w:hint="eastAsia"/>
                              <w:lang w:eastAsia="zh-CN"/>
                            </w:rPr>
                          </w:pPr>
                          <w:r>
                            <w:rPr>
                              <w:rFonts w:hint="eastAsia" w:ascii="宋体" w:hAnsi="宋体" w:cs="宋体"/>
                              <w:sz w:val="28"/>
                              <w:szCs w:val="28"/>
                              <w:lang w:eastAsia="zh-CN"/>
                            </w:rPr>
                            <w:t>－</w:t>
                          </w:r>
                          <w:r>
                            <w:rPr>
                              <w:rFonts w:hint="eastAsia" w:ascii="宋体" w:hAnsi="宋体" w:cs="宋体"/>
                              <w:sz w:val="28"/>
                              <w:szCs w:val="28"/>
                              <w:lang w:val="en-US" w:eastAsia="zh-CN"/>
                            </w:rPr>
                            <w:t xml:space="preserve"> </w:t>
                          </w: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rPr>
                            <w:t>1</w:t>
                          </w:r>
                          <w:r>
                            <w:rPr>
                              <w:rFonts w:hint="eastAsia" w:ascii="宋体" w:hAnsi="宋体" w:eastAsia="宋体" w:cs="宋体"/>
                              <w:sz w:val="28"/>
                              <w:szCs w:val="28"/>
                              <w:lang w:eastAsia="zh-CN"/>
                            </w:rPr>
                            <w:fldChar w:fldCharType="end"/>
                          </w:r>
                          <w:r>
                            <w:rPr>
                              <w:rFonts w:hint="eastAsia" w:ascii="宋体" w:hAnsi="宋体" w:cs="宋体"/>
                              <w:sz w:val="28"/>
                              <w:szCs w:val="28"/>
                              <w:lang w:val="en-US" w:eastAsia="zh-CN"/>
                            </w:rPr>
                            <w:t xml:space="preserve"> </w:t>
                          </w:r>
                          <w:r>
                            <w:rPr>
                              <w:rFonts w:hint="eastAsia" w:ascii="宋体" w:hAnsi="宋体" w:cs="宋体"/>
                              <w:sz w:val="28"/>
                              <w:szCs w:val="28"/>
                              <w:lang w:eastAsia="zh-CN"/>
                            </w:rPr>
                            <w:t>－</w:t>
                          </w:r>
                        </w:p>
                        <w:p>
                          <w:pPr>
                            <w:rPr>
                              <w:rFonts w:hint="eastAsia"/>
                              <w:lang w:eastAsia="zh-C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keepNext w:val="0"/>
                      <w:keepLines w:val="0"/>
                      <w:pageBreakBefore w:val="0"/>
                      <w:widowControl w:val="0"/>
                      <w:kinsoku/>
                      <w:wordWrap/>
                      <w:overflowPunct/>
                      <w:topLinePunct w:val="0"/>
                      <w:autoSpaceDE/>
                      <w:autoSpaceDN/>
                      <w:bidi w:val="0"/>
                      <w:adjustRightInd/>
                      <w:snapToGrid/>
                      <w:ind w:left="210" w:leftChars="100" w:right="210" w:rightChars="100"/>
                      <w:textAlignment w:val="auto"/>
                      <w:rPr>
                        <w:rFonts w:hint="eastAsia"/>
                        <w:lang w:eastAsia="zh-CN"/>
                      </w:rPr>
                    </w:pPr>
                    <w:r>
                      <w:rPr>
                        <w:rFonts w:hint="eastAsia" w:ascii="宋体" w:hAnsi="宋体" w:cs="宋体"/>
                        <w:sz w:val="28"/>
                        <w:szCs w:val="28"/>
                        <w:lang w:eastAsia="zh-CN"/>
                      </w:rPr>
                      <w:t>－</w:t>
                    </w:r>
                    <w:r>
                      <w:rPr>
                        <w:rFonts w:hint="eastAsia" w:ascii="宋体" w:hAnsi="宋体" w:cs="宋体"/>
                        <w:sz w:val="28"/>
                        <w:szCs w:val="28"/>
                        <w:lang w:val="en-US" w:eastAsia="zh-CN"/>
                      </w:rPr>
                      <w:t xml:space="preserve"> </w:t>
                    </w: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rPr>
                      <w:t>1</w:t>
                    </w:r>
                    <w:r>
                      <w:rPr>
                        <w:rFonts w:hint="eastAsia" w:ascii="宋体" w:hAnsi="宋体" w:eastAsia="宋体" w:cs="宋体"/>
                        <w:sz w:val="28"/>
                        <w:szCs w:val="28"/>
                        <w:lang w:eastAsia="zh-CN"/>
                      </w:rPr>
                      <w:fldChar w:fldCharType="end"/>
                    </w:r>
                    <w:r>
                      <w:rPr>
                        <w:rFonts w:hint="eastAsia" w:ascii="宋体" w:hAnsi="宋体" w:cs="宋体"/>
                        <w:sz w:val="28"/>
                        <w:szCs w:val="28"/>
                        <w:lang w:val="en-US" w:eastAsia="zh-CN"/>
                      </w:rPr>
                      <w:t xml:space="preserve"> </w:t>
                    </w:r>
                    <w:r>
                      <w:rPr>
                        <w:rFonts w:hint="eastAsia" w:ascii="宋体" w:hAnsi="宋体" w:cs="宋体"/>
                        <w:sz w:val="28"/>
                        <w:szCs w:val="28"/>
                        <w:lang w:eastAsia="zh-CN"/>
                      </w:rPr>
                      <w:t>－</w:t>
                    </w:r>
                  </w:p>
                  <w:p>
                    <w:pPr>
                      <w:rPr>
                        <w:rFonts w:hint="eastAsia"/>
                        <w:lang w:eastAsia="zh-CN"/>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revisionView w:markup="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737894"/>
    <w:rsid w:val="020E4338"/>
    <w:rsid w:val="02233032"/>
    <w:rsid w:val="05EC43D5"/>
    <w:rsid w:val="0F030C6F"/>
    <w:rsid w:val="13346A45"/>
    <w:rsid w:val="134F051A"/>
    <w:rsid w:val="158013BF"/>
    <w:rsid w:val="19630DF6"/>
    <w:rsid w:val="20690E1D"/>
    <w:rsid w:val="24D04DB3"/>
    <w:rsid w:val="254B14BD"/>
    <w:rsid w:val="25EA116B"/>
    <w:rsid w:val="2A690A93"/>
    <w:rsid w:val="2E3C1971"/>
    <w:rsid w:val="341527FA"/>
    <w:rsid w:val="3E737894"/>
    <w:rsid w:val="41D52F72"/>
    <w:rsid w:val="44982444"/>
    <w:rsid w:val="4B7855F2"/>
    <w:rsid w:val="511F6BFF"/>
    <w:rsid w:val="519517DE"/>
    <w:rsid w:val="53EF7110"/>
    <w:rsid w:val="55BC2AD1"/>
    <w:rsid w:val="561372E8"/>
    <w:rsid w:val="5ECA69D9"/>
    <w:rsid w:val="5F9362A7"/>
    <w:rsid w:val="6A191EA9"/>
    <w:rsid w:val="6B4E6BA6"/>
    <w:rsid w:val="6BA9061F"/>
    <w:rsid w:val="700A361D"/>
    <w:rsid w:val="7B3600E3"/>
    <w:rsid w:val="7E8C697A"/>
    <w:rsid w:val="7ED733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0</Pages>
  <Words>0</Words>
  <Characters>0</Characters>
  <Lines>0</Lines>
  <Paragraphs>0</Paragraphs>
  <TotalTime>0</TotalTime>
  <ScaleCrop>false</ScaleCrop>
  <LinksUpToDate>false</LinksUpToDate>
  <CharactersWithSpaces>0</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2025-09-22T10:53:00Z</dcterms:created>
  <dc:creator>redacted</dc:creator>
  <cp:lastModifiedBy>redacted</cp:lastModifiedBy>
  <dcterms:modified xsi:type="dcterms:W3CDTF">2025-09-22T10:57:05Z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D8DB79C94C12443A94C90BD0B89B42A5</vt:lpwstr>
  </property>
</Properties>
</file>