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Quarterly Report</w:t>
      </w:r>
    </w:p>
    <w:sdt>
      <w:sdtPr>
        <w:id w:val="6802482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2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Overview 1  Results 2  Outlook 3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Revenue grew 8% on the quarter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and costs were flat.</w:t>
      </w:r>
    </w:p>
    <w:bookmarkStart w:colFirst="0" w:colLast="0" w:name="5yhtfwfiszp6" w:id="0"/>
    <w:bookmarkEnd w:id="0"/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Revenue by region</w:t>
      </w:r>
    </w:p>
    <w:tbl>
      <w:tblPr>
        <w:tblStyle w:val="Table1"/>
        <w:tblW w:w="840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400"/>
        <w:gridCol w:w="2000"/>
        <w:gridCol w:w="2000"/>
        <w:gridCol w:w="2000"/>
        <w:tblGridChange w:id="0">
          <w:tblGrid>
            <w:gridCol w:w="2400"/>
            <w:gridCol w:w="2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North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+10%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South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+3%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Overseas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+11%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Costs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Staff costs rose 2%, while hosting fell 6%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Outlook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See Results for the figures behind this.</w:t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6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Revenue is stated before refunds.</w:t>
      </w:r>
    </w:p>
  </w:footnote>
  <w:footnote w:id="1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hosting contract was renegotiated in October.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6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Quarterly Report, Q4 2025</w:t>
      <w:tab/>
      <w:t xml:space="preserve">Northwind Example Ltd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80" w:before="2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00" w:lineRule="auto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4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