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word/header_s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Software Requirements Specification: Order Service</w:t>
      </w:r>
    </w:p>
    <w:p w14:paraId="10000002" w14:textId="77777777">
      <w:pPr>
        <w:jc w:val="center"/>
      </w:pPr>
      <w:r>
        <w:t xml:space="preserve">Document ORD-SRS-001, issue 2</w:t>
      </w:r>
    </w:p>
    <w:p w14:paraId="10000003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Scope</w:t>
      </w:r>
      <w:bookmarkEnd w:id="1"/>
    </w:p>
    <w:p w14:paraId="10000004" w14:textId="77777777">
      <w:r>
        <w:t xml:space="preserve">This specification defines the requirements for the order service.</w:t>
      </w:r>
    </w:p>
    <w:p w14:paraId="10000005" w14:textId="77777777">
      <w:r>
        <w:t xml:space="preserve">It does not cover the payment service.</w:t>
      </w:r>
    </w:p>
    <w:p w14:paraId="10000006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Functional requirements</w:t>
      </w:r>
      <w:bookmarkEnd w:id="2"/>
    </w:p>
    <w:p w14:paraId="10000007" w14:textId="77777777">
      <w:r>
        <w:t xml:space="preserve">REQ-001: The service shall accept an order only when every line has a quantity above zero.</w:t>
      </w:r>
    </w:p>
    <w:p w14:paraId="10000008" w14:textId="77777777">
      <w:r>
        <w:t xml:space="preserve">REQ-002: The service shall confirm an accepted order within two seconds.</w:t>
      </w:r>
    </w:p>
    <w:p w14:paraId="10000009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Performance requirements</w:t>
      </w:r>
      <w:bookmarkEnd w:id="3"/>
    </w:p>
    <w:p w14:paraId="1000000A" w14:textId="77777777">
      <w:r>
        <w:t xml:space="preserve">REQ-010: The service shall handle one hundred orders per second.</w:t>
      </w:r>
    </w:p>
    <w:p w14:paraId="1000000B" w14:textId="77777777">
      <w:r>
        <w:t xml:space="preserve">REQ-011: The service shall lose no accepted order when one node fails.</w:t>
      </w:r>
    </w:p>
    <w:p w14:paraId="1000000C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Phase one / Phase two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6000" w:type="dxa"/>
            <w:gridSpan w:val="2"/>
          </w:tcPr>
          <w:p>
            <w:r>
              <w:rPr>
                <w:b/>
              </w:rPr>
              <w:t xml:space="preserve">Phase 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Phase two</w:t>
            </w:r>
          </w:p>
        </w:tc>
      </w:tr>
      <w:t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Draft</w:t>
            </w:r>
          </w:p>
        </w:tc>
        <w:tc>
          <w:tcPr>
            <w:tcW w:w="3000" w:type="dxa"/>
          </w:tcPr>
          <w:p>
            <w:r>
              <w:t xml:space="preserve">Legal</w:t>
            </w:r>
          </w:p>
        </w:tc>
        <w:tc>
          <w:tcPr>
            <w:tcW w:w="3000" w:type="dxa"/>
          </w:tcPr>
          <w:p>
            <w:r>
              <w:t xml:space="preserve">3 Feb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Finance</w:t>
            </w:r>
          </w:p>
        </w:tc>
        <w:tc>
          <w:tcPr>
            <w:tcW w:w="3000" w:type="dxa"/>
          </w:tcPr>
          <w:p>
            <w:r>
              <w:t xml:space="preserve">10 Feb</w:t>
            </w:r>
          </w:p>
        </w:tc>
      </w:tr>
      <w:tr>
        <w:tc>
          <w:tcPr>
            <w:tcW w:w="3000" w:type="dxa"/>
          </w:tcPr>
          <w:p>
            <w:r>
              <w:t xml:space="preserve">Sign-off</w:t>
            </w:r>
          </w:p>
        </w:tc>
        <w:tc>
          <w:tcPr>
            <w:tcW w:w="6000" w:type="dxa"/>
            <w:gridSpan w:val="2"/>
          </w:tcPr>
          <w:p>
            <w:r>
              <w:t xml:space="preserve">Board</w:t>
            </w:r>
          </w:p>
        </w:tc>
      </w:tr>
    </w:tbl>
    <w:p/>
    <w:p w14:paraId="1000000D" w14:textId="77777777">
      <w:r>
        <w:t xml:space="preserve">The relation used throughout is:</w:t>
      </w:r>
    </w:p>
    <w:p w14:paraId="1000000E" w14:textId="77777777">
      <m:oMathPara>
        <m:oMath>
          <m:r>
            <w:rPr>
              <w:rFonts w:ascii="Cambria Math" w:hAnsi="Cambria Math"/>
            </w:rPr>
            <m:t>x=</m:t>
          </m:r>
          <m:f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1000000F" w14:textId="77777777"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0000010" w14:textId="77777777">
      <w:r>
        <w:t xml:space="preserve">Equation 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</w:t>
      </w:r>
      <m:oMath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</m:sup>
        </m:sSup>
        <m:r>
          <w:rPr>
            <w:rFonts w:ascii="Cambria Math" w:hAnsi="Cambria Math"/>
          </w:rPr>
          <m:t>+1=0</m:t>
        </m:r>
      </m:oMath>
    </w:p>
    <w:p w14:paraId="10000011" w14:textId="77777777">
      <w:r>
        <w:pict>
          <v:roundrect id="shape1" style="width:140pt;height:36pt;z-index:251660001" fillcolor="#dae8fc" strokecolor="#6c8ebf">
            <v:textbox>
              <w:txbxContent>
                <w:p>
                  <w:r>
                    <w:t xml:space="preserve">Start</w:t>
                  </w:r>
                </w:p>
              </w:txbxContent>
            </v:textbox>
          </v:roundrect>
        </w:pict>
      </w:r>
      <w:r>
        <w:pict>
          <v:roundrect id="shape2" style="width:140pt;height:36pt;z-index:251660002" fillcolor="#dae8fc" strokecolor="#6c8ebf">
            <v:textbox>
              <w:txbxContent>
                <w:p>
                  <w:r>
                    <w:t xml:space="preserve">Review</w:t>
                  </w:r>
                </w:p>
              </w:txbxContent>
            </v:textbox>
          </v:roundrect>
        </w:pict>
      </w:r>
      <w:r>
        <w:pict>
          <v:roundrect id="shape3" style="width:140pt;height:36pt;z-index:251660003" fillcolor="#dae8fc" strokecolor="#6c8ebf">
            <v:textbox>
              <w:txbxContent>
                <w:p>
                  <w:r>
                    <w:t xml:space="preserve">Approve</w:t>
                  </w:r>
                </w:p>
              </w:txbxContent>
            </v:textbox>
          </v:roundrect>
        </w:pict>
      </w:r>
    </w:p>
    <w:p w14:paraId="10000012" w14:textId="77777777">
      <w:pPr>
        <w:sectPr>
          <w:type w:val="nextPage"/>
          <w:pgSz w:w="11906" w:h="16838"/>
          <w:pgMar w:top="1440" w:right="1440" w:bottom="1440" w:left="1440" w:header="708" w:footer="708" w:gutter="0"/>
        </w:sectPr>
      </w:pPr>
    </w:p>
    <w:p w14:paraId="10000013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Item</w:t>
      </w:r>
    </w:p>
    <w:tbl>
      <w:tblPr>
        <w:tblStyle w:val="TableGrid"/>
        <w:tblW w:w="12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Due</w:t>
            </w:r>
          </w:p>
        </w:tc>
      </w:tr>
      <w:tr>
        <w:tc>
          <w:tcPr>
            <w:tcW w:w="2000" w:type="dxa"/>
          </w:tcPr>
          <w:p>
            <w:r>
              <w:t xml:space="preserve">Draft</w:t>
            </w:r>
          </w:p>
        </w:tc>
        <w:tc>
          <w:tcPr>
            <w:tcW w:w="2000" w:type="dxa"/>
          </w:tcPr>
          <w:p>
            <w:r>
              <w:t xml:space="preserve">Legal</w:t>
            </w:r>
          </w:p>
        </w:tc>
        <w:tc>
          <w:tcPr>
            <w:tcW w:w="2000" w:type="dxa"/>
          </w:tcPr>
          <w:p>
            <w:r>
              <w:t xml:space="preserve">3 Feb</w:t>
            </w:r>
          </w:p>
        </w:tc>
        <w:tc>
          <w:tcPr>
            <w:tcW w:w="2000" w:type="dxa"/>
          </w:tcPr>
          <w:p>
            <w:r>
              <w:t xml:space="preserve">Draft</w:t>
            </w:r>
          </w:p>
        </w:tc>
        <w:tc>
          <w:tcPr>
            <w:tcW w:w="2000" w:type="dxa"/>
          </w:tcPr>
          <w:p>
            <w:r>
              <w:t xml:space="preserve">Legal</w:t>
            </w:r>
          </w:p>
        </w:tc>
        <w:tc>
          <w:tcPr>
            <w:tcW w:w="2000" w:type="dxa"/>
          </w:tcPr>
          <w:p>
            <w:r>
              <w:t xml:space="preserve">3 Feb</w:t>
            </w:r>
          </w:p>
        </w:tc>
      </w:tr>
      <w:tr>
        <w:tc>
          <w:tcPr>
            <w:tcW w:w="2000" w:type="dxa"/>
          </w:tcPr>
          <w:p>
            <w:r>
              <w:t xml:space="preserve">Review</w:t>
            </w:r>
          </w:p>
        </w:tc>
        <w:tc>
          <w:tcPr>
            <w:tcW w:w="2000" w:type="dxa"/>
          </w:tcPr>
          <w:p>
            <w:r>
              <w:t xml:space="preserve">Finance</w:t>
            </w:r>
          </w:p>
        </w:tc>
        <w:tc>
          <w:tcPr>
            <w:tcW w:w="2000" w:type="dxa"/>
          </w:tcPr>
          <w:p>
            <w:r>
              <w:t xml:space="preserve">10 Feb</w:t>
            </w:r>
          </w:p>
        </w:tc>
        <w:tc>
          <w:tcPr>
            <w:tcW w:w="2000" w:type="dxa"/>
          </w:tcPr>
          <w:p>
            <w:r>
              <w:t xml:space="preserve">Review</w:t>
            </w:r>
          </w:p>
        </w:tc>
        <w:tc>
          <w:tcPr>
            <w:tcW w:w="2000" w:type="dxa"/>
          </w:tcPr>
          <w:p>
            <w:r>
              <w:t xml:space="preserve">Finance</w:t>
            </w:r>
          </w:p>
        </w:tc>
        <w:tc>
          <w:tcPr>
            <w:tcW w:w="2000" w:type="dxa"/>
          </w:tcPr>
          <w:p>
            <w:r>
              <w:t xml:space="preserve">10 Feb</w:t>
            </w:r>
          </w:p>
        </w:tc>
      </w:tr>
      <w:tr>
        <w:tc>
          <w:tcPr>
            <w:tcW w:w="2000" w:type="dxa"/>
          </w:tcPr>
          <w:p>
            <w:r>
              <w:t xml:space="preserve">Sign-off</w:t>
            </w:r>
          </w:p>
        </w:tc>
        <w:tc>
          <w:tcPr>
            <w:tcW w:w="2000" w:type="dxa"/>
          </w:tcPr>
          <w:p>
            <w:r>
              <w:t xml:space="preserve">Board</w:t>
            </w:r>
          </w:p>
        </w:tc>
        <w:tc>
          <w:tcPr>
            <w:tcW w:w="2000" w:type="dxa"/>
          </w:tcPr>
          <w:p>
            <w:r>
              <w:t xml:space="preserve">24 Feb</w:t>
            </w:r>
          </w:p>
        </w:tc>
        <w:tc>
          <w:tcPr>
            <w:tcW w:w="2000" w:type="dxa"/>
          </w:tcPr>
          <w:p>
            <w:r>
              <w:t xml:space="preserve">Sign-off</w:t>
            </w:r>
          </w:p>
        </w:tc>
        <w:tc>
          <w:tcPr>
            <w:tcW w:w="2000" w:type="dxa"/>
          </w:tcPr>
          <w:p>
            <w:r>
              <w:t xml:space="preserve">Board</w:t>
            </w:r>
          </w:p>
        </w:tc>
        <w:tc>
          <w:tcPr>
            <w:tcW w:w="2000" w:type="dxa"/>
          </w:tcPr>
          <w:p>
            <w:r>
              <w:t xml:space="preserve">24 Feb</w:t>
            </w:r>
          </w:p>
        </w:tc>
      </w:tr>
    </w:tbl>
    <w:p/>
    <w:p w14:paraId="10000014" w14:textId="77777777">
      <w:pPr>
        <w:sectPr>
          <w:headerReference w:type="default" r:id="rIdSH2"/>
          <w:type w:val="nextPage"/>
          <w:pgSz w:w="16838" w:h="11906" w:orient="landscape"/>
          <w:pgMar w:top="1440" w:right="1440" w:bottom="1440" w:left="1440" w:header="708" w:footer="708" w:gutter="0"/>
        </w:sectPr>
      </w:pP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Software Requirements Specification: Order Service</w:t>
    </w:r>
    <w:r>
      <w:tab/>
    </w:r>
    <w:r>
      <w:t xml:space="preserve">Confidential</w:t>
    </w:r>
  </w:p>
</w:hdr>
</file>

<file path=word/header_s2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Relationship Id="rIdSH2" Type="http://schemas.openxmlformats.org/officeDocument/2006/relationships/header" Target="header_s2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engineering-en-spec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