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A45C" w14:textId="2E50EDA6" w:rsidR="00B245F4" w:rsidRPr="00B245F4" w:rsidRDefault="00B245F4" w:rsidP="00B245F4">
      <w:pPr>
        <w:pStyle w:val="Heading1"/>
        <w:spacing w:after="200"/>
        <w:rPr>
          <w:rFonts w:asciiTheme="minorHAnsi" w:eastAsiaTheme="minorEastAsia" w:hAnsiTheme="minorHAnsi" w:cstheme="minorBidi"/>
          <w:b/>
          <w:bCs/>
          <w:color w:val="1B4F72"/>
          <w:sz w:val="36"/>
          <w:szCs w:val="36"/>
        </w:rPr>
      </w:pPr>
      <w:r w:rsidRPr="00B245F4">
        <w:rPr>
          <w:rFonts w:asciiTheme="minorHAnsi" w:eastAsiaTheme="minorEastAsia" w:hAnsiTheme="minorHAnsi" w:cstheme="minorBidi"/>
          <w:b/>
          <w:bCs/>
          <w:color w:val="1B4F72"/>
          <w:sz w:val="36"/>
          <w:szCs w:val="36"/>
        </w:rPr>
        <w:t>Designing for Children’s Agency in AI</w:t>
      </w:r>
      <w:r w:rsidRPr="00B245F4">
        <w:rPr>
          <w:rFonts w:asciiTheme="minorHAnsi" w:eastAsiaTheme="minorEastAsia" w:hAnsiTheme="minorHAnsi" w:cstheme="minorBidi"/>
          <w:b/>
          <w:bCs/>
          <w:color w:val="1B4F72"/>
          <w:sz w:val="36"/>
          <w:szCs w:val="36"/>
        </w:rPr>
        <w:t xml:space="preserve"> </w:t>
      </w:r>
    </w:p>
    <w:p w14:paraId="6C07AFEC" w14:textId="79BE011D" w:rsidR="00B245F4" w:rsidRDefault="00B245F4" w:rsidP="00B245F4">
      <w:pPr>
        <w:pStyle w:val="Heading1"/>
        <w:spacing w:after="200"/>
        <w:rPr>
          <w:rFonts w:asciiTheme="minorHAnsi" w:eastAsiaTheme="minorEastAsia" w:hAnsiTheme="minorHAnsi" w:cstheme="minorBidi" w:hint="eastAsia"/>
          <w:b/>
          <w:bCs/>
          <w:color w:val="1B4F72"/>
          <w:sz w:val="32"/>
          <w:szCs w:val="32"/>
        </w:rPr>
      </w:pPr>
      <w:r w:rsidRPr="09B0FF3D">
        <w:rPr>
          <w:rFonts w:asciiTheme="minorHAnsi" w:eastAsiaTheme="minorEastAsia" w:hAnsiTheme="minorHAnsi" w:cstheme="minorBidi"/>
          <w:b/>
          <w:bCs/>
          <w:color w:val="1B4F72"/>
          <w:sz w:val="32"/>
          <w:szCs w:val="32"/>
        </w:rPr>
        <w:t>1. Introduction</w:t>
      </w:r>
    </w:p>
    <w:p w14:paraId="7DF4D49C" w14:textId="77777777" w:rsidR="00B245F4" w:rsidRDefault="00B245F4" w:rsidP="00B245F4">
      <w:pPr>
        <w:pStyle w:val="Heading2"/>
        <w:spacing w:before="280" w:after="160"/>
        <w:rPr>
          <w:rFonts w:asciiTheme="minorHAnsi" w:eastAsiaTheme="minorEastAsia" w:hAnsiTheme="minorHAnsi" w:cstheme="minorBidi" w:hint="eastAsia"/>
          <w:b/>
          <w:bCs/>
          <w:color w:val="2E86C1"/>
          <w:sz w:val="26"/>
          <w:szCs w:val="26"/>
        </w:rPr>
      </w:pPr>
      <w:r w:rsidRPr="058CD0F4">
        <w:rPr>
          <w:rFonts w:asciiTheme="minorHAnsi" w:eastAsiaTheme="minorEastAsia" w:hAnsiTheme="minorHAnsi" w:cstheme="minorBidi"/>
          <w:b/>
          <w:bCs/>
          <w:color w:val="2E86C1"/>
          <w:sz w:val="26"/>
          <w:szCs w:val="26"/>
        </w:rPr>
        <w:t>Why Ethical Design, Why Agency by Design</w:t>
      </w:r>
    </w:p>
    <w:p w14:paraId="348D69D2" w14:textId="77777777" w:rsidR="00B245F4" w:rsidRDefault="00B245F4" w:rsidP="00B245F4">
      <w:pPr>
        <w:spacing w:after="120" w:line="276" w:lineRule="auto"/>
        <w:rPr>
          <w:rFonts w:hint="eastAsia"/>
          <w:color w:val="333333"/>
          <w:sz w:val="21"/>
          <w:szCs w:val="21"/>
        </w:rPr>
      </w:pPr>
      <w:r w:rsidRPr="058CD0F4">
        <w:rPr>
          <w:color w:val="333333"/>
          <w:sz w:val="21"/>
          <w:szCs w:val="21"/>
        </w:rPr>
        <w:t xml:space="preserve">As AI becomes more deeply embedded in children’s lives, algorithmic manipulations and behavioural engineering are prevalently applied to enable personalisation or so-called effective user engagement. These systems shape children’s learning, play, and everyday decision-making in ways that are often invisible. Children, </w:t>
      </w:r>
      <w:proofErr w:type="gramStart"/>
      <w:r w:rsidRPr="058CD0F4">
        <w:rPr>
          <w:color w:val="333333"/>
          <w:sz w:val="21"/>
          <w:szCs w:val="21"/>
        </w:rPr>
        <w:t>whose</w:t>
      </w:r>
      <w:proofErr w:type="gramEnd"/>
      <w:r w:rsidRPr="058CD0F4">
        <w:rPr>
          <w:color w:val="333333"/>
          <w:sz w:val="21"/>
          <w:szCs w:val="21"/>
        </w:rPr>
        <w:t xml:space="preserve"> cognitive and socio-emotional capacities are still developing, are particularly susceptible to persuasive or manipulative design patterns.</w:t>
      </w:r>
    </w:p>
    <w:p w14:paraId="30216E96" w14:textId="77777777" w:rsidR="00B245F4" w:rsidRDefault="00B245F4" w:rsidP="00B245F4">
      <w:pPr>
        <w:spacing w:after="120" w:line="276" w:lineRule="auto"/>
        <w:rPr>
          <w:rFonts w:hint="eastAsia"/>
          <w:color w:val="333333"/>
          <w:sz w:val="21"/>
          <w:szCs w:val="21"/>
        </w:rPr>
      </w:pPr>
      <w:r w:rsidRPr="058CD0F4">
        <w:rPr>
          <w:color w:val="333333"/>
          <w:sz w:val="21"/>
          <w:szCs w:val="21"/>
        </w:rPr>
        <w:t xml:space="preserve">Within this landscape, children’s </w:t>
      </w:r>
      <w:r w:rsidRPr="058CD0F4">
        <w:rPr>
          <w:b/>
          <w:bCs/>
          <w:color w:val="333333"/>
          <w:sz w:val="21"/>
          <w:szCs w:val="21"/>
        </w:rPr>
        <w:t>agency</w:t>
      </w:r>
      <w:r w:rsidRPr="058CD0F4">
        <w:rPr>
          <w:color w:val="333333"/>
          <w:sz w:val="21"/>
          <w:szCs w:val="21"/>
        </w:rPr>
        <w:t xml:space="preserve"> – the ability to make meaningful choices and act upon them – has been increasingly recognised as a central value in the design of AI-enabled systems. Agency is not limited to individual control. It includes relational forms: children’s actions and decisions are shaped by caregivers, peers, educators, and the platforms they use. A child’s capacity to act meaningfully depends on these relationships and on the structures of the systems they interact with.</w:t>
      </w:r>
    </w:p>
    <w:p w14:paraId="0D9C4D68" w14:textId="77777777" w:rsidR="00B245F4" w:rsidRDefault="00B245F4" w:rsidP="00B245F4">
      <w:pPr>
        <w:spacing w:after="120" w:line="276" w:lineRule="auto"/>
        <w:rPr>
          <w:rFonts w:hint="eastAsia"/>
          <w:color w:val="333333"/>
          <w:sz w:val="21"/>
          <w:szCs w:val="21"/>
        </w:rPr>
      </w:pPr>
      <w:r w:rsidRPr="058CD0F4">
        <w:rPr>
          <w:color w:val="333333"/>
          <w:sz w:val="21"/>
          <w:szCs w:val="21"/>
        </w:rPr>
        <w:t xml:space="preserve">Critically, agency should be treated not as an optional ethical principle but as a </w:t>
      </w:r>
      <w:r w:rsidRPr="058CD0F4">
        <w:rPr>
          <w:b/>
          <w:bCs/>
          <w:color w:val="333333"/>
          <w:sz w:val="21"/>
          <w:szCs w:val="21"/>
        </w:rPr>
        <w:t>foundational lens</w:t>
      </w:r>
      <w:r w:rsidRPr="058CD0F4">
        <w:rPr>
          <w:color w:val="333333"/>
          <w:sz w:val="21"/>
          <w:szCs w:val="21"/>
        </w:rPr>
        <w:t xml:space="preserve"> through which other ethical commitments are realised in practice. Without agency, transparency cannot be meaningfully interpreted, accountability cannot be exercised, and fairness cannot be contested. Designing for agency operationalises ethical commitments by enabling children to understand, question, and engage with AI systems in developmentally appropriate ways. This motivates the need for </w:t>
      </w:r>
      <w:r w:rsidRPr="058CD0F4">
        <w:rPr>
          <w:b/>
          <w:bCs/>
          <w:color w:val="333333"/>
          <w:sz w:val="21"/>
          <w:szCs w:val="21"/>
        </w:rPr>
        <w:t>agency by design</w:t>
      </w:r>
      <w:r w:rsidRPr="058CD0F4">
        <w:rPr>
          <w:color w:val="333333"/>
          <w:sz w:val="21"/>
          <w:szCs w:val="21"/>
        </w:rPr>
        <w:t>: systematically integrating considerations of children’s autonomy, participation, and voice into the design process from the outset.</w:t>
      </w:r>
    </w:p>
    <w:p w14:paraId="40524B40" w14:textId="77777777" w:rsidR="00B245F4" w:rsidRDefault="00B245F4" w:rsidP="00B245F4">
      <w:pPr>
        <w:pStyle w:val="Heading2"/>
        <w:spacing w:before="220" w:after="100"/>
        <w:rPr>
          <w:rFonts w:asciiTheme="minorHAnsi" w:eastAsiaTheme="minorEastAsia" w:hAnsiTheme="minorHAnsi" w:cstheme="minorBidi" w:hint="eastAsia"/>
          <w:b/>
          <w:bCs/>
          <w:color w:val="2E86C1"/>
          <w:sz w:val="24"/>
          <w:szCs w:val="24"/>
        </w:rPr>
      </w:pPr>
      <w:r w:rsidRPr="058CD0F4">
        <w:rPr>
          <w:rFonts w:asciiTheme="minorHAnsi" w:eastAsiaTheme="minorEastAsia" w:hAnsiTheme="minorHAnsi" w:cstheme="minorBidi"/>
          <w:b/>
          <w:bCs/>
          <w:color w:val="2E86C1"/>
          <w:sz w:val="24"/>
          <w:szCs w:val="24"/>
        </w:rPr>
        <w:t>Gaps and Our Objectives</w:t>
      </w:r>
    </w:p>
    <w:p w14:paraId="301DA021" w14:textId="77777777" w:rsidR="00B245F4" w:rsidRDefault="00B245F4" w:rsidP="00B245F4">
      <w:pPr>
        <w:spacing w:after="120" w:line="276" w:lineRule="auto"/>
        <w:rPr>
          <w:rFonts w:hint="eastAsia"/>
          <w:color w:val="333333"/>
          <w:sz w:val="21"/>
          <w:szCs w:val="21"/>
        </w:rPr>
      </w:pPr>
      <w:r w:rsidRPr="058CD0F4">
        <w:rPr>
          <w:color w:val="333333"/>
          <w:sz w:val="21"/>
          <w:szCs w:val="21"/>
        </w:rPr>
        <w:t xml:space="preserve">Despite this growing recognition, designing for children’s agency remains challenging in practice. Agency is often articulated at a high level of abstraction, leaving design teams with limited guidance on how to translate principles into concrete decisions. In real-world contexts, designing for agency is frequently treated as implicit or retrospectively justified. Existing toolkits have attempted to address this by raising awareness of ethical values, but they have paid little attention to supporting the explicit consideration of agency for </w:t>
      </w:r>
      <w:proofErr w:type="gramStart"/>
      <w:r w:rsidRPr="058CD0F4">
        <w:rPr>
          <w:color w:val="333333"/>
          <w:sz w:val="21"/>
          <w:szCs w:val="21"/>
        </w:rPr>
        <w:t>children, and</w:t>
      </w:r>
      <w:proofErr w:type="gramEnd"/>
      <w:r w:rsidRPr="058CD0F4">
        <w:rPr>
          <w:color w:val="333333"/>
          <w:sz w:val="21"/>
          <w:szCs w:val="21"/>
        </w:rPr>
        <w:t xml:space="preserve"> largely focus on stimulating conceptual awareness rather than supporting the reasoning processes and decision-making that happen during design.</w:t>
      </w:r>
    </w:p>
    <w:p w14:paraId="7B94EF92" w14:textId="77777777" w:rsidR="00B245F4" w:rsidRDefault="00B245F4" w:rsidP="00B245F4">
      <w:pPr>
        <w:spacing w:after="120" w:line="276" w:lineRule="auto"/>
        <w:rPr>
          <w:rFonts w:hint="eastAsia"/>
          <w:color w:val="333333"/>
          <w:sz w:val="21"/>
          <w:szCs w:val="21"/>
        </w:rPr>
      </w:pPr>
      <w:r w:rsidRPr="058CD0F4">
        <w:rPr>
          <w:color w:val="333333"/>
          <w:sz w:val="21"/>
          <w:szCs w:val="21"/>
        </w:rPr>
        <w:t xml:space="preserve">We hypothesise that designing for agency is fundamentally a </w:t>
      </w:r>
      <w:r w:rsidRPr="058CD0F4">
        <w:rPr>
          <w:b/>
          <w:bCs/>
          <w:color w:val="333333"/>
          <w:sz w:val="21"/>
          <w:szCs w:val="21"/>
        </w:rPr>
        <w:t>cognitive and reasoning challenge</w:t>
      </w:r>
      <w:r w:rsidRPr="058CD0F4">
        <w:rPr>
          <w:color w:val="333333"/>
          <w:sz w:val="21"/>
          <w:szCs w:val="21"/>
        </w:rPr>
        <w:t xml:space="preserve">, rather than merely a problem of optimising outcomes. It should not be a tick-box exercise but a systematic process of recognising the value of agency, identifying children’s needs in relation to system structure and stakeholder roles, and reasoning about trade-offs. In response, we developed the </w:t>
      </w:r>
      <w:r w:rsidRPr="058CD0F4">
        <w:rPr>
          <w:b/>
          <w:bCs/>
          <w:color w:val="333333"/>
          <w:sz w:val="21"/>
          <w:szCs w:val="21"/>
        </w:rPr>
        <w:t>CHAI (Designing for Children’s Agency in AI) framework</w:t>
      </w:r>
      <w:r w:rsidRPr="058CD0F4">
        <w:rPr>
          <w:color w:val="333333"/>
          <w:sz w:val="21"/>
          <w:szCs w:val="21"/>
        </w:rPr>
        <w:t xml:space="preserve"> – a conceptual framework designed to support designers’ reasoning about children’s agency by making assumptions visible, articulating trade-offs, and linking abstract values to concrete system functions.</w:t>
      </w:r>
    </w:p>
    <w:p w14:paraId="1BB7AF39" w14:textId="77777777" w:rsidR="00B245F4" w:rsidRDefault="00B245F4" w:rsidP="00B245F4">
      <w:pPr>
        <w:pStyle w:val="Heading1"/>
        <w:spacing w:before="300" w:after="140"/>
        <w:rPr>
          <w:rFonts w:asciiTheme="minorHAnsi" w:eastAsiaTheme="minorEastAsia" w:hAnsiTheme="minorHAnsi" w:cstheme="minorBidi" w:hint="eastAsia"/>
          <w:b/>
          <w:bCs/>
          <w:color w:val="1B4F72"/>
          <w:sz w:val="28"/>
          <w:szCs w:val="28"/>
        </w:rPr>
      </w:pPr>
      <w:r w:rsidRPr="058CD0F4">
        <w:rPr>
          <w:rFonts w:asciiTheme="minorHAnsi" w:eastAsiaTheme="minorEastAsia" w:hAnsiTheme="minorHAnsi" w:cstheme="minorBidi"/>
          <w:b/>
          <w:bCs/>
          <w:color w:val="1B4F72"/>
          <w:sz w:val="28"/>
          <w:szCs w:val="28"/>
        </w:rPr>
        <w:lastRenderedPageBreak/>
        <w:t>2. The CHAI Conceptual Framework</w:t>
      </w:r>
    </w:p>
    <w:p w14:paraId="70C9E8DC" w14:textId="77777777" w:rsidR="00B245F4" w:rsidRDefault="00B245F4" w:rsidP="00B245F4">
      <w:pPr>
        <w:pStyle w:val="Heading2"/>
        <w:spacing w:before="220" w:after="100"/>
        <w:rPr>
          <w:rFonts w:asciiTheme="minorHAnsi" w:eastAsiaTheme="minorEastAsia" w:hAnsiTheme="minorHAnsi" w:cstheme="minorBidi" w:hint="eastAsia"/>
          <w:b/>
          <w:bCs/>
          <w:color w:val="2E86C1"/>
          <w:sz w:val="24"/>
          <w:szCs w:val="24"/>
        </w:rPr>
      </w:pPr>
      <w:r w:rsidRPr="058CD0F4">
        <w:rPr>
          <w:rFonts w:asciiTheme="minorHAnsi" w:eastAsiaTheme="minorEastAsia" w:hAnsiTheme="minorHAnsi" w:cstheme="minorBidi"/>
          <w:b/>
          <w:bCs/>
          <w:color w:val="2E86C1"/>
          <w:sz w:val="24"/>
          <w:szCs w:val="24"/>
        </w:rPr>
        <w:t>The Journey and Context</w:t>
      </w:r>
    </w:p>
    <w:p w14:paraId="0CF720E2" w14:textId="77777777" w:rsidR="00B245F4" w:rsidRDefault="00B245F4" w:rsidP="00B245F4">
      <w:pPr>
        <w:spacing w:after="120" w:line="276" w:lineRule="auto"/>
        <w:rPr>
          <w:rFonts w:hint="eastAsia"/>
          <w:color w:val="333333"/>
          <w:sz w:val="21"/>
          <w:szCs w:val="21"/>
        </w:rPr>
      </w:pPr>
      <w:r w:rsidRPr="058CD0F4">
        <w:rPr>
          <w:color w:val="333333"/>
          <w:sz w:val="21"/>
          <w:szCs w:val="21"/>
        </w:rPr>
        <w:t>The CHAI framework draws on established approaches to ethical and child-centred technology design, including the Ethics by Design for AI (</w:t>
      </w:r>
      <w:proofErr w:type="spellStart"/>
      <w:r w:rsidRPr="058CD0F4">
        <w:rPr>
          <w:color w:val="333333"/>
          <w:sz w:val="21"/>
          <w:szCs w:val="21"/>
        </w:rPr>
        <w:t>EbD</w:t>
      </w:r>
      <w:proofErr w:type="spellEnd"/>
      <w:r w:rsidRPr="058CD0F4">
        <w:rPr>
          <w:color w:val="333333"/>
          <w:sz w:val="21"/>
          <w:szCs w:val="21"/>
        </w:rPr>
        <w:t>-AI) framework, the UNICEF/LEGO RITEC Digital Design Toolbox, and rights-by-design and playful-by-design principles. While these provide important guidance, CHAI focuses specifically on supporting designers’ reasoning processes by offering a structured way to engage with children’s agency during design. The framework was refined through three iterative pilot workshops with a child–AI design competition winner team.</w:t>
      </w:r>
    </w:p>
    <w:p w14:paraId="7FB5335F" w14:textId="77777777" w:rsidR="00B245F4" w:rsidRDefault="00B245F4" w:rsidP="00B245F4">
      <w:pPr>
        <w:pStyle w:val="Heading2"/>
        <w:spacing w:before="220" w:after="100"/>
        <w:rPr>
          <w:rFonts w:asciiTheme="minorHAnsi" w:eastAsiaTheme="minorEastAsia" w:hAnsiTheme="minorHAnsi" w:cstheme="minorBidi" w:hint="eastAsia"/>
          <w:b/>
          <w:bCs/>
          <w:color w:val="2E86C1"/>
          <w:sz w:val="24"/>
          <w:szCs w:val="24"/>
        </w:rPr>
      </w:pPr>
      <w:r w:rsidRPr="058CD0F4">
        <w:rPr>
          <w:rFonts w:asciiTheme="minorHAnsi" w:eastAsiaTheme="minorEastAsia" w:hAnsiTheme="minorHAnsi" w:cstheme="minorBidi"/>
          <w:b/>
          <w:bCs/>
          <w:color w:val="2E86C1"/>
          <w:sz w:val="24"/>
          <w:szCs w:val="24"/>
        </w:rPr>
        <w:t>Core Components</w:t>
      </w:r>
    </w:p>
    <w:p w14:paraId="6580C955" w14:textId="77777777" w:rsidR="00B245F4" w:rsidRDefault="00B245F4" w:rsidP="00B245F4">
      <w:pPr>
        <w:spacing w:after="120" w:line="276" w:lineRule="auto"/>
        <w:rPr>
          <w:rFonts w:hint="eastAsia"/>
          <w:color w:val="333333"/>
          <w:sz w:val="21"/>
          <w:szCs w:val="21"/>
        </w:rPr>
      </w:pPr>
      <w:r w:rsidRPr="058CD0F4">
        <w:rPr>
          <w:b/>
          <w:bCs/>
          <w:color w:val="333333"/>
          <w:sz w:val="21"/>
          <w:szCs w:val="21"/>
        </w:rPr>
        <w:t xml:space="preserve">Four types of </w:t>
      </w:r>
      <w:proofErr w:type="gramStart"/>
      <w:r w:rsidRPr="058CD0F4">
        <w:rPr>
          <w:b/>
          <w:bCs/>
          <w:color w:val="333333"/>
          <w:sz w:val="21"/>
          <w:szCs w:val="21"/>
        </w:rPr>
        <w:t>agency</w:t>
      </w:r>
      <w:proofErr w:type="gramEnd"/>
      <w:r w:rsidRPr="058CD0F4">
        <w:rPr>
          <w:b/>
          <w:bCs/>
          <w:color w:val="333333"/>
          <w:sz w:val="21"/>
          <w:szCs w:val="21"/>
        </w:rPr>
        <w:t xml:space="preserve"> as reasoning lenses. </w:t>
      </w:r>
      <w:r w:rsidRPr="058CD0F4">
        <w:rPr>
          <w:color w:val="333333"/>
          <w:sz w:val="21"/>
          <w:szCs w:val="21"/>
        </w:rPr>
        <w:t xml:space="preserve">Drawing on Bandura’s social cognitive theory and cross-disciplinary literature, the framework distinguishes four analytically distinct types of </w:t>
      </w:r>
      <w:proofErr w:type="gramStart"/>
      <w:r w:rsidRPr="058CD0F4">
        <w:rPr>
          <w:color w:val="333333"/>
          <w:sz w:val="21"/>
          <w:szCs w:val="21"/>
        </w:rPr>
        <w:t>agency</w:t>
      </w:r>
      <w:proofErr w:type="gramEnd"/>
      <w:r w:rsidRPr="058CD0F4">
        <w:rPr>
          <w:color w:val="333333"/>
          <w:sz w:val="21"/>
          <w:szCs w:val="21"/>
        </w:rPr>
        <w:t>. These function as lightweight prompts for considering how children’s agency is distributed across stakeholders and system components:</w:t>
      </w:r>
    </w:p>
    <w:p w14:paraId="18B8AB9B" w14:textId="77777777" w:rsidR="00B245F4" w:rsidRDefault="00B245F4" w:rsidP="00B245F4">
      <w:pPr>
        <w:pStyle w:val="ListParagraph"/>
        <w:numPr>
          <w:ilvl w:val="0"/>
          <w:numId w:val="2"/>
        </w:numPr>
        <w:spacing w:after="0" w:line="276" w:lineRule="auto"/>
        <w:ind w:left="540" w:hanging="270"/>
        <w:rPr>
          <w:rFonts w:hint="eastAsia"/>
          <w:color w:val="333333"/>
          <w:sz w:val="21"/>
          <w:szCs w:val="21"/>
        </w:rPr>
      </w:pPr>
      <w:r w:rsidRPr="058CD0F4">
        <w:rPr>
          <w:b/>
          <w:bCs/>
          <w:color w:val="333333"/>
          <w:sz w:val="21"/>
          <w:szCs w:val="21"/>
        </w:rPr>
        <w:t xml:space="preserve">Individual agency: </w:t>
      </w:r>
      <w:r w:rsidRPr="058CD0F4">
        <w:rPr>
          <w:color w:val="333333"/>
          <w:sz w:val="21"/>
          <w:szCs w:val="21"/>
        </w:rPr>
        <w:t>the child’s capacity to make choices and act independently within or through the system.</w:t>
      </w:r>
    </w:p>
    <w:p w14:paraId="7F9C1818" w14:textId="77777777" w:rsidR="00B245F4" w:rsidRDefault="00B245F4" w:rsidP="00B245F4">
      <w:pPr>
        <w:pStyle w:val="ListParagraph"/>
        <w:numPr>
          <w:ilvl w:val="0"/>
          <w:numId w:val="2"/>
        </w:numPr>
        <w:spacing w:after="0" w:line="276" w:lineRule="auto"/>
        <w:ind w:left="540" w:hanging="270"/>
        <w:rPr>
          <w:rFonts w:hint="eastAsia"/>
          <w:color w:val="333333"/>
          <w:sz w:val="21"/>
          <w:szCs w:val="21"/>
        </w:rPr>
      </w:pPr>
      <w:r w:rsidRPr="058CD0F4">
        <w:rPr>
          <w:b/>
          <w:bCs/>
          <w:color w:val="333333"/>
          <w:sz w:val="21"/>
          <w:szCs w:val="21"/>
        </w:rPr>
        <w:t xml:space="preserve">Co-agency: </w:t>
      </w:r>
      <w:r w:rsidRPr="058CD0F4">
        <w:rPr>
          <w:color w:val="333333"/>
          <w:sz w:val="21"/>
          <w:szCs w:val="21"/>
        </w:rPr>
        <w:t>control, responsibility, and influence over outcomes are shared between the child and others such as a parent, peer, or teacher.</w:t>
      </w:r>
    </w:p>
    <w:p w14:paraId="2255592A" w14:textId="77777777" w:rsidR="00B245F4" w:rsidRDefault="00B245F4" w:rsidP="00B245F4">
      <w:pPr>
        <w:pStyle w:val="ListParagraph"/>
        <w:numPr>
          <w:ilvl w:val="0"/>
          <w:numId w:val="2"/>
        </w:numPr>
        <w:spacing w:after="0" w:line="276" w:lineRule="auto"/>
        <w:ind w:left="540" w:hanging="270"/>
        <w:rPr>
          <w:rFonts w:hint="eastAsia"/>
          <w:color w:val="333333"/>
          <w:sz w:val="21"/>
          <w:szCs w:val="21"/>
        </w:rPr>
      </w:pPr>
      <w:r w:rsidRPr="058CD0F4">
        <w:rPr>
          <w:b/>
          <w:bCs/>
          <w:color w:val="333333"/>
          <w:sz w:val="21"/>
          <w:szCs w:val="21"/>
        </w:rPr>
        <w:t xml:space="preserve">Proxy agency: </w:t>
      </w:r>
      <w:r w:rsidRPr="058CD0F4">
        <w:rPr>
          <w:color w:val="333333"/>
          <w:sz w:val="21"/>
          <w:szCs w:val="21"/>
        </w:rPr>
        <w:t>others act on the child’s behalf (e.g. parents configuring settings), while the child’s voice and preferences should remain represented.</w:t>
      </w:r>
    </w:p>
    <w:p w14:paraId="3F4A7141" w14:textId="77777777" w:rsidR="00B245F4" w:rsidRDefault="00B245F4" w:rsidP="00B245F4">
      <w:pPr>
        <w:pStyle w:val="ListParagraph"/>
        <w:numPr>
          <w:ilvl w:val="0"/>
          <w:numId w:val="2"/>
        </w:numPr>
        <w:spacing w:after="0" w:line="276" w:lineRule="auto"/>
        <w:ind w:left="540" w:hanging="270"/>
        <w:rPr>
          <w:rFonts w:hint="eastAsia"/>
          <w:color w:val="333333"/>
          <w:sz w:val="21"/>
          <w:szCs w:val="21"/>
        </w:rPr>
      </w:pPr>
      <w:r w:rsidRPr="058CD0F4">
        <w:rPr>
          <w:b/>
          <w:bCs/>
          <w:color w:val="333333"/>
          <w:sz w:val="21"/>
          <w:szCs w:val="21"/>
        </w:rPr>
        <w:t xml:space="preserve">Collective agency: </w:t>
      </w:r>
      <w:r w:rsidRPr="058CD0F4">
        <w:rPr>
          <w:color w:val="333333"/>
          <w:sz w:val="21"/>
          <w:szCs w:val="21"/>
        </w:rPr>
        <w:t>children act together with peers, families, or communities to influence shared outcomes through coordinated effort.</w:t>
      </w:r>
    </w:p>
    <w:p w14:paraId="25E7B204" w14:textId="77777777" w:rsidR="00B245F4" w:rsidRDefault="00B245F4" w:rsidP="00B245F4">
      <w:pPr>
        <w:spacing w:after="120" w:line="276" w:lineRule="auto"/>
        <w:rPr>
          <w:rFonts w:hint="eastAsia"/>
          <w:color w:val="333333"/>
          <w:sz w:val="21"/>
          <w:szCs w:val="21"/>
        </w:rPr>
      </w:pPr>
      <w:r w:rsidRPr="058CD0F4">
        <w:rPr>
          <w:b/>
          <w:bCs/>
          <w:color w:val="333333"/>
          <w:sz w:val="21"/>
          <w:szCs w:val="21"/>
        </w:rPr>
        <w:t xml:space="preserve">Three levels of agency. </w:t>
      </w:r>
      <w:r w:rsidRPr="058CD0F4">
        <w:rPr>
          <w:color w:val="333333"/>
          <w:sz w:val="21"/>
          <w:szCs w:val="21"/>
        </w:rPr>
        <w:t>For each type, three levels (low, medium, high) describe degrees of children’s involvement, expressed from the child’s perspective. At a low level, the child’s role is primarily reactive. At a medium level, children can meaningfully influence interactions within bounded conditions. At a high level, children play an active role in shaping interactions and outcomes. Importantly, maximising agency is not always the optimal goal; tensions and trade-offs arise, and children’s best interests should guide decisions.</w:t>
      </w:r>
    </w:p>
    <w:p w14:paraId="44A51068" w14:textId="77777777" w:rsidR="00B245F4" w:rsidRDefault="00B245F4" w:rsidP="00B245F4">
      <w:pPr>
        <w:spacing w:after="120" w:line="276" w:lineRule="auto"/>
        <w:rPr>
          <w:rFonts w:hint="eastAsia"/>
          <w:color w:val="333333"/>
          <w:sz w:val="21"/>
          <w:szCs w:val="21"/>
        </w:rPr>
      </w:pPr>
      <w:r w:rsidRPr="058CD0F4">
        <w:rPr>
          <w:b/>
          <w:bCs/>
          <w:color w:val="333333"/>
          <w:sz w:val="21"/>
          <w:szCs w:val="21"/>
        </w:rPr>
        <w:t xml:space="preserve">A four-stage reasoning process. </w:t>
      </w:r>
      <w:r w:rsidRPr="058CD0F4">
        <w:rPr>
          <w:color w:val="333333"/>
          <w:sz w:val="21"/>
          <w:szCs w:val="21"/>
        </w:rPr>
        <w:t xml:space="preserve">Inspired by the </w:t>
      </w:r>
      <w:proofErr w:type="spellStart"/>
      <w:r w:rsidRPr="058CD0F4">
        <w:rPr>
          <w:color w:val="333333"/>
          <w:sz w:val="21"/>
          <w:szCs w:val="21"/>
        </w:rPr>
        <w:t>EbD</w:t>
      </w:r>
      <w:proofErr w:type="spellEnd"/>
      <w:r w:rsidRPr="058CD0F4">
        <w:rPr>
          <w:color w:val="333333"/>
          <w:sz w:val="21"/>
          <w:szCs w:val="21"/>
        </w:rPr>
        <w:t xml:space="preserve">-AI framework, CHAI supports designers through: </w:t>
      </w:r>
      <w:r w:rsidRPr="058CD0F4">
        <w:rPr>
          <w:b/>
          <w:bCs/>
          <w:color w:val="333333"/>
          <w:sz w:val="21"/>
          <w:szCs w:val="21"/>
        </w:rPr>
        <w:t>Assessment</w:t>
      </w:r>
      <w:r w:rsidRPr="058CD0F4">
        <w:rPr>
          <w:color w:val="333333"/>
          <w:sz w:val="21"/>
          <w:szCs w:val="21"/>
        </w:rPr>
        <w:t xml:space="preserve"> (articulating agency-related design goals and clarifying which forms of agency are valued, for whom, and why); </w:t>
      </w:r>
      <w:r w:rsidRPr="058CD0F4">
        <w:rPr>
          <w:b/>
          <w:bCs/>
          <w:color w:val="333333"/>
          <w:sz w:val="21"/>
          <w:szCs w:val="21"/>
        </w:rPr>
        <w:t>Mapping</w:t>
      </w:r>
      <w:r w:rsidRPr="058CD0F4">
        <w:rPr>
          <w:color w:val="333333"/>
          <w:sz w:val="21"/>
          <w:szCs w:val="21"/>
        </w:rPr>
        <w:t xml:space="preserve"> (linking agency types and levels to concrete system components and interactions via an agency mapping matrix); </w:t>
      </w:r>
      <w:r w:rsidRPr="058CD0F4">
        <w:rPr>
          <w:b/>
          <w:bCs/>
          <w:color w:val="333333"/>
          <w:sz w:val="21"/>
          <w:szCs w:val="21"/>
        </w:rPr>
        <w:t>Application</w:t>
      </w:r>
      <w:r w:rsidRPr="058CD0F4">
        <w:rPr>
          <w:color w:val="333333"/>
          <w:sz w:val="21"/>
          <w:szCs w:val="21"/>
        </w:rPr>
        <w:t xml:space="preserve"> (selecting consequential system functions and exploring redesigns to better support agency); and </w:t>
      </w:r>
      <w:r w:rsidRPr="058CD0F4">
        <w:rPr>
          <w:b/>
          <w:bCs/>
          <w:color w:val="333333"/>
          <w:sz w:val="21"/>
          <w:szCs w:val="21"/>
        </w:rPr>
        <w:t>Reflection</w:t>
      </w:r>
      <w:r w:rsidRPr="058CD0F4">
        <w:rPr>
          <w:color w:val="333333"/>
          <w:sz w:val="21"/>
          <w:szCs w:val="21"/>
        </w:rPr>
        <w:t xml:space="preserve"> (examining how reasoning evolved, surfacing tensions and constraints, and preparing for implementation).</w:t>
      </w:r>
    </w:p>
    <w:p w14:paraId="0B732E2A" w14:textId="77777777" w:rsidR="00B245F4" w:rsidRDefault="00B245F4" w:rsidP="00B245F4">
      <w:pPr>
        <w:pStyle w:val="Heading2"/>
        <w:spacing w:before="220" w:after="100"/>
        <w:rPr>
          <w:rFonts w:asciiTheme="minorHAnsi" w:eastAsiaTheme="minorEastAsia" w:hAnsiTheme="minorHAnsi" w:cstheme="minorBidi" w:hint="eastAsia"/>
          <w:b/>
          <w:bCs/>
          <w:color w:val="2E86C1"/>
          <w:sz w:val="24"/>
          <w:szCs w:val="24"/>
        </w:rPr>
      </w:pPr>
      <w:r w:rsidRPr="058CD0F4">
        <w:rPr>
          <w:rFonts w:asciiTheme="minorHAnsi" w:eastAsiaTheme="minorEastAsia" w:hAnsiTheme="minorHAnsi" w:cstheme="minorBidi"/>
          <w:b/>
          <w:bCs/>
          <w:color w:val="2E86C1"/>
          <w:sz w:val="24"/>
          <w:szCs w:val="24"/>
        </w:rPr>
        <w:t>Open-Source Resources</w:t>
      </w:r>
    </w:p>
    <w:p w14:paraId="5CBEC691" w14:textId="77777777" w:rsidR="00B245F4" w:rsidRDefault="00B245F4" w:rsidP="00B245F4">
      <w:pPr>
        <w:spacing w:after="120" w:line="276" w:lineRule="auto"/>
        <w:rPr>
          <w:rFonts w:hint="eastAsia"/>
          <w:color w:val="0563C1"/>
          <w:sz w:val="21"/>
          <w:szCs w:val="21"/>
          <w:u w:val="single"/>
        </w:rPr>
      </w:pPr>
      <w:r w:rsidRPr="058CD0F4">
        <w:rPr>
          <w:color w:val="333333"/>
          <w:sz w:val="21"/>
          <w:szCs w:val="21"/>
        </w:rPr>
        <w:t xml:space="preserve">The CHAI framework materials, including workshop templates, the agency mapping matrix, and case study examples, are openly available at: </w:t>
      </w:r>
      <w:hyperlink r:id="rId5">
        <w:r w:rsidRPr="058CD0F4">
          <w:rPr>
            <w:rStyle w:val="Hyperlink"/>
            <w:sz w:val="21"/>
            <w:szCs w:val="21"/>
          </w:rPr>
          <w:t>https://github.com/junszhao/ethical-design</w:t>
        </w:r>
      </w:hyperlink>
      <w:r w:rsidRPr="058CD0F4">
        <w:rPr>
          <w:color w:val="333333"/>
          <w:sz w:val="21"/>
          <w:szCs w:val="21"/>
        </w:rPr>
        <w:t xml:space="preserve"> </w:t>
      </w:r>
    </w:p>
    <w:p w14:paraId="1DD48331" w14:textId="77777777" w:rsidR="00B245F4" w:rsidRDefault="00B245F4" w:rsidP="00B245F4">
      <w:pPr>
        <w:pStyle w:val="Heading1"/>
        <w:spacing w:before="300" w:after="140"/>
        <w:rPr>
          <w:rFonts w:asciiTheme="minorHAnsi" w:eastAsiaTheme="minorEastAsia" w:hAnsiTheme="minorHAnsi" w:cstheme="minorBidi" w:hint="eastAsia"/>
          <w:b/>
          <w:bCs/>
          <w:color w:val="1B4F72"/>
          <w:sz w:val="28"/>
          <w:szCs w:val="28"/>
        </w:rPr>
      </w:pPr>
      <w:r w:rsidRPr="058CD0F4">
        <w:rPr>
          <w:rFonts w:asciiTheme="minorHAnsi" w:eastAsiaTheme="minorEastAsia" w:hAnsiTheme="minorHAnsi" w:cstheme="minorBidi"/>
          <w:b/>
          <w:bCs/>
          <w:color w:val="1B4F72"/>
          <w:sz w:val="28"/>
          <w:szCs w:val="28"/>
        </w:rPr>
        <w:lastRenderedPageBreak/>
        <w:t>3. Findings from Our Engagement with Designers</w:t>
      </w:r>
    </w:p>
    <w:p w14:paraId="7CB9B275" w14:textId="77777777" w:rsidR="00B245F4" w:rsidRDefault="00B245F4" w:rsidP="00B245F4">
      <w:pPr>
        <w:pStyle w:val="Heading2"/>
        <w:spacing w:before="220" w:after="100"/>
        <w:rPr>
          <w:rFonts w:asciiTheme="minorHAnsi" w:eastAsiaTheme="minorEastAsia" w:hAnsiTheme="minorHAnsi" w:cstheme="minorBidi" w:hint="eastAsia"/>
          <w:b/>
          <w:bCs/>
          <w:color w:val="2E86C1"/>
          <w:sz w:val="24"/>
          <w:szCs w:val="24"/>
        </w:rPr>
      </w:pPr>
      <w:r w:rsidRPr="058CD0F4">
        <w:rPr>
          <w:rFonts w:asciiTheme="minorHAnsi" w:eastAsiaTheme="minorEastAsia" w:hAnsiTheme="minorHAnsi" w:cstheme="minorBidi"/>
          <w:b/>
          <w:bCs/>
          <w:color w:val="2E86C1"/>
          <w:sz w:val="24"/>
          <w:szCs w:val="24"/>
        </w:rPr>
        <w:t>Who, When, and How</w:t>
      </w:r>
    </w:p>
    <w:p w14:paraId="7B003387" w14:textId="77777777" w:rsidR="00B245F4" w:rsidRDefault="00B245F4" w:rsidP="00B245F4">
      <w:pPr>
        <w:spacing w:after="120" w:line="276" w:lineRule="auto"/>
        <w:rPr>
          <w:rFonts w:hint="eastAsia"/>
          <w:color w:val="333333"/>
          <w:sz w:val="21"/>
          <w:szCs w:val="21"/>
        </w:rPr>
      </w:pPr>
      <w:r w:rsidRPr="058CD0F4">
        <w:rPr>
          <w:color w:val="333333"/>
          <w:sz w:val="21"/>
          <w:szCs w:val="21"/>
        </w:rPr>
        <w:t>We conducted participatory workshops with four small design teams (nine designers in total) who had previously taken part in child–AI design competitions. Participants included undergraduate, Master’s, and doctoral students with backgrounds in education, design, and engineering. All teams entered with an existing child-focused AI project. Workshops lasted 60—90 minutes, conducted remotely via Microsoft Teams with Figma for collaborative design. Each session followed the four-stage CHAI reasoning process, with a researcher facilitating while teams applied the framework independently.</w:t>
      </w:r>
    </w:p>
    <w:p w14:paraId="51C5BA27" w14:textId="77777777" w:rsidR="00B245F4" w:rsidRDefault="00B245F4" w:rsidP="00B245F4">
      <w:pPr>
        <w:pStyle w:val="Heading2"/>
        <w:spacing w:before="220" w:after="100"/>
        <w:rPr>
          <w:rFonts w:asciiTheme="minorHAnsi" w:eastAsiaTheme="minorEastAsia" w:hAnsiTheme="minorHAnsi" w:cstheme="minorBidi" w:hint="eastAsia"/>
          <w:b/>
          <w:bCs/>
          <w:color w:val="2E86C1"/>
          <w:sz w:val="24"/>
          <w:szCs w:val="24"/>
        </w:rPr>
      </w:pPr>
      <w:r w:rsidRPr="058CD0F4">
        <w:rPr>
          <w:rFonts w:asciiTheme="minorHAnsi" w:eastAsiaTheme="minorEastAsia" w:hAnsiTheme="minorHAnsi" w:cstheme="minorBidi"/>
          <w:b/>
          <w:bCs/>
          <w:color w:val="2E86C1"/>
          <w:sz w:val="24"/>
          <w:szCs w:val="24"/>
        </w:rPr>
        <w:t xml:space="preserve">What Worked Well </w:t>
      </w:r>
    </w:p>
    <w:p w14:paraId="29834A9A" w14:textId="77777777" w:rsidR="00B245F4" w:rsidRDefault="00B245F4" w:rsidP="00B245F4">
      <w:pPr>
        <w:spacing w:after="120" w:line="276" w:lineRule="auto"/>
        <w:rPr>
          <w:rFonts w:hint="eastAsia"/>
          <w:color w:val="333333"/>
          <w:sz w:val="21"/>
          <w:szCs w:val="21"/>
        </w:rPr>
      </w:pPr>
      <w:r w:rsidRPr="058CD0F4">
        <w:rPr>
          <w:color w:val="333333"/>
          <w:sz w:val="21"/>
          <w:szCs w:val="21"/>
        </w:rPr>
        <w:t>A key benefit was surfacing misalignments early. Teams discovered that choices made for efficiency or protection (e.g., adult-first workflows, restrictions, or structured prompts) could unintentionally remove children from the interaction loop or narrow meaningful choice. Participants described the process as “more complicated,” but largely in a positive way: the complexity felt productive because it exposed trade-offs that are otherwise easy to miss, such as consent, privacy, and the balance between parental responsibility and children’s participation. Overall, CHAI improved designers’ confidence in articulating and communicating agency-related trade-offs, even when they were not ready to fully resolve them.</w:t>
      </w:r>
    </w:p>
    <w:p w14:paraId="2CD1C705" w14:textId="77777777" w:rsidR="00B245F4" w:rsidRDefault="00B245F4" w:rsidP="00B245F4">
      <w:pPr>
        <w:pStyle w:val="Heading2"/>
        <w:spacing w:before="220" w:after="100"/>
        <w:rPr>
          <w:rFonts w:asciiTheme="minorHAnsi" w:eastAsiaTheme="minorEastAsia" w:hAnsiTheme="minorHAnsi" w:cstheme="minorBidi" w:hint="eastAsia"/>
          <w:b/>
          <w:bCs/>
          <w:color w:val="2E86C1"/>
          <w:sz w:val="24"/>
          <w:szCs w:val="24"/>
        </w:rPr>
      </w:pPr>
      <w:r w:rsidRPr="058CD0F4">
        <w:rPr>
          <w:rFonts w:asciiTheme="minorHAnsi" w:eastAsiaTheme="minorEastAsia" w:hAnsiTheme="minorHAnsi" w:cstheme="minorBidi"/>
          <w:b/>
          <w:bCs/>
          <w:color w:val="2E86C1"/>
          <w:sz w:val="24"/>
          <w:szCs w:val="24"/>
        </w:rPr>
        <w:t>Barriers and Challenges</w:t>
      </w:r>
    </w:p>
    <w:p w14:paraId="06CCD2D4" w14:textId="77777777" w:rsidR="00B245F4" w:rsidRDefault="00B245F4" w:rsidP="00B245F4">
      <w:pPr>
        <w:spacing w:after="120" w:line="276" w:lineRule="auto"/>
        <w:rPr>
          <w:rFonts w:hint="eastAsia"/>
          <w:color w:val="333333"/>
          <w:sz w:val="21"/>
          <w:szCs w:val="21"/>
        </w:rPr>
      </w:pPr>
      <w:r w:rsidRPr="058CD0F4">
        <w:rPr>
          <w:color w:val="333333"/>
          <w:sz w:val="21"/>
          <w:szCs w:val="21"/>
        </w:rPr>
        <w:t>The main friction points were conceptual boundaries, operationalisation, and effort. Designers frequently struggled to distinguish co-agency from proxy agency—especially when adults configure settings or make decisions “for the child.” The question often became not whether adults are involved, but who ultimately holds power and whether the child can influence, contest, or revise outcomes.</w:t>
      </w:r>
    </w:p>
    <w:p w14:paraId="7AC0B17B" w14:textId="77777777" w:rsidR="00B245F4" w:rsidRDefault="00B245F4" w:rsidP="00B245F4">
      <w:pPr>
        <w:spacing w:after="120" w:line="276" w:lineRule="auto"/>
        <w:rPr>
          <w:rFonts w:hint="eastAsia"/>
        </w:rPr>
      </w:pPr>
      <w:r w:rsidRPr="058CD0F4">
        <w:rPr>
          <w:color w:val="333333"/>
          <w:sz w:val="21"/>
          <w:szCs w:val="21"/>
        </w:rPr>
        <w:t xml:space="preserve">While CHAI strengthened awareness and reasoning, translating insights into specific features remained difficult. Designers could identify agency tensions but felt less certain about what concrete interaction patterns, settings, or workflows would best address them, particularly under constraints like child age differences, safeguarding obligations, and limited development time. Finally, systematically annotating multiple functions across types and levels was cognitively demanding. Participants suggested that curated examples, a case library, or tool support could reduce overhead while preserving the benefits of structured reasoning. </w:t>
      </w:r>
    </w:p>
    <w:p w14:paraId="4D65AACD" w14:textId="77777777" w:rsidR="00B245F4" w:rsidRDefault="00B245F4" w:rsidP="00B245F4">
      <w:pPr>
        <w:rPr>
          <w:b/>
          <w:bCs/>
          <w:color w:val="1B4F72"/>
          <w:sz w:val="28"/>
          <w:szCs w:val="28"/>
        </w:rPr>
      </w:pPr>
      <w:r w:rsidRPr="058CD0F4">
        <w:rPr>
          <w:b/>
          <w:bCs/>
          <w:color w:val="1B4F72"/>
          <w:sz w:val="28"/>
          <w:szCs w:val="28"/>
        </w:rPr>
        <w:t>4. Findings from Engagement with Policymakers</w:t>
      </w:r>
      <w:r w:rsidRPr="1799AE0D">
        <w:rPr>
          <w:b/>
          <w:bCs/>
          <w:color w:val="1B4F72"/>
          <w:sz w:val="28"/>
          <w:szCs w:val="28"/>
        </w:rPr>
        <w:t xml:space="preserve"> (TBC)</w:t>
      </w:r>
    </w:p>
    <w:p w14:paraId="505662B2" w14:textId="77777777" w:rsidR="00B245F4" w:rsidRDefault="00B245F4" w:rsidP="00B245F4">
      <w:pPr>
        <w:pStyle w:val="Heading2"/>
        <w:spacing w:before="220" w:after="100"/>
        <w:rPr>
          <w:rFonts w:asciiTheme="minorHAnsi" w:eastAsiaTheme="minorEastAsia" w:hAnsiTheme="minorHAnsi" w:cstheme="minorBidi" w:hint="eastAsia"/>
          <w:b/>
          <w:bCs/>
          <w:color w:val="2E86C1"/>
          <w:sz w:val="24"/>
          <w:szCs w:val="24"/>
        </w:rPr>
      </w:pPr>
      <w:r w:rsidRPr="058CD0F4">
        <w:rPr>
          <w:rFonts w:asciiTheme="minorHAnsi" w:eastAsiaTheme="minorEastAsia" w:hAnsiTheme="minorHAnsi" w:cstheme="minorBidi"/>
          <w:b/>
          <w:bCs/>
          <w:color w:val="2E86C1"/>
          <w:sz w:val="24"/>
          <w:szCs w:val="24"/>
        </w:rPr>
        <w:t>Who, When, How</w:t>
      </w:r>
    </w:p>
    <w:p w14:paraId="1D1539E8" w14:textId="77777777" w:rsidR="00B245F4" w:rsidRDefault="00B245F4" w:rsidP="00B245F4">
      <w:pPr>
        <w:pStyle w:val="Heading1"/>
        <w:spacing w:before="300" w:after="140"/>
        <w:rPr>
          <w:rFonts w:asciiTheme="minorHAnsi" w:eastAsiaTheme="minorEastAsia" w:hAnsiTheme="minorHAnsi" w:cstheme="minorBidi" w:hint="eastAsia"/>
          <w:b/>
          <w:bCs/>
          <w:color w:val="1B4F72"/>
          <w:sz w:val="28"/>
          <w:szCs w:val="28"/>
        </w:rPr>
      </w:pPr>
      <w:r w:rsidRPr="058CD0F4">
        <w:rPr>
          <w:rFonts w:asciiTheme="minorHAnsi" w:eastAsiaTheme="minorEastAsia" w:hAnsiTheme="minorHAnsi" w:cstheme="minorBidi"/>
          <w:b/>
          <w:bCs/>
          <w:color w:val="1B4F72"/>
          <w:sz w:val="28"/>
          <w:szCs w:val="28"/>
        </w:rPr>
        <w:t>5. Future Steps</w:t>
      </w:r>
    </w:p>
    <w:p w14:paraId="525B3AB1" w14:textId="77777777" w:rsidR="00B245F4" w:rsidRDefault="00B245F4" w:rsidP="00B245F4">
      <w:pPr>
        <w:spacing w:after="120" w:line="276" w:lineRule="auto"/>
        <w:rPr>
          <w:rFonts w:hint="eastAsia"/>
          <w:color w:val="333333"/>
          <w:sz w:val="21"/>
          <w:szCs w:val="21"/>
        </w:rPr>
      </w:pPr>
      <w:r w:rsidRPr="058CD0F4">
        <w:rPr>
          <w:color w:val="333333"/>
          <w:sz w:val="21"/>
          <w:szCs w:val="21"/>
        </w:rPr>
        <w:t>Our workshops demonstrate that the CHAI framework has genuine potential as a cognitive scaffold for agency-oriented design reasoning. Rather than introducing new ethical principles, it supports designers in making their existing value commitments explicit and actionable. Key directions for future development include:</w:t>
      </w:r>
    </w:p>
    <w:p w14:paraId="10E78819" w14:textId="77777777" w:rsidR="00B245F4" w:rsidRDefault="00B245F4" w:rsidP="00B245F4">
      <w:pPr>
        <w:pStyle w:val="ListParagraph"/>
        <w:numPr>
          <w:ilvl w:val="0"/>
          <w:numId w:val="1"/>
        </w:numPr>
        <w:spacing w:after="0" w:line="276" w:lineRule="auto"/>
        <w:ind w:left="540" w:hanging="270"/>
        <w:rPr>
          <w:rFonts w:hint="eastAsia"/>
          <w:color w:val="333333"/>
          <w:sz w:val="21"/>
          <w:szCs w:val="21"/>
        </w:rPr>
      </w:pPr>
      <w:r w:rsidRPr="058CD0F4">
        <w:rPr>
          <w:b/>
          <w:bCs/>
          <w:color w:val="333333"/>
          <w:sz w:val="21"/>
          <w:szCs w:val="21"/>
        </w:rPr>
        <w:lastRenderedPageBreak/>
        <w:t xml:space="preserve">Expanding and diversifying evaluation </w:t>
      </w:r>
      <w:r w:rsidRPr="058CD0F4">
        <w:rPr>
          <w:color w:val="333333"/>
          <w:sz w:val="21"/>
          <w:szCs w:val="21"/>
        </w:rPr>
        <w:t>across levels of design expertise, professional contexts, target child age groups, and AI application domains – including how experienced industry practitioners engage with the framework under commercial constraints.</w:t>
      </w:r>
    </w:p>
    <w:p w14:paraId="1D5CDADC" w14:textId="77777777" w:rsidR="00B245F4" w:rsidRDefault="00B245F4" w:rsidP="00B245F4">
      <w:pPr>
        <w:pStyle w:val="ListParagraph"/>
        <w:numPr>
          <w:ilvl w:val="0"/>
          <w:numId w:val="1"/>
        </w:numPr>
        <w:spacing w:after="0" w:line="276" w:lineRule="auto"/>
        <w:ind w:left="540" w:hanging="270"/>
        <w:rPr>
          <w:rFonts w:hint="eastAsia"/>
          <w:color w:val="333333"/>
          <w:sz w:val="21"/>
          <w:szCs w:val="21"/>
        </w:rPr>
      </w:pPr>
      <w:r w:rsidRPr="058CD0F4">
        <w:rPr>
          <w:b/>
          <w:bCs/>
          <w:color w:val="333333"/>
          <w:sz w:val="21"/>
          <w:szCs w:val="21"/>
        </w:rPr>
        <w:t xml:space="preserve">Developing AI-supported design tools </w:t>
      </w:r>
      <w:r w:rsidRPr="058CD0F4">
        <w:rPr>
          <w:color w:val="333333"/>
          <w:sz w:val="21"/>
          <w:szCs w:val="21"/>
        </w:rPr>
        <w:t>that guide designers through the reasoning process in real time, flagging potential misalignments between stated values and design structures, and suggesting relevant agency considerations based on system descriptions.</w:t>
      </w:r>
    </w:p>
    <w:p w14:paraId="0E44F11B" w14:textId="77777777" w:rsidR="00B245F4" w:rsidRDefault="00B245F4" w:rsidP="00B245F4">
      <w:pPr>
        <w:pStyle w:val="ListParagraph"/>
        <w:numPr>
          <w:ilvl w:val="0"/>
          <w:numId w:val="1"/>
        </w:numPr>
        <w:spacing w:after="0" w:line="276" w:lineRule="auto"/>
        <w:ind w:left="540" w:hanging="270"/>
        <w:rPr>
          <w:rFonts w:hint="eastAsia"/>
          <w:color w:val="333333"/>
          <w:sz w:val="21"/>
          <w:szCs w:val="21"/>
        </w:rPr>
      </w:pPr>
      <w:r w:rsidRPr="058CD0F4">
        <w:rPr>
          <w:b/>
          <w:bCs/>
          <w:color w:val="333333"/>
          <w:sz w:val="21"/>
          <w:szCs w:val="21"/>
        </w:rPr>
        <w:t xml:space="preserve">Building a case study library </w:t>
      </w:r>
      <w:r w:rsidRPr="058CD0F4">
        <w:rPr>
          <w:color w:val="333333"/>
          <w:sz w:val="21"/>
          <w:szCs w:val="21"/>
        </w:rPr>
        <w:t>of concrete examples showing how different child–AI systems have navigated agency trade-offs in practice, to support learning and calibration across design contexts.</w:t>
      </w:r>
    </w:p>
    <w:p w14:paraId="05E261B8" w14:textId="77777777" w:rsidR="00B245F4" w:rsidRDefault="00B245F4" w:rsidP="00B245F4">
      <w:pPr>
        <w:pStyle w:val="ListParagraph"/>
        <w:numPr>
          <w:ilvl w:val="0"/>
          <w:numId w:val="1"/>
        </w:numPr>
        <w:spacing w:after="0" w:line="276" w:lineRule="auto"/>
        <w:ind w:left="540" w:hanging="270"/>
        <w:rPr>
          <w:rFonts w:hint="eastAsia"/>
          <w:color w:val="333333"/>
          <w:sz w:val="21"/>
          <w:szCs w:val="21"/>
        </w:rPr>
      </w:pPr>
      <w:r w:rsidRPr="058CD0F4">
        <w:rPr>
          <w:b/>
          <w:bCs/>
          <w:color w:val="333333"/>
          <w:sz w:val="21"/>
          <w:szCs w:val="21"/>
        </w:rPr>
        <w:t xml:space="preserve">Connecting to longitudinal evidence </w:t>
      </w:r>
      <w:r w:rsidRPr="058CD0F4">
        <w:rPr>
          <w:color w:val="333333"/>
          <w:sz w:val="21"/>
          <w:szCs w:val="21"/>
        </w:rPr>
        <w:t>on how children’s agency develops over time in AI-mediated environments, integrating insights from the wider CHAILD project’s observational and empirical studies.</w:t>
      </w:r>
    </w:p>
    <w:p w14:paraId="58CB7934" w14:textId="77777777" w:rsidR="00B245F4" w:rsidRDefault="00B245F4" w:rsidP="00B245F4">
      <w:pPr>
        <w:spacing w:after="120" w:line="276" w:lineRule="auto"/>
        <w:rPr>
          <w:rFonts w:hint="eastAsia"/>
          <w:color w:val="333333"/>
          <w:sz w:val="21"/>
          <w:szCs w:val="21"/>
        </w:rPr>
      </w:pPr>
      <w:r w:rsidRPr="058CD0F4">
        <w:rPr>
          <w:color w:val="333333"/>
          <w:sz w:val="21"/>
          <w:szCs w:val="21"/>
        </w:rPr>
        <w:t>We believe that designing for children’s agency is fundamentally a reasoning challenge rather than an outcome-oriented problem. Supporting this reasoning requires tools that embrace complexity, make tensions visible, and enable negotiation rather than simplification. The CHAI framework is a first step toward making that practice structured, communicable, and grounded in the lived experiences of the children these systems are built to serve.</w:t>
      </w:r>
    </w:p>
    <w:p w14:paraId="3372A0FC" w14:textId="77777777" w:rsidR="00B53BDD" w:rsidRDefault="00B53BDD"/>
    <w:sectPr w:rsidR="00B53BDD" w:rsidSect="00B245F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790E"/>
    <w:multiLevelType w:val="hybridMultilevel"/>
    <w:tmpl w:val="FFFFFFFF"/>
    <w:lvl w:ilvl="0" w:tplc="F1E45A32">
      <w:start w:val="1"/>
      <w:numFmt w:val="decimal"/>
      <w:lvlText w:val="•"/>
      <w:lvlJc w:val="left"/>
      <w:pPr>
        <w:ind w:left="720" w:hanging="360"/>
      </w:pPr>
    </w:lvl>
    <w:lvl w:ilvl="1" w:tplc="8220A69C">
      <w:start w:val="1"/>
      <w:numFmt w:val="lowerLetter"/>
      <w:lvlText w:val="%2."/>
      <w:lvlJc w:val="left"/>
      <w:pPr>
        <w:ind w:left="1440" w:hanging="360"/>
      </w:pPr>
    </w:lvl>
    <w:lvl w:ilvl="2" w:tplc="3606F90A">
      <w:start w:val="1"/>
      <w:numFmt w:val="lowerRoman"/>
      <w:lvlText w:val="%3."/>
      <w:lvlJc w:val="right"/>
      <w:pPr>
        <w:ind w:left="2160" w:hanging="180"/>
      </w:pPr>
    </w:lvl>
    <w:lvl w:ilvl="3" w:tplc="92462FB4">
      <w:start w:val="1"/>
      <w:numFmt w:val="decimal"/>
      <w:lvlText w:val="%4."/>
      <w:lvlJc w:val="left"/>
      <w:pPr>
        <w:ind w:left="2880" w:hanging="360"/>
      </w:pPr>
    </w:lvl>
    <w:lvl w:ilvl="4" w:tplc="76921B2C">
      <w:start w:val="1"/>
      <w:numFmt w:val="lowerLetter"/>
      <w:lvlText w:val="%5."/>
      <w:lvlJc w:val="left"/>
      <w:pPr>
        <w:ind w:left="3600" w:hanging="360"/>
      </w:pPr>
    </w:lvl>
    <w:lvl w:ilvl="5" w:tplc="CEC25FCE">
      <w:start w:val="1"/>
      <w:numFmt w:val="lowerRoman"/>
      <w:lvlText w:val="%6."/>
      <w:lvlJc w:val="right"/>
      <w:pPr>
        <w:ind w:left="4320" w:hanging="180"/>
      </w:pPr>
    </w:lvl>
    <w:lvl w:ilvl="6" w:tplc="B608C848">
      <w:start w:val="1"/>
      <w:numFmt w:val="decimal"/>
      <w:lvlText w:val="%7."/>
      <w:lvlJc w:val="left"/>
      <w:pPr>
        <w:ind w:left="5040" w:hanging="360"/>
      </w:pPr>
    </w:lvl>
    <w:lvl w:ilvl="7" w:tplc="1A3827F0">
      <w:start w:val="1"/>
      <w:numFmt w:val="lowerLetter"/>
      <w:lvlText w:val="%8."/>
      <w:lvlJc w:val="left"/>
      <w:pPr>
        <w:ind w:left="5760" w:hanging="360"/>
      </w:pPr>
    </w:lvl>
    <w:lvl w:ilvl="8" w:tplc="809E9784">
      <w:start w:val="1"/>
      <w:numFmt w:val="lowerRoman"/>
      <w:lvlText w:val="%9."/>
      <w:lvlJc w:val="right"/>
      <w:pPr>
        <w:ind w:left="6480" w:hanging="180"/>
      </w:pPr>
    </w:lvl>
  </w:abstractNum>
  <w:abstractNum w:abstractNumId="1" w15:restartNumberingAfterBreak="0">
    <w:nsid w:val="2B0609C4"/>
    <w:multiLevelType w:val="hybridMultilevel"/>
    <w:tmpl w:val="FFFFFFFF"/>
    <w:lvl w:ilvl="0" w:tplc="EE3AF040">
      <w:start w:val="1"/>
      <w:numFmt w:val="decimal"/>
      <w:lvlText w:val="•"/>
      <w:lvlJc w:val="left"/>
      <w:pPr>
        <w:ind w:left="720" w:hanging="360"/>
      </w:pPr>
    </w:lvl>
    <w:lvl w:ilvl="1" w:tplc="4608F4F2">
      <w:start w:val="1"/>
      <w:numFmt w:val="lowerLetter"/>
      <w:lvlText w:val="%2."/>
      <w:lvlJc w:val="left"/>
      <w:pPr>
        <w:ind w:left="1440" w:hanging="360"/>
      </w:pPr>
    </w:lvl>
    <w:lvl w:ilvl="2" w:tplc="917CC4F4">
      <w:start w:val="1"/>
      <w:numFmt w:val="lowerRoman"/>
      <w:lvlText w:val="%3."/>
      <w:lvlJc w:val="right"/>
      <w:pPr>
        <w:ind w:left="2160" w:hanging="180"/>
      </w:pPr>
    </w:lvl>
    <w:lvl w:ilvl="3" w:tplc="5E7639BC">
      <w:start w:val="1"/>
      <w:numFmt w:val="decimal"/>
      <w:lvlText w:val="%4."/>
      <w:lvlJc w:val="left"/>
      <w:pPr>
        <w:ind w:left="2880" w:hanging="360"/>
      </w:pPr>
    </w:lvl>
    <w:lvl w:ilvl="4" w:tplc="6A5E296C">
      <w:start w:val="1"/>
      <w:numFmt w:val="lowerLetter"/>
      <w:lvlText w:val="%5."/>
      <w:lvlJc w:val="left"/>
      <w:pPr>
        <w:ind w:left="3600" w:hanging="360"/>
      </w:pPr>
    </w:lvl>
    <w:lvl w:ilvl="5" w:tplc="66762222">
      <w:start w:val="1"/>
      <w:numFmt w:val="lowerRoman"/>
      <w:lvlText w:val="%6."/>
      <w:lvlJc w:val="right"/>
      <w:pPr>
        <w:ind w:left="4320" w:hanging="180"/>
      </w:pPr>
    </w:lvl>
    <w:lvl w:ilvl="6" w:tplc="D5FE1ACE">
      <w:start w:val="1"/>
      <w:numFmt w:val="decimal"/>
      <w:lvlText w:val="%7."/>
      <w:lvlJc w:val="left"/>
      <w:pPr>
        <w:ind w:left="5040" w:hanging="360"/>
      </w:pPr>
    </w:lvl>
    <w:lvl w:ilvl="7" w:tplc="B23C5572">
      <w:start w:val="1"/>
      <w:numFmt w:val="lowerLetter"/>
      <w:lvlText w:val="%8."/>
      <w:lvlJc w:val="left"/>
      <w:pPr>
        <w:ind w:left="5760" w:hanging="360"/>
      </w:pPr>
    </w:lvl>
    <w:lvl w:ilvl="8" w:tplc="4F9CAB0C">
      <w:start w:val="1"/>
      <w:numFmt w:val="lowerRoman"/>
      <w:lvlText w:val="%9."/>
      <w:lvlJc w:val="right"/>
      <w:pPr>
        <w:ind w:left="6480" w:hanging="180"/>
      </w:pPr>
    </w:lvl>
  </w:abstractNum>
  <w:num w:numId="1" w16cid:durableId="1056780897">
    <w:abstractNumId w:val="0"/>
  </w:num>
  <w:num w:numId="2" w16cid:durableId="1836873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F4"/>
    <w:rsid w:val="00353B3D"/>
    <w:rsid w:val="003912D9"/>
    <w:rsid w:val="005B0722"/>
    <w:rsid w:val="005B6E84"/>
    <w:rsid w:val="008C1D9D"/>
    <w:rsid w:val="00902D6B"/>
    <w:rsid w:val="00B245F4"/>
    <w:rsid w:val="00B53BDD"/>
    <w:rsid w:val="00DD3A04"/>
    <w:rsid w:val="00EB6B7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3DBA5A"/>
  <w15:chartTrackingRefBased/>
  <w15:docId w15:val="{8C5A50E0-F38A-6A4C-9C98-B0BAE92D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5F4"/>
    <w:pPr>
      <w:spacing w:line="279" w:lineRule="auto"/>
    </w:pPr>
    <w:rPr>
      <w:kern w:val="0"/>
      <w:lang w:val="en-GB" w:eastAsia="ja-JP"/>
      <w14:ligatures w14:val="none"/>
    </w:rPr>
  </w:style>
  <w:style w:type="paragraph" w:styleId="Heading1">
    <w:name w:val="heading 1"/>
    <w:basedOn w:val="Normal"/>
    <w:next w:val="Normal"/>
    <w:link w:val="Heading1Char"/>
    <w:uiPriority w:val="9"/>
    <w:qFormat/>
    <w:rsid w:val="00B24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4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5F4"/>
    <w:rPr>
      <w:rFonts w:eastAsiaTheme="majorEastAsia" w:cstheme="majorBidi"/>
      <w:color w:val="272727" w:themeColor="text1" w:themeTint="D8"/>
    </w:rPr>
  </w:style>
  <w:style w:type="paragraph" w:styleId="Title">
    <w:name w:val="Title"/>
    <w:basedOn w:val="Normal"/>
    <w:next w:val="Normal"/>
    <w:link w:val="TitleChar"/>
    <w:uiPriority w:val="10"/>
    <w:qFormat/>
    <w:rsid w:val="00B24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5F4"/>
    <w:pPr>
      <w:spacing w:before="160"/>
      <w:jc w:val="center"/>
    </w:pPr>
    <w:rPr>
      <w:i/>
      <w:iCs/>
      <w:color w:val="404040" w:themeColor="text1" w:themeTint="BF"/>
    </w:rPr>
  </w:style>
  <w:style w:type="character" w:customStyle="1" w:styleId="QuoteChar">
    <w:name w:val="Quote Char"/>
    <w:basedOn w:val="DefaultParagraphFont"/>
    <w:link w:val="Quote"/>
    <w:uiPriority w:val="29"/>
    <w:rsid w:val="00B245F4"/>
    <w:rPr>
      <w:i/>
      <w:iCs/>
      <w:color w:val="404040" w:themeColor="text1" w:themeTint="BF"/>
    </w:rPr>
  </w:style>
  <w:style w:type="paragraph" w:styleId="ListParagraph">
    <w:name w:val="List Paragraph"/>
    <w:basedOn w:val="Normal"/>
    <w:uiPriority w:val="34"/>
    <w:qFormat/>
    <w:rsid w:val="00B245F4"/>
    <w:pPr>
      <w:ind w:left="720"/>
      <w:contextualSpacing/>
    </w:pPr>
  </w:style>
  <w:style w:type="character" w:styleId="IntenseEmphasis">
    <w:name w:val="Intense Emphasis"/>
    <w:basedOn w:val="DefaultParagraphFont"/>
    <w:uiPriority w:val="21"/>
    <w:qFormat/>
    <w:rsid w:val="00B245F4"/>
    <w:rPr>
      <w:i/>
      <w:iCs/>
      <w:color w:val="0F4761" w:themeColor="accent1" w:themeShade="BF"/>
    </w:rPr>
  </w:style>
  <w:style w:type="paragraph" w:styleId="IntenseQuote">
    <w:name w:val="Intense Quote"/>
    <w:basedOn w:val="Normal"/>
    <w:next w:val="Normal"/>
    <w:link w:val="IntenseQuoteChar"/>
    <w:uiPriority w:val="30"/>
    <w:qFormat/>
    <w:rsid w:val="00B24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5F4"/>
    <w:rPr>
      <w:i/>
      <w:iCs/>
      <w:color w:val="0F4761" w:themeColor="accent1" w:themeShade="BF"/>
    </w:rPr>
  </w:style>
  <w:style w:type="character" w:styleId="IntenseReference">
    <w:name w:val="Intense Reference"/>
    <w:basedOn w:val="DefaultParagraphFont"/>
    <w:uiPriority w:val="32"/>
    <w:qFormat/>
    <w:rsid w:val="00B245F4"/>
    <w:rPr>
      <w:b/>
      <w:bCs/>
      <w:smallCaps/>
      <w:color w:val="0F4761" w:themeColor="accent1" w:themeShade="BF"/>
      <w:spacing w:val="5"/>
    </w:rPr>
  </w:style>
  <w:style w:type="character" w:styleId="Hyperlink">
    <w:name w:val="Hyperlink"/>
    <w:basedOn w:val="DefaultParagraphFont"/>
    <w:uiPriority w:val="99"/>
    <w:unhideWhenUsed/>
    <w:rsid w:val="00B245F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unszhao/ethical-desig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1368</Words>
  <Characters>8786</Characters>
  <Application>Microsoft Office Word</Application>
  <DocSecurity>0</DocSecurity>
  <Lines>129</Lines>
  <Paragraphs>44</Paragraphs>
  <ScaleCrop>false</ScaleCrop>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Boyin Yang</dc:creator>
  <cp:keywords/>
  <dc:description/>
  <cp:lastModifiedBy>Boyin Yang</cp:lastModifiedBy>
  <cp:revision>1</cp:revision>
  <dcterms:created xsi:type="dcterms:W3CDTF">2026-02-14T14:21:00Z</dcterms:created>
  <dcterms:modified xsi:type="dcterms:W3CDTF">2026-02-14T14:24:00Z</dcterms:modified>
</cp:coreProperties>
</file>