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04E118" w14:textId="77777777" w:rsidR="00EB4C31" w:rsidRPr="00C5127E" w:rsidRDefault="00EB4C31" w:rsidP="00EB4C31">
      <w:pPr>
        <w:spacing w:line="360" w:lineRule="auto"/>
        <w:rPr>
          <w:rFonts w:asciiTheme="majorHAnsi" w:hAnsiTheme="majorHAnsi" w:cstheme="majorHAnsi"/>
          <w:b/>
          <w:bCs/>
          <w:sz w:val="28"/>
          <w:szCs w:val="28"/>
        </w:rPr>
      </w:pPr>
      <w:r w:rsidRPr="00C5127E">
        <w:rPr>
          <w:rFonts w:asciiTheme="majorHAnsi" w:hAnsiTheme="majorHAnsi" w:cstheme="majorHAnsi"/>
          <w:b/>
          <w:bCs/>
          <w:sz w:val="28"/>
          <w:szCs w:val="28"/>
        </w:rPr>
        <w:t>Effects of climate and trade policies on future global energy trade networks</w:t>
      </w:r>
    </w:p>
    <w:p w14:paraId="793C613B" w14:textId="77777777" w:rsidR="00EB4C31" w:rsidRPr="00C5127E" w:rsidRDefault="00EB4C31" w:rsidP="00EB4C31">
      <w:pPr>
        <w:spacing w:line="360" w:lineRule="auto"/>
        <w:rPr>
          <w:rFonts w:asciiTheme="majorHAnsi" w:hAnsiTheme="majorHAnsi" w:cstheme="majorHAnsi"/>
          <w:i/>
          <w:vertAlign w:val="superscript"/>
          <w:lang w:val="nl-NL"/>
        </w:rPr>
      </w:pPr>
      <w:r w:rsidRPr="00C5127E">
        <w:rPr>
          <w:rFonts w:asciiTheme="majorHAnsi" w:hAnsiTheme="majorHAnsi" w:cstheme="majorHAnsi"/>
          <w:lang w:val="nl-NL"/>
        </w:rPr>
        <w:t>Jun U. Shepard</w:t>
      </w:r>
      <w:r w:rsidRPr="00C5127E">
        <w:rPr>
          <w:rFonts w:asciiTheme="majorHAnsi" w:hAnsiTheme="majorHAnsi" w:cstheme="majorHAnsi"/>
          <w:i/>
          <w:vertAlign w:val="superscript"/>
          <w:lang w:val="nl-NL"/>
        </w:rPr>
        <w:t>ab</w:t>
      </w:r>
      <w:r w:rsidRPr="00C5127E">
        <w:rPr>
          <w:rFonts w:asciiTheme="majorHAnsi" w:hAnsiTheme="majorHAnsi" w:cstheme="majorHAnsi"/>
          <w:lang w:val="nl-NL"/>
        </w:rPr>
        <w:t>, Bas J. van Ruijven</w:t>
      </w:r>
      <w:r w:rsidRPr="00C5127E">
        <w:rPr>
          <w:rFonts w:asciiTheme="majorHAnsi" w:hAnsiTheme="majorHAnsi" w:cstheme="majorHAnsi"/>
          <w:i/>
          <w:vertAlign w:val="superscript"/>
          <w:lang w:val="nl-NL"/>
        </w:rPr>
        <w:t>b</w:t>
      </w:r>
      <w:r w:rsidRPr="00C5127E">
        <w:rPr>
          <w:rFonts w:asciiTheme="majorHAnsi" w:hAnsiTheme="majorHAnsi" w:cstheme="majorHAnsi"/>
          <w:lang w:val="nl-NL"/>
        </w:rPr>
        <w:t>, Behnam Zakeri</w:t>
      </w:r>
      <w:r w:rsidRPr="00C5127E">
        <w:rPr>
          <w:rFonts w:asciiTheme="majorHAnsi" w:hAnsiTheme="majorHAnsi" w:cstheme="majorHAnsi"/>
          <w:i/>
          <w:vertAlign w:val="superscript"/>
          <w:lang w:val="nl-NL"/>
        </w:rPr>
        <w:t>b</w:t>
      </w:r>
    </w:p>
    <w:p w14:paraId="1C6B1D08" w14:textId="77777777" w:rsidR="00EB4C31" w:rsidRPr="00C5127E" w:rsidRDefault="00EB4C31" w:rsidP="00EB4C31">
      <w:pPr>
        <w:rPr>
          <w:rFonts w:asciiTheme="majorHAnsi" w:hAnsiTheme="majorHAnsi" w:cstheme="majorHAnsi"/>
          <w:i/>
          <w:sz w:val="20"/>
          <w:szCs w:val="20"/>
          <w:lang w:val="nl-NL"/>
        </w:rPr>
      </w:pPr>
      <w:r w:rsidRPr="00C5127E">
        <w:rPr>
          <w:rFonts w:asciiTheme="majorHAnsi" w:hAnsiTheme="majorHAnsi" w:cstheme="majorHAnsi"/>
          <w:i/>
          <w:sz w:val="20"/>
          <w:szCs w:val="20"/>
          <w:vertAlign w:val="superscript"/>
          <w:lang w:val="nl-NL"/>
        </w:rPr>
        <w:t>a</w:t>
      </w:r>
      <w:r w:rsidRPr="00C5127E">
        <w:rPr>
          <w:rFonts w:asciiTheme="majorHAnsi" w:hAnsiTheme="majorHAnsi" w:cstheme="majorHAnsi"/>
          <w:i/>
          <w:sz w:val="20"/>
          <w:szCs w:val="20"/>
          <w:lang w:val="nl-NL"/>
        </w:rPr>
        <w:t xml:space="preserve"> Duke University (Nicholas School of the Environment), 9 Circuit Drive, Durham, NC 27701 USA. Corresponding email: </w:t>
      </w:r>
      <w:r w:rsidR="00DE027F">
        <w:fldChar w:fldCharType="begin"/>
      </w:r>
      <w:r w:rsidR="00DE027F">
        <w:instrText xml:space="preserve"> HYPERLINK "mailto:jun.shepard@duke.edu" </w:instrText>
      </w:r>
      <w:r w:rsidR="00DE027F">
        <w:fldChar w:fldCharType="separate"/>
      </w:r>
      <w:r w:rsidRPr="00C5127E">
        <w:rPr>
          <w:rStyle w:val="Hyperlink"/>
          <w:rFonts w:asciiTheme="majorHAnsi" w:hAnsiTheme="majorHAnsi" w:cstheme="majorHAnsi"/>
          <w:i/>
          <w:sz w:val="20"/>
          <w:szCs w:val="20"/>
          <w:lang w:val="nl-NL"/>
        </w:rPr>
        <w:t>jun.shepard@duke.edu</w:t>
      </w:r>
      <w:r w:rsidR="00DE027F">
        <w:rPr>
          <w:rStyle w:val="Hyperlink"/>
          <w:rFonts w:asciiTheme="majorHAnsi" w:hAnsiTheme="majorHAnsi" w:cstheme="majorHAnsi"/>
          <w:i/>
          <w:sz w:val="20"/>
          <w:szCs w:val="20"/>
          <w:lang w:val="nl-NL"/>
        </w:rPr>
        <w:fldChar w:fldCharType="end"/>
      </w:r>
      <w:r>
        <w:rPr>
          <w:rFonts w:asciiTheme="majorHAnsi" w:hAnsiTheme="majorHAnsi" w:cstheme="majorHAnsi"/>
          <w:i/>
          <w:sz w:val="20"/>
          <w:szCs w:val="20"/>
          <w:lang w:val="nl-NL"/>
        </w:rPr>
        <w:t>.</w:t>
      </w:r>
    </w:p>
    <w:p w14:paraId="5445747A" w14:textId="77777777" w:rsidR="00EB4C31" w:rsidRDefault="00EB4C31" w:rsidP="00EB4C31">
      <w:pPr>
        <w:rPr>
          <w:rFonts w:asciiTheme="majorHAnsi" w:hAnsiTheme="majorHAnsi" w:cstheme="majorHAnsi"/>
          <w:i/>
          <w:sz w:val="20"/>
          <w:szCs w:val="20"/>
          <w:lang w:val="nl-NL"/>
        </w:rPr>
      </w:pPr>
      <w:r>
        <w:rPr>
          <w:rFonts w:asciiTheme="majorHAnsi" w:hAnsiTheme="majorHAnsi" w:cstheme="majorHAnsi"/>
          <w:i/>
          <w:sz w:val="20"/>
          <w:szCs w:val="20"/>
          <w:vertAlign w:val="superscript"/>
          <w:lang w:val="nl-NL"/>
        </w:rPr>
        <w:t>b</w:t>
      </w:r>
      <w:r w:rsidRPr="00C5127E">
        <w:rPr>
          <w:rFonts w:asciiTheme="majorHAnsi" w:hAnsiTheme="majorHAnsi" w:cstheme="majorHAnsi"/>
          <w:i/>
          <w:sz w:val="20"/>
          <w:szCs w:val="20"/>
          <w:lang w:val="nl-NL"/>
        </w:rPr>
        <w:t xml:space="preserve"> </w:t>
      </w:r>
      <w:r>
        <w:rPr>
          <w:rFonts w:asciiTheme="majorHAnsi" w:hAnsiTheme="majorHAnsi" w:cstheme="majorHAnsi"/>
          <w:i/>
          <w:sz w:val="20"/>
          <w:szCs w:val="20"/>
          <w:lang w:val="nl-NL"/>
        </w:rPr>
        <w:t>International Institute for Applied Systems Analysis (IIASA), Schlossplatz 1, Laxenburg, Austria.</w:t>
      </w:r>
    </w:p>
    <w:p w14:paraId="672A6659" w14:textId="7F70E21A" w:rsidR="00666E4F" w:rsidRPr="00EB4C31" w:rsidRDefault="00666E4F">
      <w:pPr>
        <w:rPr>
          <w:rFonts w:asciiTheme="majorHAnsi" w:hAnsiTheme="majorHAnsi" w:cstheme="majorHAnsi"/>
          <w:lang w:val="nl-NL"/>
        </w:rPr>
      </w:pPr>
    </w:p>
    <w:p w14:paraId="289EFCBA" w14:textId="19DB1280" w:rsidR="00ED6C4D" w:rsidRPr="00ED6C4D" w:rsidRDefault="00ED6C4D" w:rsidP="00ED6C4D">
      <w:pPr>
        <w:pStyle w:val="Heading1"/>
        <w:rPr>
          <w:color w:val="auto"/>
        </w:rPr>
      </w:pPr>
      <w:r w:rsidRPr="00ED6C4D">
        <w:rPr>
          <w:color w:val="auto"/>
        </w:rPr>
        <w:t>Abstract</w:t>
      </w:r>
    </w:p>
    <w:p w14:paraId="0461829C" w14:textId="77777777" w:rsidR="00ED6C4D" w:rsidRPr="00ED6C4D" w:rsidRDefault="00ED6C4D" w:rsidP="00ED6C4D"/>
    <w:p w14:paraId="0A37501D" w14:textId="20F774A9" w:rsidR="00E63B5E" w:rsidRPr="00ED6C4D" w:rsidRDefault="0088697C">
      <w:pPr>
        <w:rPr>
          <w:rFonts w:asciiTheme="majorHAnsi" w:hAnsiTheme="majorHAnsi" w:cstheme="majorHAnsi"/>
        </w:rPr>
      </w:pPr>
      <w:r w:rsidRPr="00ED6C4D">
        <w:rPr>
          <w:rFonts w:asciiTheme="majorHAnsi" w:hAnsiTheme="majorHAnsi" w:cstheme="majorHAnsi"/>
        </w:rPr>
        <w:t xml:space="preserve">Climate and trade policy have important implications for energy security and global emissions. Here, we use a state-of-the-art global integrated assessment model, </w:t>
      </w:r>
      <w:proofErr w:type="spellStart"/>
      <w:r w:rsidRPr="00ED6C4D">
        <w:rPr>
          <w:rFonts w:asciiTheme="majorHAnsi" w:hAnsiTheme="majorHAnsi" w:cstheme="majorHAnsi"/>
        </w:rPr>
        <w:t>MESSAGEix</w:t>
      </w:r>
      <w:proofErr w:type="spellEnd"/>
      <w:r w:rsidRPr="00ED6C4D">
        <w:rPr>
          <w:rFonts w:asciiTheme="majorHAnsi" w:hAnsiTheme="majorHAnsi" w:cstheme="majorHAnsi"/>
        </w:rPr>
        <w:t>, to examine the effects of 1) sustained energy trade tariff policies and 2) a global carbon emissions tax on the global energy trade network. Our results indicate that sustained tariff policies have marginal effects on the network, in terms of trade volumes and bilateral trade flows. While high import tariffs allow for significant reductions in carbon emissions due to reduced fossil fuel imports in the importing region, this effect does not translate to global carbon emission reductions because this policy only directly impacts one downstream link in the energy supply chain (i.e. distribution and trade). A carbon emission tax dramatically alters the trajectory of the energy trade network, by 1) reducing the size of the network and 2) forming new trade linkages that allow for a more complex network. The emissions tax also allows for significant reductions in both import-related and overall emissions. Additional tariff policies in the presence of an emissions tax have minimal effects on the network, energy security, and emissions; however, they increase the cost of the global energy system. Our results suggest that climate policies have more dramatic and lasting effects on the global energy trade network than any individual tariff policy. Furthermore, the climate policies require cooperation (i.e. reduced trade friction) to minimize global and regional energy system costs.</w:t>
      </w:r>
    </w:p>
    <w:p w14:paraId="5043331D" w14:textId="1AB2D1AB" w:rsidR="0088697C" w:rsidRPr="00ED6C4D" w:rsidRDefault="0088697C">
      <w:pPr>
        <w:rPr>
          <w:rFonts w:asciiTheme="majorHAnsi" w:hAnsiTheme="majorHAnsi" w:cstheme="majorHAnsi"/>
        </w:rPr>
      </w:pPr>
    </w:p>
    <w:p w14:paraId="59223AE7" w14:textId="2797648D" w:rsidR="00ED6C4D" w:rsidRPr="00ED6C4D" w:rsidRDefault="00ED6C4D" w:rsidP="00ED6C4D">
      <w:pPr>
        <w:pStyle w:val="Heading1"/>
        <w:rPr>
          <w:rFonts w:cstheme="majorHAnsi"/>
          <w:color w:val="auto"/>
        </w:rPr>
      </w:pPr>
      <w:r w:rsidRPr="00ED6C4D">
        <w:rPr>
          <w:rFonts w:cstheme="majorHAnsi"/>
          <w:color w:val="auto"/>
        </w:rPr>
        <w:t>Keywords</w:t>
      </w:r>
    </w:p>
    <w:p w14:paraId="75F94E02" w14:textId="52C1A9F1" w:rsidR="00ED6C4D" w:rsidRPr="00ED6C4D" w:rsidRDefault="00ED6C4D" w:rsidP="00ED6C4D">
      <w:pPr>
        <w:rPr>
          <w:rFonts w:asciiTheme="majorHAnsi" w:hAnsiTheme="majorHAnsi" w:cstheme="majorHAnsi"/>
        </w:rPr>
      </w:pPr>
    </w:p>
    <w:p w14:paraId="6AA15D70" w14:textId="31AB0749" w:rsidR="00ED6C4D" w:rsidRPr="00ED6C4D" w:rsidRDefault="00ED6C4D" w:rsidP="00ED6C4D">
      <w:pPr>
        <w:rPr>
          <w:rFonts w:asciiTheme="majorHAnsi" w:hAnsiTheme="majorHAnsi" w:cstheme="majorHAnsi"/>
        </w:rPr>
      </w:pPr>
      <w:r w:rsidRPr="00ED6C4D">
        <w:rPr>
          <w:rFonts w:asciiTheme="majorHAnsi" w:hAnsiTheme="majorHAnsi" w:cstheme="majorHAnsi"/>
        </w:rPr>
        <w:t>Integrated Assessment Models; Global energy modeling; Carbon taxes; International trade; Climate policy</w:t>
      </w:r>
    </w:p>
    <w:p w14:paraId="09434DB8" w14:textId="77777777" w:rsidR="00ED6C4D" w:rsidRPr="00ED6C4D" w:rsidRDefault="00ED6C4D" w:rsidP="00ED6C4D">
      <w:pPr>
        <w:rPr>
          <w:rFonts w:asciiTheme="majorHAnsi" w:hAnsiTheme="majorHAnsi" w:cstheme="majorHAnsi"/>
        </w:rPr>
      </w:pPr>
    </w:p>
    <w:p w14:paraId="64DDFCA6" w14:textId="77777777" w:rsidR="00BB2B71" w:rsidRPr="00ED6C4D" w:rsidRDefault="00BB2B71" w:rsidP="00BB2B71">
      <w:pPr>
        <w:pStyle w:val="Heading1"/>
        <w:rPr>
          <w:rFonts w:cstheme="majorHAnsi"/>
          <w:color w:val="auto"/>
        </w:rPr>
      </w:pPr>
      <w:r w:rsidRPr="00ED6C4D">
        <w:rPr>
          <w:rFonts w:cstheme="majorHAnsi"/>
          <w:color w:val="auto"/>
        </w:rPr>
        <w:t>1</w:t>
      </w:r>
      <w:r w:rsidRPr="00ED6C4D">
        <w:rPr>
          <w:rFonts w:cstheme="majorHAnsi"/>
          <w:color w:val="auto"/>
        </w:rPr>
        <w:tab/>
        <w:t>Introduction</w:t>
      </w:r>
    </w:p>
    <w:p w14:paraId="5DAB6C7B" w14:textId="77777777" w:rsidR="00BB2B71" w:rsidRPr="00ED6C4D" w:rsidRDefault="00BB2B71" w:rsidP="00BB2B71">
      <w:pPr>
        <w:rPr>
          <w:rFonts w:asciiTheme="majorHAnsi" w:hAnsiTheme="majorHAnsi" w:cstheme="majorHAnsi"/>
        </w:rPr>
      </w:pPr>
    </w:p>
    <w:p w14:paraId="4449DC34" w14:textId="179C4498" w:rsidR="00BB2B71"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Large-scale energy transitions are required to meet the commitments put forth in the Paris Climate Agreement </w:t>
      </w:r>
      <w:r w:rsidR="00BB2B71" w:rsidRPr="00ED6C4D">
        <w:rPr>
          <w:rFonts w:asciiTheme="majorHAnsi" w:hAnsiTheme="majorHAnsi" w:cstheme="majorHAnsi"/>
        </w:rPr>
        <w:fldChar w:fldCharType="begin" w:fldLock="1"/>
      </w:r>
      <w:r w:rsidR="00BB2B71" w:rsidRPr="00ED6C4D">
        <w:rPr>
          <w:rFonts w:asciiTheme="majorHAnsi" w:hAnsiTheme="majorHAnsi" w:cstheme="majorHAnsi"/>
        </w:rPr>
        <w:instrText>ADDIN CSL_CITATION {"citationItems":[{"id":"ITEM-1","itemData":{"ISBN":"3981058208","abstract":"Adoption of a protocol, another legal instrument, or an agreed outcome with legal force under the Convention applicable to all Parties.","author":[{"dropping-particle":"","family":"United Nations","given":"","non-dropping-particle":"","parse-names":false,"suffix":""}],"container-title":"Conference of the Parties on its twenty-first session","id":"ITEM-1","issued":{"date-parts":[["2015"]]},"title":"Adoption of the Paris Agreement","type":"article-journal"},"uris":["http://www.mendeley.com/documents/?uuid=d4f853cb-a53c-471e-921e-d01849f78d89"]},{"id":"ITEM-2","itemData":{"DOI":"10.1038/nature18307","ISSN":"14764687","abstract":"The Paris climate agreement aims at holding global warming to well below 2 degrees Celsius and to “pursue efforts”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author":[{"dropping-particle":"","family":"Rogelj","given":"Joeri","non-dropping-particle":"","parse-names":false,"suffix":""},{"dropping-particle":"","family":"Elzen","given":"Michel","non-dropping-particle":"Den","parse-names":false,"suffix":""},{"dropping-particle":"","family":"Höhne","given":"Niklas","non-dropping-particle":"","parse-names":false,"suffix":""},{"dropping-particle":"","family":"Fransen","given":"Taryn","non-dropping-particle":"","parse-names":false,"suffix":""},{"dropping-particle":"","family":"Fekete","given":"Hanna","non-dropping-particle":"","parse-names":false,"suffix":""},{"dropping-particle":"","family":"Winkler","given":"Harald","non-dropping-particle":"","parse-names":false,"suffix":""},{"dropping-particle":"","family":"Schaeffer","given":"Roberto","non-dropping-particle":"","parse-names":false,"suffix":""},{"dropping-particle":"","family":"Sha","given":"Fu","non-dropping-particle":"","parse-names":false,"suffix":""},{"dropping-particle":"","family":"Riahi","given":"Keywan","non-dropping-particle":"","parse-names":false,"suffix":""},{"dropping-particle":"","family":"Meinshausen","given":"Malte","non-dropping-particle":"","parse-names":false,"suffix":""}],"container-title":"Nature","id":"ITEM-2","issued":{"date-parts":[["2016"]]},"title":"Paris Agreement climate proposals need a boost to keep warming well below 2 °c","type":"article"},"uris":["http://www.mendeley.com/documents/?uuid=eafe093e-1370-41e7-89eb-eb930a55cb90"]}],"mendeley":{"formattedCitation":"[1,2]","plainTextFormattedCitation":"[1,2]","previouslyFormattedCitation":"[1,2]"},"properties":{"noteIndex":0},"schema":"https://github.com/citation-style-language/schema/raw/master/csl-citation.json"}</w:instrText>
      </w:r>
      <w:r w:rsidR="00BB2B71" w:rsidRPr="00ED6C4D">
        <w:rPr>
          <w:rFonts w:asciiTheme="majorHAnsi" w:hAnsiTheme="majorHAnsi" w:cstheme="majorHAnsi"/>
        </w:rPr>
        <w:fldChar w:fldCharType="separate"/>
      </w:r>
      <w:r w:rsidRPr="00ED6C4D">
        <w:rPr>
          <w:rFonts w:asciiTheme="majorHAnsi" w:hAnsiTheme="majorHAnsi" w:cstheme="majorHAnsi"/>
          <w:noProof/>
        </w:rPr>
        <w:t>[1,2]</w:t>
      </w:r>
      <w:r w:rsidR="00BB2B71" w:rsidRPr="00ED6C4D">
        <w:rPr>
          <w:rFonts w:asciiTheme="majorHAnsi" w:hAnsiTheme="majorHAnsi" w:cstheme="majorHAnsi"/>
        </w:rPr>
        <w:fldChar w:fldCharType="end"/>
      </w:r>
      <w:r w:rsidRPr="00ED6C4D">
        <w:rPr>
          <w:rFonts w:asciiTheme="majorHAnsi" w:hAnsiTheme="majorHAnsi" w:cstheme="majorHAnsi"/>
        </w:rPr>
        <w:t xml:space="preserve">. </w:t>
      </w:r>
      <w:r w:rsidR="00504766" w:rsidRPr="00ED6C4D">
        <w:rPr>
          <w:rFonts w:asciiTheme="majorHAnsi" w:hAnsiTheme="majorHAnsi" w:cstheme="majorHAnsi"/>
        </w:rPr>
        <w:t xml:space="preserve">Apart from global assessments of the </w:t>
      </w:r>
      <w:r w:rsidR="005F3594" w:rsidRPr="00ED6C4D">
        <w:rPr>
          <w:rFonts w:asciiTheme="majorHAnsi" w:hAnsiTheme="majorHAnsi" w:cstheme="majorHAnsi"/>
        </w:rPr>
        <w:t xml:space="preserve">emission reductions, detailed analysis of the </w:t>
      </w:r>
      <w:r w:rsidRPr="00ED6C4D">
        <w:rPr>
          <w:rFonts w:asciiTheme="majorHAnsi" w:hAnsiTheme="majorHAnsi" w:cstheme="majorHAnsi"/>
        </w:rPr>
        <w:t xml:space="preserve">feasibility and impact of these transitions are </w:t>
      </w:r>
      <w:r w:rsidR="00A70E59" w:rsidRPr="00ED6C4D">
        <w:rPr>
          <w:rFonts w:asciiTheme="majorHAnsi" w:hAnsiTheme="majorHAnsi" w:cstheme="majorHAnsi"/>
        </w:rPr>
        <w:t xml:space="preserve">often </w:t>
      </w:r>
      <w:r w:rsidRPr="00ED6C4D">
        <w:rPr>
          <w:rFonts w:asciiTheme="majorHAnsi" w:hAnsiTheme="majorHAnsi" w:cstheme="majorHAnsi"/>
        </w:rPr>
        <w:t xml:space="preserve">investigated by focusing individual regions </w:t>
      </w:r>
      <w:r w:rsidR="00BB2B71" w:rsidRPr="00ED6C4D">
        <w:rPr>
          <w:rFonts w:asciiTheme="majorHAnsi" w:hAnsiTheme="majorHAnsi" w:cstheme="majorHAnsi"/>
        </w:rPr>
        <w:fldChar w:fldCharType="begin" w:fldLock="1"/>
      </w:r>
      <w:r w:rsidR="001E46D7">
        <w:rPr>
          <w:rFonts w:asciiTheme="majorHAnsi" w:hAnsiTheme="majorHAnsi" w:cstheme="majorHAnsi"/>
        </w:rPr>
        <w:instrText>ADDIN CSL_CITATION {"citationItems":[{"id":"ITEM-1","itemData":{"abstract":"The COP, by its decision 1/CP.20, requested the secretariat to publish on the UNFCCC website the INDCs as communicated.\r\n\r\nQuestions or requests for clarification can be addressed the secretariat at INDCs@unfccc.int.\r\n\r\n165 submissions found.","author":[{"dropping-particle":"","family":"UNFCCC","given":"","non-dropping-particle":"","parse-names":false,"suffix":""}],"container-title":"Submissions","id":"ITEM-1","issued":{"date-parts":[["2019"]]},"title":"INDCs as communicated by Parties","type":"webpage"},"uris":["http://www.mendeley.com/documents/?uuid=f58f1caf-1e49-4f26-acb3-7baaf56ff067"]},{"id":"ITEM-2","itemData":{"DOI":"10.1016/j.scitotenv.2017.12.093","ISSN":"18791026","abstract":"This study predicts the probabilities of achieving the carbon dioxide (CO2) emission targets set by the Paris Agreement and the Intended Nationally Determined Contribution (INDC) of the top ten CO2 emitters (TTCE). The TTCE are China, USA, India, Russia, Japan, Germany, South Korea, Iran, Saudi Arabia and Indonesia based on their emission trends over 1991–2015 period. The methods of trend extrapolation and back propagation (BP) neural networks are used in this paper to overcome the weakness of multiple linear regression (MLR) and the assumptions of the environmental Kuznets curve (EKC). The results show that the model performs well and has high predictive accuracy. The volume of the CO2 emissions by the TTCE in 2030 is predicted to increase by 26.5–36.5%, compared with 2005. According to different trends of economic growth, energy consumption, and changes in share of renewable energy, the results show that China, India and Russia will achieve their INDC targets in some scenarios, whereas there will be a shortfall in achieving targets by USA, Japan, Germany, and South Korea. In particular, the carbon reduction situations of Saudi Arabia, Iran and Indonesia are quite severe. Moreover, the results show that there is no common trend that can be used as a suitable benchmark for every country for the implementation of carbon reductions targets of the Paris Agreement and their INDC goals. Finally, there are signs of improvement of the equality of carbon emissions based on the analysis of the Gini coefficient.","author":[{"dropping-particle":"","family":"Dong","given":"Cong","non-dropping-particle":"","parse-names":false,"suffix":""},{"dropping-particle":"","family":"Dong","given":"Xiucheng","non-dropping-particle":"","parse-names":false,"suffix":""},{"dropping-particle":"","family":"Jiang","given":"Qingzhe","non-dropping-particle":"","parse-names":false,"suffix":""},{"dropping-particle":"","family":"Dong","given":"Kangyin","non-dropping-particle":"","parse-names":false,"suffix":""},{"dropping-particle":"","family":"Liu","given":"Guixian","non-dropping-particle":"","parse-names":false,"suffix":""}],"container-title":"Science of the Total Environment","id":"ITEM-2","issued":{"date-parts":[["2018"]]},"title":"What is the probability of achieving the carbon dioxide emission targets of the Paris Agreement? Evidence from the top ten emitters","type":"article-journal"},"uris":["http://www.mendeley.com/documents/?uuid=34e07970-cc88-46d0-b0e3-12c917093b31"]},{"id":"ITEM-3","itemData":{"DOI":"10.1016/j.erss.2018.11.010","ISSN":"22146296","abstract":"There are numerous strategies to lower greenhouse gas (GHG) emissions or to mitigate global climate change. One of them is to promote polices for developing renewable energy sources. There has been a growth in such policies but not enough is known about their effectiveness. We use a revised version of Schaffrin et al.'s (2015) Index of Policy Activity (IPA)1 to examine the historical development (1998–2015) of federal and state/provincial renewable energy policies across five federal countries in the Americas: Argentina, Brazil, Canada, Mexico and the United States. Here the focus is on “policy output,” which is defined as a function of policy density and intensity. Policy density is measured by counting the number of policies in each country relating to a particular goal during our time frame, while policy intensity, or the strength the policy has toward meeting specific goals, is measured by summing scores for six indicators: objective, scope, integration, budget, implementation and monitoring. The higher the policy score for a country, the more likely the country will be able to meet its intended goals. Our results show that the U.S. has the densest renewable energy policy output followed by Canada, Mexico, Brazil, and finally Argentina has the least-dense policy output. Overall, Brazil and Canada's renewable energy policies were the most intense, followed by Argentina's and the U.S.'s, with Mexico's policies receiving the lowest intensity scores. These countries differ in how long they have supported renewable energy policies and the levels of government that implement them. These findings show that countries may be spending resources on producing myriad renewable energy policies, but without coordination between different levels of government or a concerted effort to ensure that the policy instruments are effective, those resources may be wasted while GHGs continue to rise. This research contributes to the understanding of how individual federal and state/provincial government make efforts toward implementing or enforcing energy policies to influence long-term policy change.","author":[{"dropping-particle":"","family":"Pischke","given":"Erin C.","non-dropping-particle":"","parse-names":false,"suffix":""},{"dropping-particle":"","family":"Solomon","given":"Barry","non-dropping-particle":"","parse-names":false,"suffix":""},{"dropping-particle":"","family":"Wellstead","given":"Adam","non-dropping-particle":"","parse-names":false,"suffix":""},{"dropping-particle":"","family":"Acevedo","given":"Alberto","non-dropping-particle":"","parse-names":false,"suffix":""},{"dropping-particle":"","family":"Eastmond","given":"Amarella","non-dropping-particle":"","parse-names":false,"suffix":""},{"dropping-particle":"","family":"Oliveira","given":"Fernando","non-dropping-particle":"De","parse-names":false,"suffix":""},{"dropping-particle":"","family":"Coelho","given":"Suani","non-dropping-particle":"","parse-names":false,"suffix":""},{"dropping-particle":"","family":"Lucon","given":"Oswaldo","non-dropping-particle":"","parse-names":false,"suffix":""}],"container-title":"Energy Research and Social Science","id":"ITEM-3","issued":{"date-parts":[["2019"]]},"title":"From Kyoto to Paris: Measuring renewable energy policy regimes in Argentina, Brazil, Canada, Mexico and the United States","type":"article-journal"},"uris":["http://www.mendeley.com/documents/?uuid=862699e0-bafe-4ada-acc3-71247576a898"]},{"id":"ITEM-4","itemData":{"abstract":"Efforts to respond to climate change are changing the way the energy sector is developing, and the increased ambition of the Paris Agreement on climate change, agreed at COP21 in December 2015, is accelerating that shift. The Paris Agreement represents a landmark, one in which the transition to low-carbon development paths and low-carbon energy systems is now widely seen as the “new normal”. While the speed of the transition remains uncertain – with different paces altering the eventual climate implications – the direction of travel and eventual need for deep emissions reductions in the energy sector are clear. The increased climate ambition in the Paris Agreement was made possible in part by improvements in low-carbon energy technologies, notably the falling costs of renewable energy. This was most dramatic for onshore wind, for which costs fell by an estimated 30% on average, and for new utility-scale solar photovoltaic (PV) installations, for which costs declined by two-thirds, between 2010 and 2015. During the previous attempt to negotiate a new global climate agreement, in Copenhagen in 2009, a low- carbon energy system was largely seen as hypothetical. Today it is accepted as realistic, and for many, inevitable.\r\n","author":[{"dropping-particle":"","family":"IEA","given":"","non-dropping-particle":"","parse-names":false,"suffix":""}],"container-title":"International Energy Agency","id":"ITEM-4","issued":{"date-parts":[["2016"]]},"title":"Energy, Climate Change &amp; Environment - 2016 Insights","type":"article-journal"},"uris":["http://www.mendeley.com/documents/?uuid=c7aaa3db-7ae6-4f2e-9c75-df0a22f6857c"]},{"id":"ITEM-5","itemData":{"DOI":"10.1016/j.enpol.2018.11.027","ISSN":"03014215","abstract":"Under the Paris Agreement, countries committed to a variety of climate actions, including post-2020 greenhouse gas (GHG) emissions reduction targets. This study compares projected GHG emissions in the G20 economies under current climate policies to those under the GHG targets outlined in the nationally determined contributions (NDCs). It is based on an assessment of official governmental estimates and independent national and global studies. The study concludes that six G20 members (China, India, Indonesia, Japan, Russia and Turkey) are projected to meet their unconditional NDC targets with current policies. Eight members (Argentina, Australia, Canada, the European Union, Republic of Korea, South Africa and the United States) require further action to achieve their targets. Insufficient information is available for Saudi Arabia, and emission projections for Brazil and Mexico are subject to considerable uncertainty. The study also presents high-level decarbonisation indicators to better understand the current progress towards meeting the NDCs – Saudi Arabia and South Africa were found to continue increasing both emission intensity per unit GDP and emissions per capita under current policies by 2030 from 2015 levels.","author":[{"dropping-particle":"","family":"Elzen","given":"Michel","non-dropping-particle":"den","parse-names":false,"suffix":""},{"dropping-particle":"","family":"Kuramochi","given":"Takeshi","non-dropping-particle":"","parse-names":false,"suffix":""},{"dropping-particle":"","family":"Höhne","given":"Niklas","non-dropping-particle":"","parse-names":false,"suffix":""},{"dropping-particle":"","family":"Cantzler","given":"Jasmin","non-dropping-particle":"","parse-names":false,"suffix":""},{"dropping-particle":"","family":"Esmeijer","given":"Kendall","non-dropping-particle":"","parse-names":false,"suffix":""},{"dropping-particle":"","family":"Fekete","given":"Hanna","non-dropping-particle":"","parse-names":false,"suffix":""},{"dropping-particle":"","family":"Fransen","given":"Taryn","non-dropping-particle":"","parse-names":false,"suffix":""},{"dropping-particle":"","family":"Keramidas","given":"Kimon","non-dropping-particle":"","parse-names":false,"suffix":""},{"dropping-particle":"","family":"Roelfsema","given":"Mark","non-dropping-particle":"","parse-names":false,"suffix":""},{"dropping-particle":"","family":"Sha","given":"Fu","non-dropping-particle":"","parse-names":false,"suffix":""},{"dropping-particle":"","family":"Soest","given":"Heleen","non-dropping-particle":"van","parse-names":false,"suffix":""},{"dropping-particle":"","family":"Vandyck","given":"Toon","non-dropping-particle":"","parse-names":false,"suffix":""}],"container-title":"Energy Policy","id":"ITEM-5","issued":{"date-parts":[["2019"]]},"title":"Are the G20 economies making enough progress to meet their NDC targets?","type":"article-journal"},"uris":["http://www.mendeley.com/documents/?uuid=5f8dfdba-83d4-41c4-a010-b238614f3b6a","http://www.mendeley.com/documents/?uuid=29eeaa45-8ca2-48f1-8dec-59e5c588493e"]},{"id":"ITEM-6","itemData":{"DOI":"10.1038/nature18307","ISSN":"14764687","abstract":"The Paris climate agreement aims at holding global warming to well below 2 degrees Celsius and to “pursue efforts”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author":[{"dropping-particle":"","family":"Rogelj","given":"Joeri","non-dropping-particle":"","parse-names":false,"suffix":""},{"dropping-particle":"","family":"Elzen","given":"Michel","non-dropping-particle":"Den","parse-names":false,"suffix":""},{"dropping-particle":"","family":"Höhne","given":"Niklas","non-dropping-particle":"","parse-names":false,"suffix":""},{"dropping-particle":"","family":"Fransen","given":"Taryn","non-dropping-particle":"","parse-names":false,"suffix":""},{"dropping-particle":"","family":"Fekete","given":"Hanna","non-dropping-particle":"","parse-names":false,"suffix":""},{"dropping-particle":"","family":"Winkler","given":"Harald","non-dropping-particle":"","parse-names":false,"suffix":""},{"dropping-particle":"","family":"Schaeffer","given":"Roberto","non-dropping-particle":"","parse-names":false,"suffix":""},{"dropping-particle":"","family":"Sha","given":"Fu","non-dropping-particle":"","parse-names":false,"suffix":""},{"dropping-particle":"","family":"Riahi","given":"Keywan","non-dropping-particle":"","parse-names":false,"suffix":""},{"dropping-particle":"","family":"Meinshausen","given":"Malte","non-dropping-particle":"","parse-names":false,"suffix":""}],"container-title":"Nature","id":"ITEM-6","issued":{"date-parts":[["2016"]]},"title":"Paris Agreement climate proposals need a boost to keep warming well below 2 °c","type":"article"},"uris":["http://www.mendeley.com/documents/?uuid=eafe093e-1370-41e7-89eb-eb930a55cb90"]},{"id":"ITEM-7","itemData":{"DOI":"ISBN 978-92-807-3617-5","ISBN":"978-92-807-3673-1","ISSN":"1873-2518","PMID":"23510772","abstract":"Current global emissions are already considerably higher than the emissions level consistent with the 2 2020 and are still growing. The estimated emissions gap in 2020 for a “likely” chance of being on track to stay below the 2 C target is 8 to 13 GtCO 2 o e (depending on how emission reduction pledges are implemented), as compared to 6 to 11 GtCO e in last years’ Bridging the Emissions Gap Report. The gap is larger because of higher than expected economic growth and the inclusion of “double counting” of emission offsets in the calculations. To stay within the 2°C limit global emissions will have to peak before 2020 . Scenarios that meet the 2 o C limit show a maximum emission level in 2030 of 37 GtCO2e. Scenarios that meet the 2 o C limit have global emissions in 2050 roughly 40% below 1990 emission levels and roughly 60% below 2010 emission levels. The technical potential for reducing emissions by 2020 is estimated to be about 17 ± 3 GtCO 2 e, at marginal costs below US$ 50-100/ t CO 2 e reduced. This is enough to close the gap between BaU emissions and emissions that meet the 2°C or 1.5°C target.","author":[{"dropping-particle":"","family":"United Nations Environment Programme","given":"","non-dropping-particle":"","parse-names":false,"suffix":""},{"dropping-particle":"","family":"United Nations","given":"","non-dropping-particle":"","parse-names":false,"suffix":""}],"container-title":"United Nations Environment Program","id":"ITEM-7","issued":{"date-parts":[["2019"]]},"title":"The Emissions Gap Report 2019","type":"book"},"uris":["http://www.mendeley.com/documents/?uuid=8166c0c2-6320-4a43-a943-a7c1cbc274c8","http://www.mendeley.com/documents/?uuid=8cbb6791-a1d2-4592-874e-23577263fc25"]}],"mendeley":{"formattedCitation":"[2–8]","plainTextFormattedCitation":"[2–8]","previouslyFormattedCitation":"[2–8]"},"properties":{"noteIndex":0},"schema":"https://github.com/citation-style-language/schema/raw/master/csl-citation.json"}</w:instrText>
      </w:r>
      <w:r w:rsidR="00BB2B71" w:rsidRPr="00ED6C4D">
        <w:rPr>
          <w:rFonts w:asciiTheme="majorHAnsi" w:hAnsiTheme="majorHAnsi" w:cstheme="majorHAnsi"/>
        </w:rPr>
        <w:fldChar w:fldCharType="separate"/>
      </w:r>
      <w:r w:rsidR="005775AD" w:rsidRPr="00ED6C4D">
        <w:rPr>
          <w:rFonts w:asciiTheme="majorHAnsi" w:hAnsiTheme="majorHAnsi" w:cstheme="majorHAnsi"/>
          <w:noProof/>
        </w:rPr>
        <w:t>[2–8]</w:t>
      </w:r>
      <w:r w:rsidR="00BB2B71" w:rsidRPr="00ED6C4D">
        <w:rPr>
          <w:rFonts w:asciiTheme="majorHAnsi" w:hAnsiTheme="majorHAnsi" w:cstheme="majorHAnsi"/>
        </w:rPr>
        <w:fldChar w:fldCharType="end"/>
      </w:r>
      <w:r w:rsidRPr="00ED6C4D">
        <w:rPr>
          <w:rFonts w:asciiTheme="majorHAnsi" w:hAnsiTheme="majorHAnsi" w:cstheme="majorHAnsi"/>
        </w:rPr>
        <w:t xml:space="preserve">. </w:t>
      </w:r>
      <w:r w:rsidRPr="00ED6C4D">
        <w:rPr>
          <w:rFonts w:asciiTheme="majorHAnsi" w:hAnsiTheme="majorHAnsi" w:cstheme="majorHAnsi"/>
        </w:rPr>
        <w:lastRenderedPageBreak/>
        <w:t xml:space="preserve">This makes sense, as the energy system requirements of one region do not translate to another. However, a region’s energy system does not only rely on its own production and consumption of energy, but also the ways in which it interacts with others. These interconnections form a robust trade network </w:t>
      </w:r>
      <w:r w:rsidR="00BB2B71" w:rsidRPr="00ED6C4D">
        <w:rPr>
          <w:rFonts w:asciiTheme="majorHAnsi" w:hAnsiTheme="majorHAnsi" w:cstheme="majorHAnsi"/>
        </w:rPr>
        <w:fldChar w:fldCharType="begin" w:fldLock="1"/>
      </w:r>
      <w:r w:rsidR="00BC67D6" w:rsidRPr="00ED6C4D">
        <w:rPr>
          <w:rFonts w:asciiTheme="majorHAnsi" w:hAnsiTheme="majorHAnsi" w:cstheme="majorHAnsi"/>
        </w:rPr>
        <w:instrText>ADDIN CSL_CITATION {"citationItems":[{"id":"ITEM-1","itemData":{"DOI":"10.1016/j.apenergy.2015.04.032","ISSN":"03062619","abstract":"Different quality, reserves and production force countries to import fossil fuels to advance their economic development. It is exergy of fossil fuels that is essentially important to economy. Thus, it forms an international exergy flow network embodied in the global fossil energy trade. Based on complex network theory, we built a global fossil energy exergy flow network with countries as nodes, the international exergy flows as edges and the exergy of each flow as the weight of the edges. We analyzed the distribution of countries, the overall structure, major countries and major exergy flow paths of the network from 1996 to 2012. The results show that even if the fossil energy trade becomes more frequent and larger, there are always a few trade relationships and countries that play critical roles in the fossil energy trade. The trade relationship intensity at the global level is relatively lower than the corresponding intensity at the regional level. There are four main fossil energy trade groups, and these groups have the Russian Federation, the United States, Japan and Saudi Arabia as their core countries. If an energy war, an energy crisis or other problems occur in the countries with more partners, their impacts are likely to spread to other countries and even affect the global fossil energy trade.","author":[{"dropping-particle":"","family":"Hao","given":"Xiaoqing","non-dropping-particle":"","parse-names":false,"suffix":""},{"dropping-particle":"","family":"An","given":"Haizhong","non-dropping-particle":"","parse-names":false,"suffix":""},{"dropping-particle":"","family":"Qi","given":"Hai","non-dropping-particle":"","parse-names":false,"suffix":""},{"dropping-particle":"","family":"Gao","given":"Xiangyun","non-dropping-particle":"","parse-names":false,"suffix":""}],"container-title":"Applied Energy","id":"ITEM-1","issued":{"date-parts":[["2016"]]},"title":"Evolution of the exergy flow network embodied in the global fossil energy trade: Based on complex network","type":"article-journal"},"uris":["http://www.mendeley.com/documents/?uuid=772c875a-8242-4619-824d-7592bd79576a"]},{"id":"ITEM-2","itemData":{"DOI":"10.1016/j.enpol.2016.07.025","ISSN":"03014215","abstract":"A better understanding of the roles of countries in the international fossil fuel trade is crucial for trade security and policy optimization. This study aims to provide a new way to quantitatively analyze the roles of countries in the international fossil fuel trade by complex network analysis and Emergy theory. We transform the trade quantity of coal, crude oil and natural gas into emergy and the sum of the three emergies is the emergy of fossil fuel. We build up network models of fossil fuel based on the value of fossil fuel emergy. Then, the top relationships, the central position, the intermediary ability of the countries, and the roles of countries in the trade groups were used to analyze the roles of countries in the international fossil fuel trade network. We choose four countries, the USA, China, Russia and Saudi Arabia, as examples to show the analysis of roles and policy implications. We suggest that the USA and Russia should try to improve their intermediary abilities by diversifying their trade orientations and pay more attention to building up relationships with countries in different communities. China should seek for more tight relationships with other countries to improve its central position, and more pipelines connecting China, Russia, and other Middle Asia countries are needed. As for Saudi Arabia, expanding its industrial chain of crude oil is a better way to deal with the more fierce competition in the market.","author":[{"dropping-particle":"","family":"Zhong","given":"Weiqiong","non-dropping-particle":"","parse-names":false,"suffix":""},{"dropping-particle":"","family":"An","given":"Haizhong","non-dropping-particle":"","parse-names":false,"suffix":""},{"dropping-particle":"","family":"Shen","given":"Lei","non-dropping-particle":"","parse-names":false,"suffix":""},{"dropping-particle":"","family":"Fang","given":"Wei","non-dropping-particle":"","parse-names":false,"suffix":""},{"dropping-particle":"","family":"Gao","given":"Xiangyun","non-dropping-particle":"","parse-names":false,"suffix":""},{"dropping-particle":"","family":"Dong","given":"Di","non-dropping-particle":"","parse-names":false,"suffix":""}],"container-title":"Energy Policy","id":"ITEM-2","issued":{"date-parts":[["2017"]]},"title":"The roles of countries in the international fossil fuel trade: An emergy and network analysis","type":"article-journal"},"uris":["http://www.mendeley.com/documents/?uuid=a2abfa11-717b-48ca-ae30-2c4a6c2dd406"]}],"mendeley":{"formattedCitation":"[9,10]","plainTextFormattedCitation":"[9,10]","previouslyFormattedCitation":"[9,10]"},"properties":{"noteIndex":0},"schema":"https://github.com/citation-style-language/schema/raw/master/csl-citation.json"}</w:instrText>
      </w:r>
      <w:r w:rsidR="00BB2B71" w:rsidRPr="00ED6C4D">
        <w:rPr>
          <w:rFonts w:asciiTheme="majorHAnsi" w:hAnsiTheme="majorHAnsi" w:cstheme="majorHAnsi"/>
        </w:rPr>
        <w:fldChar w:fldCharType="separate"/>
      </w:r>
      <w:r w:rsidR="005775AD" w:rsidRPr="00ED6C4D">
        <w:rPr>
          <w:rFonts w:asciiTheme="majorHAnsi" w:hAnsiTheme="majorHAnsi" w:cstheme="majorHAnsi"/>
          <w:noProof/>
        </w:rPr>
        <w:t>[9,10]</w:t>
      </w:r>
      <w:r w:rsidR="00BB2B71" w:rsidRPr="00ED6C4D">
        <w:rPr>
          <w:rFonts w:asciiTheme="majorHAnsi" w:hAnsiTheme="majorHAnsi" w:cstheme="majorHAnsi"/>
        </w:rPr>
        <w:fldChar w:fldCharType="end"/>
      </w:r>
      <w:r w:rsidRPr="00ED6C4D">
        <w:rPr>
          <w:rFonts w:asciiTheme="majorHAnsi" w:hAnsiTheme="majorHAnsi" w:cstheme="majorHAnsi"/>
        </w:rPr>
        <w:t xml:space="preserve">, and the dynamics of this network (i.e. the rate at which trade interconnections form, grow, constrain, and break) inform the rate at which new energy technologies can be adopted. </w:t>
      </w:r>
    </w:p>
    <w:p w14:paraId="152C2B6F" w14:textId="43DEAFF1" w:rsidR="00BB2B71" w:rsidRPr="00ED6C4D" w:rsidRDefault="00BB2B71" w:rsidP="00BB2B71">
      <w:pPr>
        <w:spacing w:line="360" w:lineRule="auto"/>
        <w:ind w:firstLine="720"/>
        <w:rPr>
          <w:rFonts w:asciiTheme="majorHAnsi" w:hAnsiTheme="majorHAnsi" w:cstheme="majorHAnsi"/>
        </w:rPr>
      </w:pPr>
      <w:r w:rsidRPr="00ED6C4D">
        <w:rPr>
          <w:rFonts w:asciiTheme="majorHAnsi" w:hAnsiTheme="majorHAnsi" w:cstheme="majorHAnsi"/>
        </w:rPr>
        <w:t>The understanding of the global energy trade network is crucial for decision</w:t>
      </w:r>
      <w:r w:rsidR="000631F8" w:rsidRPr="00ED6C4D">
        <w:rPr>
          <w:rFonts w:asciiTheme="majorHAnsi" w:hAnsiTheme="majorHAnsi" w:cstheme="majorHAnsi"/>
        </w:rPr>
        <w:t>-</w:t>
      </w:r>
      <w:r w:rsidRPr="00ED6C4D">
        <w:rPr>
          <w:rFonts w:asciiTheme="majorHAnsi" w:hAnsiTheme="majorHAnsi" w:cstheme="majorHAnsi"/>
        </w:rPr>
        <w:t xml:space="preserve">makers who are considering climate policy. Existing literature suggests that climate policies, </w:t>
      </w:r>
      <w:r w:rsidR="00CE53C7" w:rsidRPr="00ED6C4D">
        <w:rPr>
          <w:rFonts w:asciiTheme="majorHAnsi" w:hAnsiTheme="majorHAnsi" w:cstheme="majorHAnsi"/>
        </w:rPr>
        <w:t xml:space="preserve">such as </w:t>
      </w:r>
      <w:r w:rsidR="00710653" w:rsidRPr="00ED6C4D">
        <w:rPr>
          <w:rFonts w:asciiTheme="majorHAnsi" w:hAnsiTheme="majorHAnsi" w:cstheme="majorHAnsi"/>
        </w:rPr>
        <w:t>carbon</w:t>
      </w:r>
      <w:r w:rsidRPr="00ED6C4D">
        <w:rPr>
          <w:rFonts w:asciiTheme="majorHAnsi" w:hAnsiTheme="majorHAnsi" w:cstheme="majorHAnsi"/>
        </w:rPr>
        <w:t xml:space="preserve"> emissions taxes or cap-and-trade schemes, may have a large impact on international energy markets </w:t>
      </w:r>
      <w:r w:rsidRPr="00ED6C4D">
        <w:rPr>
          <w:rFonts w:asciiTheme="majorHAnsi" w:hAnsiTheme="majorHAnsi" w:cstheme="majorHAnsi"/>
        </w:rPr>
        <w:fldChar w:fldCharType="begin" w:fldLock="1"/>
      </w:r>
      <w:r w:rsidR="00BC67D6" w:rsidRPr="00ED6C4D">
        <w:rPr>
          <w:rFonts w:asciiTheme="majorHAnsi" w:hAnsiTheme="majorHAnsi" w:cstheme="majorHAnsi"/>
        </w:rPr>
        <w:instrText>ADDIN CSL_CITATION {"citationItems":[{"id":"ITEM-1","itemData":{"DOI":"10.1257/aer.100.2.465","ISSN":"00028282","abstract":"We study various scenarios for taxing emissions of carbon dioxide (CO2). The question is how carbon tax policies will perform, given international trade, if countries adopt different tax rates. We investigate this question quantitatively using CIM-EARTH, a newly developed open-source computable general equilib- rium (CGE) model.","author":[{"dropping-particle":"","family":"Elliott","given":"Joshua","non-dropping-particle":"","parse-names":false,"suffix":""},{"dropping-particle":"","family":"Foster","given":"Ian","non-dropping-particle":"","parse-names":false,"suffix":""},{"dropping-particle":"","family":"Kortum","given":"Samuel","non-dropping-particle":"","parse-names":false,"suffix":""},{"dropping-particle":"","family":"Munson","given":"Todd","non-dropping-particle":"","parse-names":false,"suffix":""},{"dropping-particle":"","family":"Cervantes","given":"Fernando Pérez","non-dropping-particle":"","parse-names":false,"suffix":""},{"dropping-particle":"","family":"Weisbach","given":"David","non-dropping-particle":"","parse-names":false,"suffix":""}],"container-title":"American Economic Review","id":"ITEM-1","issued":{"date-parts":[["2010"]]},"title":"Trade and carbon taxes","type":"paper-conference"},"uris":["http://www.mendeley.com/documents/?uuid=114dc303-b435-4c00-ba8c-2bdd690a2484"]}],"mendeley":{"formattedCitation":"[11]","plainTextFormattedCitation":"[11]","previouslyFormattedCitation":"[11]"},"properties":{"noteIndex":0},"schema":"https://github.com/citation-style-language/schema/raw/master/csl-citation.json"}</w:instrText>
      </w:r>
      <w:r w:rsidRPr="00ED6C4D">
        <w:rPr>
          <w:rFonts w:asciiTheme="majorHAnsi" w:hAnsiTheme="majorHAnsi" w:cstheme="majorHAnsi"/>
        </w:rPr>
        <w:fldChar w:fldCharType="separate"/>
      </w:r>
      <w:r w:rsidR="005775AD" w:rsidRPr="00ED6C4D">
        <w:rPr>
          <w:rFonts w:asciiTheme="majorHAnsi" w:hAnsiTheme="majorHAnsi" w:cstheme="majorHAnsi"/>
          <w:noProof/>
        </w:rPr>
        <w:t>[11]</w:t>
      </w:r>
      <w:r w:rsidRPr="00ED6C4D">
        <w:rPr>
          <w:rFonts w:asciiTheme="majorHAnsi" w:hAnsiTheme="majorHAnsi" w:cstheme="majorHAnsi"/>
        </w:rPr>
        <w:fldChar w:fldCharType="end"/>
      </w:r>
      <w:r w:rsidRPr="00ED6C4D">
        <w:rPr>
          <w:rFonts w:asciiTheme="majorHAnsi" w:hAnsiTheme="majorHAnsi" w:cstheme="majorHAnsi"/>
        </w:rPr>
        <w:t xml:space="preserve">. Recent literature also suggests that the reverse is not necessarily true; trade policy may not have as big an impact on emissions reduction as previously assumed </w:t>
      </w:r>
      <w:r w:rsidRPr="00ED6C4D">
        <w:rPr>
          <w:rFonts w:asciiTheme="majorHAnsi" w:hAnsiTheme="majorHAnsi" w:cstheme="majorHAnsi"/>
        </w:rPr>
        <w:fldChar w:fldCharType="begin" w:fldLock="1"/>
      </w:r>
      <w:r w:rsidR="00BC67D6" w:rsidRPr="00ED6C4D">
        <w:rPr>
          <w:rFonts w:asciiTheme="majorHAnsi" w:hAnsiTheme="majorHAnsi" w:cstheme="majorHAnsi"/>
        </w:rPr>
        <w:instrText>ADDIN CSL_CITATION {"citationItems":[{"id":"ITEM-1","itemData":{"DOI":"10.1038/nature25467","ISSN":"14764687","abstract":"Many governments use subsidies for fossil fuels to reduce the cost of energy for domestic consumption. This has led to the frequent argument that removing subsidies could play an important part in mitigating climate change. Now, Jessica Jewel and colleagues show that subsidy removal would indeed substantially lower emissions in fossil-fuel-exporting countries, but would reduce global carbon dioxide emissions by only a few per cent by 2030. This small reduction would largely be due to offsetting effects from international trade and fuel substitution. The authors also find that subsidy removal would not dramatically increase the use of renewable energy, adding to the suggestion that extensive revisions of subsidy policies would not produce a major benefit for climate mitigation.","author":[{"dropping-particle":"","family":"Jewell","given":"Jessica","non-dropping-particle":"","parse-names":false,"suffix":""},{"dropping-particle":"","family":"McCollum","given":"David","non-dropping-particle":"","parse-names":false,"suffix":""},{"dropping-particle":"","family":"Emmerling","given":"Johannes","non-dropping-particle":"","parse-names":false,"suffix":""},{"dropping-particle":"","family":"Bertram","given":"Christoph","non-dropping-particle":"","parse-names":false,"suffix":""},{"dropping-particle":"","family":"Gernaat","given":"David E.H.J.","non-dropping-particle":"","parse-names":false,"suffix":""},{"dropping-particle":"","family":"Krey","given":"Volker","non-dropping-particle":"","parse-names":false,"suffix":""},{"dropping-particle":"","family":"Paroussos","given":"Leonidas","non-dropping-particle":"","parse-names":false,"suffix":""},{"dropping-particle":"","family":"Berger","given":"Loïc","non-dropping-particle":"","parse-names":false,"suffix":""},{"dropping-particle":"","family":"Fragkiadakis","given":"Kostas","non-dropping-particle":"","parse-names":false,"suffix":""},{"dropping-particle":"","family":"Keppo","given":"Ilkka","non-dropping-particle":"","parse-names":false,"suffix":""},{"dropping-particle":"","family":"Saadi","given":"Nawfal","non-dropping-particle":"","parse-names":false,"suffix":""},{"dropping-particle":"","family":"Tavoni","given":"Massimo","non-dropping-particle":"","parse-names":false,"suffix":""},{"dropping-particle":"","family":"Vuuren","given":"Detlef","non-dropping-particle":"Van","parse-names":false,"suffix":""},{"dropping-particle":"","family":"Vinichenko","given":"Vadim","non-dropping-particle":"","parse-names":false,"suffix":""},{"dropping-particle":"","family":"Riahi","given":"Keywan","non-dropping-particle":"","parse-names":false,"suffix":""}],"container-title":"Nature","id":"ITEM-1","issued":{"date-parts":[["2018"]]},"title":"Limited emission reductions from fuel subsidy removal except in energy-exporting regions","type":"article-journal"},"uris":["http://www.mendeley.com/documents/?uuid=d004fea5-df12-4bc9-b2b9-6096288bb0d6"]},{"id":"ITEM-2","itemData":{"DOI":"10.1038/nenergy.2016.73","ISSN":"20587546","abstract":"Ensuring energy security and mitigating climate change are key energy policy priorities. The recent Intergovernmental Panel on Climate Change Working Group III report emphasized that climate policies can deliver energy security as a co-benefit, in large part through reducing energy imports. Using five state-of-the-art global energy-economy models and eight long- term scenarios, we show that although deep cuts in greenhouse gas emissions would reduce energy imports, the reverse is not true: ambitious policies constraining energy imports would have an insignificant impact on climate change. Restricting imports of all fuels would lower twenty-first-century emissions by only 2–15% against the Baseline scenario as compared with a 70%reduction in a 450 stabilization scenario. Restricting only oil imports would have virtually no impact on emissions. The modelled energy independence targets could be achieved at policy costs comparable to those of existing climate pledges but a fraction of the cost of limiting global warming to 2 ◦ C.","author":[{"dropping-particle":"","family":"Jewell","given":"Jessica","non-dropping-particle":"","parse-names":false,"suffix":""},{"dropping-particle":"","family":"Vinichenko","given":"Vadim","non-dropping-particle":"","parse-names":false,"suffix":""},{"dropping-particle":"","family":"McCollum","given":"David","non-dropping-particle":"","parse-names":false,"suffix":""},{"dropping-particle":"","family":"Bauer","given":"Nico","non-dropping-particle":"","parse-names":false,"suffix":""},{"dropping-particle":"","family":"Riahi","given":"Keywan","non-dropping-particle":"","parse-names":false,"suffix":""},{"dropping-particle":"","family":"Aboumahboub","given":"Tino","non-dropping-particle":"","parse-names":false,"suffix":""},{"dropping-particle":"","family":"Fricko","given":"Oliver","non-dropping-particle":"","parse-names":false,"suffix":""},{"dropping-particle":"","family":"Harmsen","given":"Mathijs","non-dropping-particle":"","parse-names":false,"suffix":""},{"dropping-particle":"","family":"Kober","given":"Tom","non-dropping-particle":"","parse-names":false,"suffix":""},{"dropping-particle":"","family":"Krey","given":"Volker","non-dropping-particle":"","parse-names":false,"suffix":""},{"dropping-particle":"","family":"Marangoni","given":"Giacomo","non-dropping-particle":"","parse-names":false,"suffix":""},{"dropping-particle":"","family":"Tavoni","given":"Massimo","non-dropping-particle":"","parse-names":false,"suffix":""},{"dropping-particle":"","family":"Vuuren","given":"Detlef P.","non-dropping-particle":"Van","parse-names":false,"suffix":""},{"dropping-particle":"","family":"Zwaan","given":"Bob","non-dropping-particle":"Van Der","parse-names":false,"suffix":""},{"dropping-particle":"","family":"Cherp","given":"Aleh","non-dropping-particle":"","parse-names":false,"suffix":""}],"container-title":"Nature Energy","id":"ITEM-2","issued":{"date-parts":[["2016"]]},"title":"Comparison and interactions between the long-term pursuit of energy independence and climate policies","type":"article-journal"},"uris":["http://www.mendeley.com/documents/?uuid=9972ac15-afcc-4e15-8f09-9f6cdbb1c3e8"]}],"mendeley":{"formattedCitation":"[12,13]","plainTextFormattedCitation":"[12,13]","previouslyFormattedCitation":"[12,13]"},"properties":{"noteIndex":0},"schema":"https://github.com/citation-style-language/schema/raw/master/csl-citation.json"}</w:instrText>
      </w:r>
      <w:r w:rsidRPr="00ED6C4D">
        <w:rPr>
          <w:rFonts w:asciiTheme="majorHAnsi" w:hAnsiTheme="majorHAnsi" w:cstheme="majorHAnsi"/>
        </w:rPr>
        <w:fldChar w:fldCharType="separate"/>
      </w:r>
      <w:r w:rsidR="005775AD" w:rsidRPr="00ED6C4D">
        <w:rPr>
          <w:rFonts w:asciiTheme="majorHAnsi" w:hAnsiTheme="majorHAnsi" w:cstheme="majorHAnsi"/>
          <w:noProof/>
        </w:rPr>
        <w:t>[12,13]</w:t>
      </w:r>
      <w:r w:rsidRPr="00ED6C4D">
        <w:rPr>
          <w:rFonts w:asciiTheme="majorHAnsi" w:hAnsiTheme="majorHAnsi" w:cstheme="majorHAnsi"/>
        </w:rPr>
        <w:fldChar w:fldCharType="end"/>
      </w:r>
      <w:r w:rsidRPr="00ED6C4D">
        <w:rPr>
          <w:rFonts w:asciiTheme="majorHAnsi" w:hAnsiTheme="majorHAnsi" w:cstheme="majorHAnsi"/>
        </w:rPr>
        <w:t xml:space="preserve">. For this line of research, </w:t>
      </w:r>
      <w:r w:rsidR="004F3429" w:rsidRPr="00ED6C4D">
        <w:rPr>
          <w:rFonts w:asciiTheme="majorHAnsi" w:hAnsiTheme="majorHAnsi" w:cstheme="majorHAnsi"/>
        </w:rPr>
        <w:t xml:space="preserve">Integrated Assessment Models </w:t>
      </w:r>
      <w:r w:rsidRPr="00ED6C4D">
        <w:rPr>
          <w:rFonts w:asciiTheme="majorHAnsi" w:hAnsiTheme="majorHAnsi" w:cstheme="majorHAnsi"/>
        </w:rPr>
        <w:t>(IAM</w:t>
      </w:r>
      <w:r w:rsidR="004F3429" w:rsidRPr="00ED6C4D">
        <w:rPr>
          <w:rFonts w:asciiTheme="majorHAnsi" w:hAnsiTheme="majorHAnsi" w:cstheme="majorHAnsi"/>
        </w:rPr>
        <w:t>s</w:t>
      </w:r>
      <w:r w:rsidRPr="00ED6C4D">
        <w:rPr>
          <w:rFonts w:asciiTheme="majorHAnsi" w:hAnsiTheme="majorHAnsi" w:cstheme="majorHAnsi"/>
        </w:rPr>
        <w:t xml:space="preserve">) </w:t>
      </w:r>
      <w:r w:rsidR="004F3429" w:rsidRPr="00ED6C4D">
        <w:rPr>
          <w:rFonts w:asciiTheme="majorHAnsi" w:hAnsiTheme="majorHAnsi" w:cstheme="majorHAnsi"/>
        </w:rPr>
        <w:t xml:space="preserve">are often used to </w:t>
      </w:r>
      <w:r w:rsidRPr="00ED6C4D">
        <w:rPr>
          <w:rFonts w:asciiTheme="majorHAnsi" w:hAnsiTheme="majorHAnsi" w:cstheme="majorHAnsi"/>
        </w:rPr>
        <w:t xml:space="preserve">assess the complex interconnections between economic processes (e.g. demand of oil) and physical processes (e.g. carbon emissions). </w:t>
      </w:r>
      <w:r w:rsidR="00BC67D6" w:rsidRPr="00ED6C4D">
        <w:rPr>
          <w:rFonts w:asciiTheme="majorHAnsi" w:hAnsiTheme="majorHAnsi" w:cstheme="majorHAnsi"/>
        </w:rPr>
        <w:t xml:space="preserve">IAMs allow for a coherent analysis of disparate fields in environmental research, including economics, demography, atmospheric chemistry, oceanography, and ecology. Because of </w:t>
      </w:r>
      <w:r w:rsidR="00F77BF4">
        <w:rPr>
          <w:rFonts w:asciiTheme="majorHAnsi" w:hAnsiTheme="majorHAnsi" w:cstheme="majorHAnsi"/>
        </w:rPr>
        <w:t>this</w:t>
      </w:r>
      <w:r w:rsidR="00BC67D6" w:rsidRPr="00ED6C4D">
        <w:rPr>
          <w:rFonts w:asciiTheme="majorHAnsi" w:hAnsiTheme="majorHAnsi" w:cstheme="majorHAnsi"/>
        </w:rPr>
        <w:t xml:space="preserve"> wide disciplinary scope, each IAM makes explicit assumptions on how global systems operate. As such, a </w:t>
      </w:r>
      <w:r w:rsidR="00F77BF4">
        <w:rPr>
          <w:rFonts w:asciiTheme="majorHAnsi" w:hAnsiTheme="majorHAnsi" w:cstheme="majorHAnsi"/>
        </w:rPr>
        <w:t>group</w:t>
      </w:r>
      <w:r w:rsidR="00BC67D6" w:rsidRPr="00ED6C4D">
        <w:rPr>
          <w:rFonts w:asciiTheme="majorHAnsi" w:hAnsiTheme="majorHAnsi" w:cstheme="majorHAnsi"/>
        </w:rPr>
        <w:t xml:space="preserve"> of IAMs are used </w:t>
      </w:r>
      <w:r w:rsidR="00F77BF4">
        <w:rPr>
          <w:rFonts w:asciiTheme="majorHAnsi" w:hAnsiTheme="majorHAnsi" w:cstheme="majorHAnsi"/>
        </w:rPr>
        <w:t xml:space="preserve">collectively </w:t>
      </w:r>
      <w:r w:rsidR="00BC67D6" w:rsidRPr="00ED6C4D">
        <w:rPr>
          <w:rFonts w:asciiTheme="majorHAnsi" w:hAnsiTheme="majorHAnsi" w:cstheme="majorHAnsi"/>
        </w:rPr>
        <w:t xml:space="preserve">to frame policy evaluations </w:t>
      </w:r>
      <w:r w:rsidR="00BC67D6" w:rsidRPr="00ED6C4D">
        <w:rPr>
          <w:rFonts w:asciiTheme="majorHAnsi" w:hAnsiTheme="majorHAnsi" w:cstheme="majorHAnsi"/>
        </w:rPr>
        <w:fldChar w:fldCharType="begin" w:fldLock="1"/>
      </w:r>
      <w:r w:rsidR="001E46D7">
        <w:rPr>
          <w:rFonts w:asciiTheme="majorHAnsi" w:hAnsiTheme="majorHAnsi" w:cstheme="majorHAnsi"/>
        </w:rPr>
        <w:instrText>ADDIN CSL_CITATION {"citationItems":[{"id":"ITEM-1","itemData":{"DOI":"10.1016/0301-4215(95)90160-9","ISSN":"03014215","abstract":"The Asian Pacific Integrated Model (AIM) is a large-scale model for scenario analyses of green-house gas (GHG) emissions and the impacts of global warming in the Asian Pacific region. The AIM comprises two main models - the AIM/emission model for predicting GHG emissions and the AIM/impact model for estimating the impacts of global warming - which are linked by the global GHG cycle and the climate change models. This paper categorizes the scenarios that have been written so far in relation to global warming, and then, given fixed inputs, simulates the effects of global warming taking into account various uncertainties. Several recent outcomes from the AIM/impact model are then described. Assuming climate change scenarios deduced from AIM/emission and GCM experiments, primary impacts on water resources and natural vegetation are assessed. © 1995.","author":[{"dropping-particle":"","family":"Matsuoka","given":"Yuzuru","non-dropping-particle":"","parse-names":false,"suffix":""},{"dropping-particle":"","family":"Kainuma","given":"Mikiko","non-dropping-particle":"","parse-names":false,"suffix":""},{"dropping-particle":"","family":"Morita","given":"Tsuneyuki","non-dropping-particle":"","parse-names":false,"suffix":""}],"container-title":"Energy Policy","id":"ITEM-1","issued":{"date-parts":[["1995"]]},"title":"Scenario analysis of global warming using the Asian Pacific Integrated Model (AIM)","type":"article-journal"},"uris":["http://www.mendeley.com/documents/?uuid=15444ed9-79bf-4b83-bf74-11d28a1df3dc"]},{"id":"ITEM-2","itemData":{"DOI":"10.1016/j.envsoft.2018.11.012","ISSN":"13648152","abstract":"The MESSAGE Integrated Assessment Model (IAM) developed by IIASA has been a central tool of energy-environment-economy systems analysis in the global scientific and policy arena. It played a major role in the Assessment Reports of the Intergovernmental Panel on Climate Change (IPCC); it provided marker scenarios of the Representative Concentration Pathways (RCPs) and the Shared Socio-Economic Pathways (SSPs); and it underpinned the analysis of the Global Energy Assessment (GEA). Alas, to provide relevant analysis for current and future challenges, numerical models of human and earth systems need to support higher spatial and temporal resolution, facilitate integration of data sources and methodologies across disciplines, and become open and transparent regarding the underlying data, methods, and the scientific workflow. In this manuscript, we present the building blocks of a new framework for an integrated assessment modeling platform; the “ecosystem” comprises: i) an open-source GAMS implementation of the MESSAGE energy++ system model integrated with the MACRO economic model; ii) a Java/database back-end for version-controlled data management, iii) interfaces for the scientific programming languages Python &amp; R for efficient input data and results processing workflows; and iv) a web-browser-based user interface for model/scenario management and intuitive “drag-and-drop” visualization of results. The framework aims to facilitate the highest level of openness for scientific analysis, bridging the need for transparency with efficient data processing and powerful numerical solvers. The platform is geared towards easy integration of data sources and models across disciplines, spatial scales and temporal disaggregation levels. All tools apply best-practice in collaborative software development, and comprehensive documentation of all building blocks and scripts is generated directly from the GAMS equations and the Java/Python/R source code.","author":[{"dropping-particle":"","family":"Huppmann","given":"Daniel","non-dropping-particle":"","parse-names":false,"suffix":""},{"dropping-particle":"","family":"Gidden","given":"Matthew","non-dropping-particle":"","parse-names":false,"suffix":""},{"dropping-particle":"","family":"Fricko","given":"Oliver","non-dropping-particle":"","parse-names":false,"suffix":""},{"dropping-particle":"","family":"Kolp","given":"Peter","non-dropping-particle":"","parse-names":false,"suffix":""},{"dropping-particle":"","family":"Orthofer","given":"Clara","non-dropping-particle":"","parse-names":false,"suffix":""},{"dropping-particle":"","family":"Pimmer","given":"Michael","non-dropping-particle":"","parse-names":false,"suffix":""},{"dropping-particle":"","family":"Kushin","given":"Nikolay","non-dropping-particle":"","parse-names":false,"suffix":""},{"dropping-particle":"","family":"Vinca","given":"Adriano","non-dropping-particle":"","parse-names":false,"suffix":""},{"dropping-particle":"","family":"Mastrucci","given":"Alessio","non-dropping-particle":"","parse-names":false,"suffix":""},{"dropping-particle":"","family":"Riahi","given":"Keywan","non-dropping-particle":"","parse-names":false,"suffix":""},{"dropping-particle":"","family":"Krey","given":"Volker","non-dropping-particle":"","parse-names":false,"suffix":""}],"container-title":"Environmental Modelling and Software","id":"ITEM-2","issued":{"date-parts":[["2019"]]},"title":"The MESSAGEix Integrated Assessment Model and the ix modeling platform (ixmp): An open framework for integrated and cross-cutting analysis of energy, climate, the environment, and sustainable development","type":"article-journal"},"uris":["http://www.mendeley.com/documents/?uuid=5555fb53-8486-4777-aa16-8f098e8b2b02"]},{"id":"ITEM-3","itemData":{"ISBN":"9789491506710","abstract":"Many factors combine to drive the growth in health spending worldwide, but the introduction of new technologies, drugs, and therapies is probably the most important. However, in contrast to other industries, innovations in health care have not tended to reduce the need for labor. In fact, labor still accounts for the largest proportion of expenditures in many health systems. But labor-saving technologies, workforce innovations, and patient self-care approaches are now emerging and altering health care's labor structure. For example, in Mexico more than one million households pay \\$5 per month to access a health advice hotline before setting foot in a physician's office. In India assembly line-style eye surgery has dramatically reduced cost without sacrificing quality. Policy makers should focus on such labor-saving innovations; reform reimbursement systems to encourage them; tackle professionals' resistance; and remove regulatory barriers. Bold experiments to redesign health services around patient self-care approaches are also warranted. © 2013 Project HOPE-The People-to-People Health Foundation, Inc.","author":[{"dropping-particle":"","family":"Stehfest","given":"E","non-dropping-particle":"","parse-names":false,"suffix":""},{"dropping-particle":"","family":"Vuuren","given":"D","non-dropping-particle":"van","parse-names":false,"suffix":""},{"dropping-particle":"","family":"Kram","given":"Tom","non-dropping-particle":"","parse-names":false,"suffix":""},{"dropping-particle":"","family":"Bouwman","given":"Lex","non-dropping-particle":"","parse-names":false,"suffix":""},{"dropping-particle":"","family":"Alkemade","given":"R","non-dropping-particle":"","parse-names":false,"suffix":""},{"dropping-particle":"","family":"Bakkenes","given":"Michel","non-dropping-particle":"","parse-names":false,"suffix":""},{"dropping-particle":"","family":"Biemans","given":"Hester","non-dropping-particle":"","parse-names":false,"suffix":""},{"dropping-particle":"","family":"Bouwman","given":"Arno","non-dropping-particle":"","parse-names":false,"suffix":""},{"dropping-particle":"","family":"Elzen","given":"Michel","non-dropping-particle":"Den","parse-names":false,"suffix":""},{"dropping-particle":"","family":"Janse","given":"Jan","non-dropping-particle":"","parse-names":false,"suffix":""},{"dropping-particle":"","family":"Alkemade,","given":"Rob","non-dropping-particle":"","parse-names":false,"suffix":""},{"dropping-particle":"","family":"Bakkenes","given":"Michel","non-dropping-particle":"","parse-names":false,"suffix":""},{"dropping-particle":"","family":"Biemans","given":"Hester","non-dropping-particle":"","parse-names":false,"suffix":""},{"dropping-particle":"","family":"Bouwman","given":"Arno","non-dropping-particle":"","parse-names":false,"suffix":""},{"dropping-particle":"","family":"Elzen","given":"Michel","non-dropping-particle":"Den","parse-names":false,"suffix":""},{"dropping-particle":"","family":"Janse","given":"Jan","non-dropping-particle":"","parse-names":false,"suffix":""},{"dropping-particle":"","family":"Lucas","given":"Paul","non-dropping-particle":"","parse-names":false,"suffix":""},{"dropping-particle":"","family":"Minnen","given":"Jelle","non-dropping-particle":"van","parse-names":false,"suffix":""},{"dropping-particle":"","family":"Muller","given":"Christoph","non-dropping-particle":"","parse-names":false,"suffix":""},{"dropping-particle":"","family":"Prins","given":"Anne Gerdien","non-dropping-particle":"","parse-names":false,"suffix":""}],"container-title":"Model description and policy applications, The Hague: PBL Netherlands Environmental Assessment Agency","id":"ITEM-3","issued":{"date-parts":[["2014"]]},"title":"Integrated assessment of global environmental change with IMAGE 3.0","type":"book"},"uris":["http://www.mendeley.com/documents/?uuid=8b065890-a30c-4797-8c8a-0715ff947fbc"]},{"id":"ITEM-4","itemData":{"abstract":"Integrated Assessment Models (IAMs) models are used to evaluate the technological and economic feasibility of climate goals such as the Paris Agreement’s long-term temperature goal to hold global warming well below 2˚C and pursue efforts to limit this warming to 1.5˚C above pre-industrial. The results of these models are assessed in Intergovernmental Panel on Climate Change (IPCC) reports, and play a central role in the IPCC Special Report “Global Warming of 1.5°C” (SR1.5). This briefing sets out some of the important context and caveats in relation to understanding IAMs and their results, particularly in relation to the Paris Agreement’s 1.5°C limit.","author":[{"dropping-particle":"","family":"Hare","given":"Bill","non-dropping-particle":"","parse-names":false,"suffix":""},{"dropping-particle":"","family":"Brecha","given":"Robert","non-dropping-particle":"","parse-names":false,"suffix":""},{"dropping-particle":"","family":"Schaeffer","given":"Michiel","non-dropping-particle":"","parse-names":false,"suffix":""}],"id":"ITEM-4","issued":{"date-parts":[["2018"]]},"publisher-place":"Berlin","title":"Integrated Assessment Models: what are they and how do they arrive at their conclusions?","type":"report"},"uris":["http://www.mendeley.com/documents/?uuid=d466d468-637e-4151-b834-7e29ff54a380","http://www.mendeley.com/documents/?uuid=9c1908da-67d9-44f8-b607-f0050face12b"]},{"id":"ITEM-5","itemData":{"author":[{"dropping-particle":"","family":"Consortium for International Earth Science Information Network (CIESN)","given":"","non-dropping-particle":"","parse-names":false,"suffix":""}],"id":"ITEM-5","issued":{"date-parts":[["1995"]]},"title":"Thematic Guide to Integrated Assessment Modeling of Climate Change","type":"webpage"},"uris":["http://www.mendeley.com/documents/?uuid=66554bea-6679-4a09-9df0-5af33eb9105b","http://www.mendeley.com/documents/?uuid=8104a523-f7ad-4235-8ff7-d5d4b16d3839"]}],"mendeley":{"formattedCitation":"[14–18]","plainTextFormattedCitation":"[14–18]","previouslyFormattedCitation":"[14–18]"},"properties":{"noteIndex":0},"schema":"https://github.com/citation-style-language/schema/raw/master/csl-citation.json"}</w:instrText>
      </w:r>
      <w:r w:rsidR="00BC67D6" w:rsidRPr="00ED6C4D">
        <w:rPr>
          <w:rFonts w:asciiTheme="majorHAnsi" w:hAnsiTheme="majorHAnsi" w:cstheme="majorHAnsi"/>
        </w:rPr>
        <w:fldChar w:fldCharType="separate"/>
      </w:r>
      <w:r w:rsidR="00BC67D6" w:rsidRPr="00ED6C4D">
        <w:rPr>
          <w:rFonts w:asciiTheme="majorHAnsi" w:hAnsiTheme="majorHAnsi" w:cstheme="majorHAnsi"/>
          <w:noProof/>
        </w:rPr>
        <w:t>[14–18]</w:t>
      </w:r>
      <w:r w:rsidR="00BC67D6" w:rsidRPr="00ED6C4D">
        <w:rPr>
          <w:rFonts w:asciiTheme="majorHAnsi" w:hAnsiTheme="majorHAnsi" w:cstheme="majorHAnsi"/>
        </w:rPr>
        <w:fldChar w:fldCharType="end"/>
      </w:r>
      <w:r w:rsidR="00BC67D6" w:rsidRPr="00ED6C4D">
        <w:rPr>
          <w:rFonts w:asciiTheme="majorHAnsi" w:hAnsiTheme="majorHAnsi" w:cstheme="majorHAnsi"/>
        </w:rPr>
        <w:t xml:space="preserve">. </w:t>
      </w:r>
    </w:p>
    <w:p w14:paraId="74EB0A81" w14:textId="09014E83" w:rsidR="00BB2B71" w:rsidRPr="00ED6C4D" w:rsidRDefault="00BB2B71" w:rsidP="00BB2B71">
      <w:pPr>
        <w:spacing w:line="360" w:lineRule="auto"/>
        <w:ind w:firstLine="720"/>
        <w:rPr>
          <w:rFonts w:asciiTheme="majorHAnsi" w:hAnsiTheme="majorHAnsi" w:cstheme="majorHAnsi"/>
        </w:rPr>
      </w:pPr>
      <w:r w:rsidRPr="00ED6C4D">
        <w:rPr>
          <w:rFonts w:asciiTheme="majorHAnsi" w:hAnsiTheme="majorHAnsi" w:cstheme="majorHAnsi"/>
        </w:rPr>
        <w:t xml:space="preserve">In addition to its interactions with climate policymaking, the global energy trade network also plays a key role in determining the energy security of a region. The historical approach to achieving energy security was through diversification of the trade portfolio; energy importers were (and are) considered less vulnerable when they import more types of resources from a greater number of exporters </w:t>
      </w:r>
      <w:r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{"citationItems":[{"id":"ITEM-1","itemData":{"ISSN":"00157120","abstract":"OLD QUESTIONS, NEW ANSWERS ON THE EVE of World War I, First Lord of the Admiralty Winston Churchill made a historic decision: to shift the power source of the British navy's ships from coal to oil. He intended to make the fleet faster than its German counterpart. But the switch also meant that the Royal Navy would rely not on coal from Wales but on insecure oil supplies from what was then Persia. Energy security thus became a question of national strategy. Churchill's answer? \"Safety and certainty in oil,\" he said, \"lie in variety and variety alone.\" Since Churchill's decision, energy security has repeatedly emerged as an issue of great importance, and it is so once again today. But the subject now needs to be rethought, for what has been the paradigm of energy security for the past three decades is too limited and must be expanded to include many new factors. Moreover, it must be recog nized that energy security does not stand by itself but is lodged in the larger relations among nations and how they interact with one another. Energy security will be the number one topic on the agenda when the group of eight highly industrialized countries (G-8) meets in St. Petersburg in July. The renewed focus on energy security is driven in part by an exceedingly tight oil market and by high oil prices, which have doubled over the past three years. But it is also fueled by the threat of terrorism, instability in some exporting nations, a nationalist backlash, fears of a scramble for supplies, geopolitical rivalries, and countries' fundamental need for energy to power their economic growth.","author":[{"dropping-particle":"","family":"Tergin","given":"Daniel","non-dropping-particle":"","parse-names":false,"suffix":""}],"container-title":"Foreign Affairs","id":"ITEM-1","issued":{"date-parts":[["2006"]]},"title":"Ensuring Energy Security","type":"article"},"uris":["http://www.mendeley.com/documents/?uuid=eaa9bf73-dd74-4e56-9e4d-235f05057052"]}],"mendeley":{"formattedCitation":"[19]","plainTextFormattedCitation":"[19]","previouslyFormattedCitation":"[19]"},"properties":{"noteIndex":0},"schema":"https://github.com/citation-style-language/schema/raw/master/csl-citation.json"}</w:instrText>
      </w:r>
      <w:r w:rsidRPr="00ED6C4D">
        <w:rPr>
          <w:rFonts w:asciiTheme="majorHAnsi" w:hAnsiTheme="majorHAnsi" w:cstheme="majorHAnsi"/>
        </w:rPr>
        <w:fldChar w:fldCharType="separate"/>
      </w:r>
      <w:r w:rsidR="00BC67D6" w:rsidRPr="00ED6C4D">
        <w:rPr>
          <w:rFonts w:asciiTheme="majorHAnsi" w:hAnsiTheme="majorHAnsi" w:cstheme="majorHAnsi"/>
          <w:noProof/>
        </w:rPr>
        <w:t>[19]</w:t>
      </w:r>
      <w:r w:rsidRPr="00ED6C4D">
        <w:rPr>
          <w:rFonts w:asciiTheme="majorHAnsi" w:hAnsiTheme="majorHAnsi" w:cstheme="majorHAnsi"/>
        </w:rPr>
        <w:fldChar w:fldCharType="end"/>
      </w:r>
      <w:r w:rsidRPr="00ED6C4D">
        <w:rPr>
          <w:rFonts w:asciiTheme="majorHAnsi" w:hAnsiTheme="majorHAnsi" w:cstheme="majorHAnsi"/>
        </w:rPr>
        <w:t xml:space="preserve">. Energy independence, or the ability to meet national energy demand using only domestic resources, is also used as a key indicator for energy security </w:t>
      </w:r>
      <w:r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{"citationItems":[{"id":"ITEM-1","itemData":{"DOI":"10.1016/j.enpol.2009.01.041","ISSN":"03014215","abstract":"Stochastic simulation of the direct economic costs of oil dependence in an uncertain future is proposed as a useful metric of oil dependence. The market failure from which these costs arise is imperfect competition in the world oil market, chiefly as a consequence of the use of market power by the Organization of the Petroleum Exporting Countries (OPEC) cartel. Oil dependence costs can be substantial. It is estimated that oil dependence costs to the US economy in 2008 will exceed $500 billion. Other costs, such as military expenditures or foreign policy constraints are deemed to be largely derivative of the actual or potential economic costs of oil dependence. The use of quantifiable economic costs as a security metric leads to a measurable definition of oil independence, or oil security, which can be used to test the ability of specific policies to achieve oil independence in an uncertain future. © 2009 Elsevier Ltd.","author":[{"dropping-particle":"","family":"Greene","given":"David L.","non-dropping-particle":"","parse-names":false,"suffix":""}],"container-title":"Energy Policy","id":"ITEM-1","issued":{"date-parts":[["2010"]]},"title":"Measuring energy security: Can the United States achieve oil independence?","type":"article-journal"},"uris":["http://www.mendeley.com/documents/?uuid=097425b0-f349-4355-a3ae-571baf97b0c7"]},{"id":"ITEM-2","itemData":{"DOI":"10.1038/nenergy.2016.73","ISSN":"20587546","abstract":"Ensuring energy security and mitigating climate change are key energy policy priorities. The recent Intergovernmental Panel on Climate Change Working Group III report emphasized that climate policies can deliver energy security as a co-benefit, in large part through reducing energy imports. Using five state-of-the-art global energy-economy models and eight long- term scenarios, we show that although deep cuts in greenhouse gas emissions would reduce energy imports, the reverse is not true: ambitious policies constraining energy imports would have an insignificant impact on climate change. Restricting imports of all fuels would lower twenty-first-century emissions by only 2–15% against the Baseline scenario as compared with a 70%reduction in a 450 stabilization scenario. Restricting only oil imports would have virtually no impact on emissions. The modelled energy independence targets could be achieved at policy costs comparable to those of existing climate pledges but a fraction of the cost of limiting global warming to 2 ◦ C.","author":[{"dropping-particle":"","family":"Jewell","given":"Jessica","non-dropping-particle":"","parse-names":false,"suffix":""},{"dropping-particle":"","family":"Vinichenko","given":"Vadim","non-dropping-particle":"","parse-names":false,"suffix":""},{"dropping-particle":"","family":"McCollum","given":"David","non-dropping-particle":"","parse-names":false,"suffix":""},{"dropping-particle":"","family":"Bauer","given":"Nico","non-dropping-particle":"","parse-names":false,"suffix":""},{"dropping-particle":"","family":"Riahi","given":"Keywan","non-dropping-particle":"","parse-names":false,"suffix":""},{"dropping-particle":"","family":"Aboumahboub","given":"Tino","non-dropping-particle":"","parse-names":false,"suffix":""},{"dropping-particle":"","family":"Fricko","given":"Oliver","non-dropping-particle":"","parse-names":false,"suffix":""},{"dropping-particle":"","family":"Harmsen","given":"Mathijs","non-dropping-particle":"","parse-names":false,"suffix":""},{"dropping-particle":"","family":"Kober","given":"Tom","non-dropping-particle":"","parse-names":false,"suffix":""},{"dropping-particle":"","family":"Krey","given":"Volker","non-dropping-particle":"","parse-names":false,"suffix":""},{"dropping-particle":"","family":"Marangoni","given":"Giacomo","non-dropping-particle":"","parse-names":false,"suffix":""},{"dropping-particle":"","family":"Tavoni","given":"Massimo","non-dropping-particle":"","parse-names":false,"suffix":""},{"dropping-particle":"","family":"Vuuren","given":"Detlef P.","non-dropping-particle":"Van","parse-names":false,"suffix":""},{"dropping-particle":"","family":"Zwaan","given":"Bob","non-dropping-particle":"Van Der","parse-names":false,"suffix":""},{"dropping-particle":"","family":"Cherp","given":"Aleh","non-dropping-particle":"","parse-names":false,"suffix":""}],"container-title":"Nature Energy","id":"ITEM-2","issued":{"date-parts":[["2016"]]},"title":"Comparison and interactions between the long-term pursuit of energy independence and climate policies","type":"article-journal"},"uris":["http://www.mendeley.com/documents/?uuid=9972ac15-afcc-4e15-8f09-9f6cdbb1c3e8"]}],"mendeley":{"formattedCitation":"[13,20]","plainTextFormattedCitation":"[13,20]","previouslyFormattedCitation":"[13,20]"},"properties":{"noteIndex":0},"schema":"https://github.com/citation-style-language/schema/raw/master/csl-citation.json"}</w:instrText>
      </w:r>
      <w:r w:rsidRPr="00ED6C4D">
        <w:rPr>
          <w:rFonts w:asciiTheme="majorHAnsi" w:hAnsiTheme="majorHAnsi" w:cstheme="majorHAnsi"/>
        </w:rPr>
        <w:fldChar w:fldCharType="separate"/>
      </w:r>
      <w:r w:rsidR="00BC67D6" w:rsidRPr="00ED6C4D">
        <w:rPr>
          <w:rFonts w:asciiTheme="majorHAnsi" w:hAnsiTheme="majorHAnsi" w:cstheme="majorHAnsi"/>
          <w:noProof/>
        </w:rPr>
        <w:t>[13,20]</w:t>
      </w:r>
      <w:r w:rsidRPr="00ED6C4D">
        <w:rPr>
          <w:rFonts w:asciiTheme="majorHAnsi" w:hAnsiTheme="majorHAnsi" w:cstheme="majorHAnsi"/>
        </w:rPr>
        <w:fldChar w:fldCharType="end"/>
      </w:r>
      <w:r w:rsidRPr="00ED6C4D">
        <w:rPr>
          <w:rFonts w:asciiTheme="majorHAnsi" w:hAnsiTheme="majorHAnsi" w:cstheme="majorHAnsi"/>
        </w:rPr>
        <w:t xml:space="preserve">. In the last few decades, energy security indices have been updated so that they also address issues of geopolitical path dependence </w:t>
      </w:r>
      <w:r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{"citationItems":[{"id":"ITEM-1","itemData":{"DOI":"10.1016/j.enpol.2009.05.069","ISSN":"03014215","abstract":"The security of energy supply is one of the main objectives of EU energy policy. In this paper, we introduce an index designed to evaluate the short-term risks associated with the external supply of energy to the EU Member States. It combines measures of energy import diversification, political risks of the supplying country, risk associated with energy transit, and the economic impact of a supply disruption. We construct separate indexes for three primary energy types, oil, gas and coal, and demonstrate that Member States' levels of supply risk exposure differ across energies. Most other studies of this kind provide aggregate indexes combining different types of energy. Our results suggest that an aggregate approach could be misleading, at least for discussions of the short-term response to risks. We discuss the implications of our findings for the common energy policy. © 2009 Elsevier Ltd. All rights reserved.","author":[{"dropping-particle":"","family":"Coq","given":"Chloé","non-dropping-particle":"Le","parse-names":false,"suffix":""},{"dropping-particle":"","family":"Paltseva","given":"Elena","non-dropping-particle":"","parse-names":false,"suffix":""}],"container-title":"Energy Policy","id":"ITEM-1","issued":{"date-parts":[["2009"]]},"title":"Measuring the security of external energy supply in the European Union","type":"article-journal"},"uris":["http://www.mendeley.com/documents/?uuid=3815ee24-4ac4-487c-ac20-a48bf5b52d41"]},{"id":"ITEM-2","itemData":{"DOI":"10.1016/j.enpol.2009.02.006","ISSN":"03014215","abstract":"The concept of energy security is widely used, yet there is no consensus on its precise interpretation. In this research, we have provided an overview of available indicators for long-term security of supply (SOS). We distinguished four dimensions of energy security that relate to the availability, accessibility, affordability and acceptability of energy and classified indicators for energy security according to this taxonomy. There is no one ideal indicator, as the notion of energy security is highly context dependent. Rather, applying multiple indicators leads to a broader understanding. Incorporating these indicators in model-based scenario analysis showed accelerated depletion of currently known fossil resources due to increasing global demand. Coupled with increasing spatial discrepancy between consumption and production, international trade in energy carriers is projected to have increased by 142% in 2050 compared to 2008. Oil production is projected to become increasingly concentrated in a few countries up to 2030, after which production from other regions diversifies the market. Under stringent climate policies, this diversification may not occur due to reduced demand for oil. Possible benefits of climate policy include increased fuel diversity and slower depletion of fossil resources. © 2009 Elsevier Ltd. All rights reserved.","author":[{"dropping-particle":"","family":"Kruyt","given":"Bert","non-dropping-particle":"","parse-names":false,"suffix":""},{"dropping-particle":"","family":"Vuuren","given":"D. P.","non-dropping-particle":"van","parse-names":false,"suffix":""},{"dropping-particle":"","family":"Vries","given":"H. J.M.","non-dropping-particle":"de","parse-names":false,"suffix":""},{"dropping-particle":"","family":"Groenenberg","given":"H.","non-dropping-particle":"","parse-names":false,"suffix":""}],"container-title":"Energy Policy","id":"ITEM-2","issued":{"date-parts":[["2009"]]},"title":"Indicators for energy security","type":"article-journal"},"uris":["http://www.mendeley.com/documents/?uuid=c17fd93c-0fdc-4819-9b60-e08ee8a960a5"]}],"mendeley":{"formattedCitation":"[21,22]","plainTextFormattedCitation":"[21,22]","previouslyFormattedCitation":"[21,22]"},"properties":{"noteIndex":0},"schema":"https://github.com/citation-style-language/schema/raw/master/csl-citation.json"}</w:instrText>
      </w:r>
      <w:r w:rsidRPr="00ED6C4D">
        <w:rPr>
          <w:rFonts w:asciiTheme="majorHAnsi" w:hAnsiTheme="majorHAnsi" w:cstheme="majorHAnsi"/>
        </w:rPr>
        <w:fldChar w:fldCharType="separate"/>
      </w:r>
      <w:r w:rsidR="00BC67D6" w:rsidRPr="00ED6C4D">
        <w:rPr>
          <w:rFonts w:asciiTheme="majorHAnsi" w:hAnsiTheme="majorHAnsi" w:cstheme="majorHAnsi"/>
          <w:noProof/>
        </w:rPr>
        <w:t>[21,22]</w:t>
      </w:r>
      <w:r w:rsidRPr="00ED6C4D">
        <w:rPr>
          <w:rFonts w:asciiTheme="majorHAnsi" w:hAnsiTheme="majorHAnsi" w:cstheme="majorHAnsi"/>
        </w:rPr>
        <w:fldChar w:fldCharType="end"/>
      </w:r>
      <w:r w:rsidRPr="00ED6C4D">
        <w:rPr>
          <w:rFonts w:asciiTheme="majorHAnsi" w:hAnsiTheme="majorHAnsi" w:cstheme="majorHAnsi"/>
        </w:rPr>
        <w:t xml:space="preserve">, energy shocks (e.g. the oil shock of the 1970’s), and the integration of new economies into the global market </w:t>
      </w:r>
      <w:r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{"citationItems":[{"id":"ITEM-1","itemData":{"ISSN":"00157120","abstract":"OLD QUESTIONS, NEW ANSWERS ON THE EVE of World War I, First Lord of the Admiralty Winston Churchill made a historic decision: to shift the power source of the British navy's ships from coal to oil. He intended to make the fleet faster than its German counterpart. But the switch also meant that the Royal Navy would rely not on coal from Wales but on insecure oil supplies from what was then Persia. Energy security thus became a question of national strategy. Churchill's answer? \"Safety and certainty in oil,\" he said, \"lie in variety and variety alone.\" Since Churchill's decision, energy security has repeatedly emerged as an issue of great importance, and it is so once again today. But the subject now needs to be rethought, for what has been the paradigm of energy security for the past three decades is too limited and must be expanded to include many new factors. Moreover, it must be recog nized that energy security does not stand by itself but is lodged in the larger relations among nations and how they interact with one another. Energy security will be the number one topic on the agenda when the group of eight highly industrialized countries (G-8) meets in St. Petersburg in July. The renewed focus on energy security is driven in part by an exceedingly tight oil market and by high oil prices, which have doubled over the past three years. But it is also fueled by the threat of terrorism, instability in some exporting nations, a nationalist backlash, fears of a scramble for supplies, geopolitical rivalries, and countries' fundamental need for energy to power their economic growth.","author":[{"dropping-particle":"","family":"Yergin","given":"Daniel","non-dropping-particle":"","parse-names":false,"suffix":""}],"container-title":"Foreign Affairs","id":"ITEM-1","issued":{"date-parts":[["2006"]]},"title":"Ensuring Energy Security","type":"article"},"uris":["http://www.mendeley.com/documents/?uuid=e84b8bc8-34bf-45bf-92dc-bd885dfc5029"]}],"mendeley":{"formattedCitation":"[23]","plainTextFormattedCitation":"[23]","previouslyFormattedCitation":"[23]"},"properties":{"noteIndex":0},"schema":"https://github.com/citation-style-language/schema/raw/master/csl-citation.json"}</w:instrText>
      </w:r>
      <w:r w:rsidRPr="00ED6C4D">
        <w:rPr>
          <w:rFonts w:asciiTheme="majorHAnsi" w:hAnsiTheme="majorHAnsi" w:cstheme="majorHAnsi"/>
        </w:rPr>
        <w:fldChar w:fldCharType="separate"/>
      </w:r>
      <w:r w:rsidR="00BC67D6" w:rsidRPr="00ED6C4D">
        <w:rPr>
          <w:rFonts w:asciiTheme="majorHAnsi" w:hAnsiTheme="majorHAnsi" w:cstheme="majorHAnsi"/>
          <w:noProof/>
        </w:rPr>
        <w:t>[23]</w:t>
      </w:r>
      <w:r w:rsidRPr="00ED6C4D">
        <w:rPr>
          <w:rFonts w:asciiTheme="majorHAnsi" w:hAnsiTheme="majorHAnsi" w:cstheme="majorHAnsi"/>
        </w:rPr>
        <w:fldChar w:fldCharType="end"/>
      </w:r>
      <w:r w:rsidRPr="00ED6C4D">
        <w:rPr>
          <w:rFonts w:asciiTheme="majorHAnsi" w:hAnsiTheme="majorHAnsi" w:cstheme="majorHAnsi"/>
        </w:rPr>
        <w:t>. More recently, studies have incorporated metrics from complex network analysis (CNA) to assess the vulnerability of regional energy systems and the stability of the energy trade network overall.</w:t>
      </w:r>
    </w:p>
    <w:p w14:paraId="7D183999" w14:textId="0DDCAF50" w:rsidR="00BB2B71"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Despite advances in both energy security research and IAMs, the </w:t>
      </w:r>
      <w:r w:rsidR="009C63BC" w:rsidRPr="00ED6C4D">
        <w:rPr>
          <w:rFonts w:asciiTheme="majorHAnsi" w:hAnsiTheme="majorHAnsi" w:cstheme="majorHAnsi"/>
        </w:rPr>
        <w:t xml:space="preserve">capacity to explicitly include changes in trade networks in </w:t>
      </w:r>
      <w:r w:rsidRPr="00ED6C4D">
        <w:rPr>
          <w:rFonts w:asciiTheme="majorHAnsi" w:hAnsiTheme="majorHAnsi" w:cstheme="majorHAnsi"/>
        </w:rPr>
        <w:t xml:space="preserve">future projections </w:t>
      </w:r>
      <w:r w:rsidR="009C63BC" w:rsidRPr="00ED6C4D">
        <w:rPr>
          <w:rFonts w:asciiTheme="majorHAnsi" w:hAnsiTheme="majorHAnsi" w:cstheme="majorHAnsi"/>
        </w:rPr>
        <w:t>are limited, with a few exceptions</w:t>
      </w:r>
      <w:r w:rsidRPr="00ED6C4D">
        <w:rPr>
          <w:rFonts w:asciiTheme="majorHAnsi" w:hAnsiTheme="majorHAnsi" w:cstheme="majorHAnsi"/>
        </w:rPr>
        <w:t xml:space="preserve"> </w:t>
      </w:r>
      <w:r w:rsidR="00BB2B71"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{"citationItems":[{"id":"ITEM-1","itemData":{"DOI":"10.1016/j.esr.2018.03.003","ISSN":"2211467X","abstract":"A high degree of consensus exists in the climate sciences over the role that human interference with the atmosphere is playing in changing the climate. Following the Paris Agreement, a similar consensus exists in the policy community over the urgency of policy solutions to the climate problem. The context for climate policy is thus moving from agenda setting, which has now been mostly established, to impact assessment, in which we identify policy pathways to implement the Paris Agreement. Most integrated assessment models currently used to address the economic and technical feasibility of avoiding climate change are based on engineering perspectives with a normative systems optimisation philosophy, suitable for agenda setting, but unsuitable to assess the socio-economic impacts of realistic baskets of climate policies. Here, we introduce a fully descriptive, simulation-based integrated assessment model designed specifically to assess policies, formed by the combination of (1) a highly disaggregated macro-econometric simulation of the global economy based on time series regressions (E3ME), (2) a family of bottom-up evolutionary simulations of technology diffusion based on cross-sectional discrete choice models (FTT), and (3) a carbon cycle and atmosphere circulation model of intermediate complexity (GENIE). We use this combined model to create a detailed global and sectoral policy map and scenario that sets the economy on a pathway that achieves the goals of the Paris Agreement with &gt;66% probability of not exceeding 2 °C of global warming. We propose a blueprint for a new role for integrated assessment models in this upcoming policy assessment context.","author":[{"dropping-particle":"","family":"Mercure","given":"Jean Francois","non-dropping-particle":"","parse-names":false,"suffix":""},{"dropping-particle":"","family":"Pollitt","given":"Hector","non-dropping-particle":"","parse-names":false,"suffix":""},{"dropping-particle":"","family":"Edwards","given":"Neil R.","non-dropping-particle":"","parse-names":false,"suffix":""},{"dropping-particle":"","family":"Holden","given":"Philip B.","non-dropping-particle":"","parse-names":false,"suffix":""},{"dropping-particle":"","family":"Chewpreecha","given":"Unnada","non-dropping-particle":"","parse-names":false,"suffix":""},{"dropping-particle":"","family":"Salas","given":"Pablo","non-dropping-particle":"","parse-names":false,"suffix":""},{"dropping-particle":"","family":"Lam","given":"Aileen","non-dropping-particle":"","parse-names":false,"suffix":""},{"dropping-particle":"","family":"Knobloch","given":"Florian","non-dropping-particle":"","parse-names":false,"suffix":""},{"dropping-particle":"","family":"Vinuales","given":"Jorge E.","non-dropping-particle":"","parse-names":false,"suffix":""}],"container-title":"Energy Strategy Reviews","id":"ITEM-1","issued":{"date-parts":[["2018"]]},"title":"Environmental impact assessment for climate change policy with the simulation-based integrated assessment model E3ME-FTT-GENIE","type":"article-journal"},"uris":["http://www.mendeley.com/documents/?uuid=78566cc5-918a-4ff6-898e-f0ea8ccdb85b"]}],"mendeley":{"formattedCitation":"[24]","plainTextFormattedCitation":"[24]","previouslyFormattedCitation":"[24]"},"properties":{"noteIndex":0},"schema":"https://github.com/citation-style-language/schema/raw/master/csl-citation.json"}</w:instrText>
      </w:r>
      <w:r w:rsidR="00BB2B71" w:rsidRPr="00ED6C4D">
        <w:rPr>
          <w:rFonts w:asciiTheme="majorHAnsi" w:hAnsiTheme="majorHAnsi" w:cstheme="majorHAnsi"/>
        </w:rPr>
        <w:fldChar w:fldCharType="separate"/>
      </w:r>
      <w:r w:rsidR="00BC67D6" w:rsidRPr="00ED6C4D">
        <w:rPr>
          <w:rFonts w:asciiTheme="majorHAnsi" w:hAnsiTheme="majorHAnsi" w:cstheme="majorHAnsi"/>
          <w:noProof/>
        </w:rPr>
        <w:t>[24]</w:t>
      </w:r>
      <w:r w:rsidR="00BB2B71" w:rsidRPr="00ED6C4D">
        <w:rPr>
          <w:rFonts w:asciiTheme="majorHAnsi" w:hAnsiTheme="majorHAnsi" w:cstheme="majorHAnsi"/>
        </w:rPr>
        <w:fldChar w:fldCharType="end"/>
      </w:r>
      <w:r w:rsidRPr="00ED6C4D">
        <w:rPr>
          <w:rFonts w:asciiTheme="majorHAnsi" w:hAnsiTheme="majorHAnsi" w:cstheme="majorHAnsi"/>
        </w:rPr>
        <w:t xml:space="preserve">. This study bridges this gap by introducing a new framework for modeling bilateral trade in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one of several key global energy models </w:t>
      </w:r>
      <w:r w:rsidR="00BB2B71"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{"citationItems":[{"id":"ITEM-1","itemData":{"abstract":"This report describes the general form of an energy supply model called MESSAGE (Model for Energy Supply Systems And their General Environmental impact). MESSAGE is a dynamic linear programming model minimizing total costs of energy supply over a given time horizon. It balances secondary energy demand with primary energy supply. The model permits definitions of load regions, distinguishes between indigenous and imported resources, and takes account of the environmental impact of energy supply strategies. The most important application of MESSAGE is in the description of the IIASA global energy scenarios. A set of models and formalized procedures, each describing one part of the energy system, is arranged as a loop. Iterative application of the model loop leads to globally consistent scenarios in the development of the global energy system. The important relation for MESSAGE in this loop is with the energy demand model MEDEE-2 which provides the demand data for MESSAGE. Information on energy costs flows back to the demand model. MESSAGE can be used as a stand-alone model, and can also be applied to geographical regions other than the world regions of the global study.","author":[{"dropping-particle":"","family":"Schrattenholzer","given":"L.","non-dropping-particle":"","parse-names":false,"suffix":""}],"container-title":"International Institute for Applied System Analusis, Research Report,","id":"ITEM-1","issued":{"date-parts":[["1981"]]},"title":"The energy supply model MESSAGE.","type":"article-journal"},"uris":["http://www.mendeley.com/documents/?uuid=637d8c54-3812-4396-9d4a-87d65f9a4c08"]},{"id":"ITEM-2","itemData":{"DOI":"10.1016/j.envsoft.2018.11.012","ISSN":"13648152","abstract":"The MESSAGE Integrated Assessment Model (IAM) developed by IIASA has been a central tool of energy-environment-economy systems analysis in the global scientific and policy arena. It played a major role in the Assessment Reports of the Intergovernmental Panel on Climate Change (IPCC); it provided marker scenarios of the Representative Concentration Pathways (RCPs) and the Shared Socio-Economic Pathways (SSPs); and it underpinned the analysis of the Global Energy Assessment (GEA). Alas, to provide relevant analysis for current and future challenges, numerical models of human and earth systems need to support higher spatial and temporal resolution, facilitate integration of data sources and methodologies across disciplines, and become open and transparent regarding the underlying data, methods, and the scientific workflow. In this manuscript, we present the building blocks of a new framework for an integrated assessment modeling platform; the “ecosystem” comprises: i) an open-source GAMS implementation of the MESSAGE energy++ system model integrated with the MACRO economic model; ii) a Java/database back-end for version-controlled data management, iii) interfaces for the scientific programming languages Python &amp; R for efficient input data and results processing workflows; and iv) a web-browser-based user interface for model/scenario management and intuitive “drag-and-drop” visualization of results. The framework aims to facilitate the highest level of openness for scientific analysis, bridging the need for transparency with efficient data processing and powerful numerical solvers. The platform is geared towards easy integration of data sources and models across disciplines, spatial scales and temporal disaggregation levels. All tools apply best-practice in collaborative software development, and comprehensive documentation of all building blocks and scripts is generated directly from the GAMS equations and the Java/Python/R source code.","author":[{"dropping-particle":"","family":"Huppmann","given":"Daniel","non-dropping-particle":"","parse-names":false,"suffix":""},{"dropping-particle":"","family":"Gidden","given":"Matthew","non-dropping-particle":"","parse-names":false,"suffix":""},{"dropping-particle":"","family":"Fricko","given":"Oliver","non-dropping-particle":"","parse-names":false,"suffix":""},{"dropping-particle":"","family":"Kolp","given":"Peter","non-dropping-particle":"","parse-names":false,"suffix":""},{"dropping-particle":"","family":"Orthofer","given":"Clara","non-dropping-particle":"","parse-names":false,"suffix":""},{"dropping-particle":"","family":"Pimmer","given":"Michael","non-dropping-particle":"","parse-names":false,"suffix":""},{"dropping-particle":"","family":"Kushin","given":"Nikolay","non-dropping-particle":"","parse-names":false,"suffix":""},{"dropping-particle":"","family":"Vinca","given":"Adriano","non-dropping-particle":"","parse-names":false,"suffix":""},{"dropping-particle":"","family":"Mastrucci","given":"Alessio","non-dropping-particle":"","parse-names":false,"suffix":""},{"dropping-particle":"","family":"Riahi","given":"Keywan","non-dropping-particle":"","parse-names":false,"suffix":""},{"dropping-particle":"","family":"Krey","given":"Volker","non-dropping-particle":"","parse-names":false,"suffix":""}],"container-title":"Environmental Modelling and Software","id":"ITEM-2","issued":{"date-parts":[["2019"]]},"title":"The MESSAGEix Integrated Assessment Model and the ix modeling platform (ixmp): An open framework for integrated and cross-cutting analysis of energy, climate, the environment, and sustainable development","type":"article-journal"},"uris":["http://www.mendeley.com/documents/?uuid=5555fb53-8486-4777-aa16-8f098e8b2b02"]}],"mendeley":{"formattedCitation":"[15,25]","plainTextFormattedCitation":"[15,25]","previouslyFormattedCitation":"[15,25]"},"properties":{"noteIndex":0},"schema":"https://github.com/citation-style-language/schema/raw/master/csl-citation.json"}</w:instrText>
      </w:r>
      <w:r w:rsidR="00BB2B71" w:rsidRPr="00ED6C4D">
        <w:rPr>
          <w:rFonts w:asciiTheme="majorHAnsi" w:hAnsiTheme="majorHAnsi" w:cstheme="majorHAnsi"/>
        </w:rPr>
        <w:fldChar w:fldCharType="separate"/>
      </w:r>
      <w:r w:rsidR="00BC67D6" w:rsidRPr="00ED6C4D">
        <w:rPr>
          <w:rFonts w:asciiTheme="majorHAnsi" w:hAnsiTheme="majorHAnsi" w:cstheme="majorHAnsi"/>
          <w:noProof/>
        </w:rPr>
        <w:t>[15,25]</w:t>
      </w:r>
      <w:r w:rsidR="00BB2B71" w:rsidRPr="00ED6C4D">
        <w:rPr>
          <w:rFonts w:asciiTheme="majorHAnsi" w:hAnsiTheme="majorHAnsi" w:cstheme="majorHAnsi"/>
        </w:rPr>
        <w:fldChar w:fldCharType="end"/>
      </w:r>
      <w:r w:rsidR="00B920BF" w:rsidRPr="00ED6C4D">
        <w:rPr>
          <w:rFonts w:asciiTheme="majorHAnsi" w:hAnsiTheme="majorHAnsi" w:cstheme="majorHAnsi"/>
        </w:rPr>
        <w:t xml:space="preserve">, and the core of the </w:t>
      </w:r>
      <w:proofErr w:type="spellStart"/>
      <w:r w:rsidR="00B920BF" w:rsidRPr="00ED6C4D">
        <w:rPr>
          <w:rFonts w:asciiTheme="majorHAnsi" w:hAnsiTheme="majorHAnsi" w:cstheme="majorHAnsi"/>
        </w:rPr>
        <w:t>MESSAGEix</w:t>
      </w:r>
      <w:proofErr w:type="spellEnd"/>
      <w:r w:rsidR="00B920BF" w:rsidRPr="00ED6C4D">
        <w:rPr>
          <w:rFonts w:asciiTheme="majorHAnsi" w:hAnsiTheme="majorHAnsi" w:cstheme="majorHAnsi"/>
        </w:rPr>
        <w:t xml:space="preserve">-GLOBIOM integrated assessment </w:t>
      </w:r>
      <w:r w:rsidR="00B920BF" w:rsidRPr="00ED6C4D">
        <w:rPr>
          <w:rFonts w:asciiTheme="majorHAnsi" w:hAnsiTheme="majorHAnsi" w:cstheme="majorHAnsi"/>
        </w:rPr>
        <w:lastRenderedPageBreak/>
        <w:t>framework</w:t>
      </w:r>
      <w:r w:rsidRPr="00ED6C4D">
        <w:rPr>
          <w:rFonts w:asciiTheme="majorHAnsi" w:hAnsiTheme="majorHAnsi" w:cstheme="majorHAnsi"/>
        </w:rPr>
        <w:t>.</w:t>
      </w:r>
      <w:r w:rsidR="00AC05FC" w:rsidRPr="00ED6C4D">
        <w:rPr>
          <w:rStyle w:val="FootnoteReference"/>
          <w:rFonts w:asciiTheme="majorHAnsi" w:hAnsiTheme="majorHAnsi" w:cstheme="majorHAnsi"/>
        </w:rPr>
        <w:footnoteReference w:id="1"/>
      </w:r>
      <w:r w:rsidRPr="00ED6C4D">
        <w:rPr>
          <w:rFonts w:asciiTheme="majorHAnsi" w:hAnsiTheme="majorHAnsi" w:cstheme="majorHAnsi"/>
        </w:rPr>
        <w:t xml:space="preserve">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is an optimization-based model, in which the objective function is to minimize global energy system costs. This minimization mimics decision-making by each region. The most disaggregated specification to date represents the world in 14 regions. We use this specification to explicitly model trade flows between regions, which allows us to represent global energy trade as a network. We then use this framework to answer two key questions for the nexus of climate and trade policymaking.</w:t>
      </w:r>
    </w:p>
    <w:p w14:paraId="641948DF" w14:textId="2798E82A" w:rsidR="00BB2B71" w:rsidRPr="00ED6C4D" w:rsidRDefault="004D1B02" w:rsidP="7D0E00F7">
      <w:pPr>
        <w:spacing w:line="360" w:lineRule="auto"/>
        <w:ind w:firstLine="720"/>
        <w:rPr>
          <w:rFonts w:asciiTheme="majorHAnsi" w:hAnsiTheme="majorHAnsi" w:cstheme="majorHAnsi"/>
        </w:rPr>
      </w:pPr>
      <w:r w:rsidRPr="00ED6C4D">
        <w:rPr>
          <w:rFonts w:asciiTheme="majorHAnsi" w:hAnsiTheme="majorHAnsi" w:cstheme="majorHAnsi"/>
        </w:rPr>
        <w:t xml:space="preserve">We first analyze </w:t>
      </w:r>
      <w:r w:rsidR="00BB2B71" w:rsidRPr="00ED6C4D">
        <w:rPr>
          <w:rFonts w:asciiTheme="majorHAnsi" w:hAnsiTheme="majorHAnsi" w:cstheme="majorHAnsi"/>
        </w:rPr>
        <w:t xml:space="preserve">the emissions and energy security consequences of </w:t>
      </w:r>
      <w:r w:rsidR="00BB2B71" w:rsidRPr="00ED6C4D">
        <w:rPr>
          <w:rFonts w:asciiTheme="majorHAnsi" w:hAnsiTheme="majorHAnsi" w:cstheme="majorHAnsi"/>
          <w:i/>
          <w:iCs/>
        </w:rPr>
        <w:t>trade</w:t>
      </w:r>
      <w:r w:rsidR="00BB2B71" w:rsidRPr="00ED6C4D">
        <w:rPr>
          <w:rFonts w:asciiTheme="majorHAnsi" w:hAnsiTheme="majorHAnsi" w:cstheme="majorHAnsi"/>
        </w:rPr>
        <w:t xml:space="preserve"> policy</w:t>
      </w:r>
      <w:r w:rsidRPr="00ED6C4D">
        <w:rPr>
          <w:rFonts w:asciiTheme="majorHAnsi" w:hAnsiTheme="majorHAnsi" w:cstheme="majorHAnsi"/>
        </w:rPr>
        <w:t>.</w:t>
      </w:r>
      <w:r w:rsidR="00BB2B71" w:rsidRPr="00ED6C4D">
        <w:rPr>
          <w:rFonts w:asciiTheme="majorHAnsi" w:hAnsiTheme="majorHAnsi" w:cstheme="majorHAnsi"/>
        </w:rPr>
        <w:t xml:space="preserve"> Here, we focus on tariff policies and model three scenarios: a baseline tariff scenario in which rates are held at the historic median</w:t>
      </w:r>
      <w:r w:rsidR="004B77B2" w:rsidRPr="00ED6C4D">
        <w:rPr>
          <w:rFonts w:asciiTheme="majorHAnsi" w:hAnsiTheme="majorHAnsi" w:cstheme="majorHAnsi"/>
        </w:rPr>
        <w:t xml:space="preserve"> by importer</w:t>
      </w:r>
      <w:r w:rsidR="00BB2B71" w:rsidRPr="00ED6C4D">
        <w:rPr>
          <w:rFonts w:asciiTheme="majorHAnsi" w:hAnsiTheme="majorHAnsi" w:cstheme="majorHAnsi"/>
        </w:rPr>
        <w:t xml:space="preserve">, a low tariff scenario in which rates are </w:t>
      </w:r>
      <w:r w:rsidR="00F046CE" w:rsidRPr="00ED6C4D">
        <w:rPr>
          <w:rFonts w:asciiTheme="majorHAnsi" w:hAnsiTheme="majorHAnsi" w:cstheme="majorHAnsi"/>
        </w:rPr>
        <w:t xml:space="preserve">removed </w:t>
      </w:r>
      <w:r w:rsidR="00BB2B71" w:rsidRPr="00ED6C4D">
        <w:rPr>
          <w:rFonts w:asciiTheme="majorHAnsi" w:hAnsiTheme="majorHAnsi" w:cstheme="majorHAnsi"/>
        </w:rPr>
        <w:t xml:space="preserve">by 2030, and a high tariff scenario in which </w:t>
      </w:r>
      <w:r w:rsidR="00F046CE" w:rsidRPr="00ED6C4D">
        <w:rPr>
          <w:rFonts w:asciiTheme="majorHAnsi" w:hAnsiTheme="majorHAnsi" w:cstheme="majorHAnsi"/>
        </w:rPr>
        <w:t xml:space="preserve">historic median </w:t>
      </w:r>
      <w:r w:rsidR="00BB2B71" w:rsidRPr="00ED6C4D">
        <w:rPr>
          <w:rFonts w:asciiTheme="majorHAnsi" w:hAnsiTheme="majorHAnsi" w:cstheme="majorHAnsi"/>
        </w:rPr>
        <w:t xml:space="preserve">rates are increased </w:t>
      </w:r>
      <w:r w:rsidR="00F046CE" w:rsidRPr="00ED6C4D">
        <w:rPr>
          <w:rFonts w:asciiTheme="majorHAnsi" w:hAnsiTheme="majorHAnsi" w:cstheme="majorHAnsi"/>
        </w:rPr>
        <w:t xml:space="preserve">by a factor </w:t>
      </w:r>
      <w:r w:rsidR="00AF087E" w:rsidRPr="00ED6C4D">
        <w:rPr>
          <w:rFonts w:asciiTheme="majorHAnsi" w:hAnsiTheme="majorHAnsi" w:cstheme="majorHAnsi"/>
        </w:rPr>
        <w:t xml:space="preserve">of </w:t>
      </w:r>
      <w:r w:rsidR="00BB2B71" w:rsidRPr="00ED6C4D">
        <w:rPr>
          <w:rFonts w:asciiTheme="majorHAnsi" w:hAnsiTheme="majorHAnsi" w:cstheme="majorHAnsi"/>
        </w:rPr>
        <w:t>five by 2030.</w:t>
      </w:r>
      <w:r w:rsidR="00BB2B71" w:rsidRPr="00ED6C4D">
        <w:rPr>
          <w:rStyle w:val="FootnoteReference"/>
          <w:rFonts w:asciiTheme="majorHAnsi" w:hAnsiTheme="majorHAnsi" w:cstheme="majorHAnsi"/>
        </w:rPr>
        <w:footnoteReference w:id="2"/>
      </w:r>
      <w:r w:rsidR="00737703" w:rsidRPr="00ED6C4D">
        <w:rPr>
          <w:rFonts w:asciiTheme="majorHAnsi" w:hAnsiTheme="majorHAnsi" w:cstheme="majorHAnsi"/>
        </w:rPr>
        <w:t xml:space="preserve"> This reflects the upper bound on regional fluctuations in historic tariff rates.</w:t>
      </w:r>
      <w:r w:rsidR="00BB2B71" w:rsidRPr="00ED6C4D">
        <w:rPr>
          <w:rFonts w:asciiTheme="majorHAnsi" w:hAnsiTheme="majorHAnsi" w:cstheme="majorHAnsi"/>
        </w:rPr>
        <w:t xml:space="preserve"> We estimate the effect of tariff scenarios on carbon emissions and examine whether these policies, taken independently, can reduce or increase global and regional emissions. We also explore the effects of these policies on energy security by using CNA metrics to assess the stability of the trade network and measuring the diversity and dependence of each region’s energy trade portfolio. </w:t>
      </w:r>
      <w:r w:rsidR="007F1C2B" w:rsidRPr="00ED6C4D">
        <w:rPr>
          <w:rFonts w:asciiTheme="majorHAnsi" w:hAnsiTheme="majorHAnsi" w:cstheme="majorHAnsi"/>
        </w:rPr>
        <w:t>Note that throughout the paper, we will use the term “trade” to mean the trade of energy resources.</w:t>
      </w:r>
      <w:r w:rsidR="007F1C2B" w:rsidRPr="00ED6C4D">
        <w:rPr>
          <w:rStyle w:val="FootnoteReference"/>
          <w:rFonts w:asciiTheme="majorHAnsi" w:hAnsiTheme="majorHAnsi" w:cstheme="majorHAnsi"/>
        </w:rPr>
        <w:footnoteReference w:id="3"/>
      </w:r>
    </w:p>
    <w:p w14:paraId="6C6AC4B6" w14:textId="19E58111" w:rsidR="00BB2B71"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Second, </w:t>
      </w:r>
      <w:r w:rsidR="00877B77" w:rsidRPr="00ED6C4D">
        <w:rPr>
          <w:rFonts w:asciiTheme="majorHAnsi" w:hAnsiTheme="majorHAnsi" w:cstheme="majorHAnsi"/>
        </w:rPr>
        <w:t xml:space="preserve">we analyze the </w:t>
      </w:r>
      <w:r w:rsidRPr="00ED6C4D">
        <w:rPr>
          <w:rFonts w:asciiTheme="majorHAnsi" w:hAnsiTheme="majorHAnsi" w:cstheme="majorHAnsi"/>
        </w:rPr>
        <w:t xml:space="preserve">trade and energy security consequences of </w:t>
      </w:r>
      <w:r w:rsidRPr="00ED6C4D">
        <w:rPr>
          <w:rFonts w:asciiTheme="majorHAnsi" w:hAnsiTheme="majorHAnsi" w:cstheme="majorHAnsi"/>
          <w:i/>
          <w:iCs/>
        </w:rPr>
        <w:t>climate</w:t>
      </w:r>
      <w:r w:rsidRPr="00ED6C4D">
        <w:rPr>
          <w:rFonts w:asciiTheme="majorHAnsi" w:hAnsiTheme="majorHAnsi" w:cstheme="majorHAnsi"/>
        </w:rPr>
        <w:t xml:space="preserve"> policy</w:t>
      </w:r>
      <w:r w:rsidR="00877B77" w:rsidRPr="00ED6C4D">
        <w:rPr>
          <w:rFonts w:asciiTheme="majorHAnsi" w:hAnsiTheme="majorHAnsi" w:cstheme="majorHAnsi"/>
        </w:rPr>
        <w:t xml:space="preserve">. </w:t>
      </w:r>
      <w:r w:rsidRPr="00ED6C4D">
        <w:rPr>
          <w:rFonts w:asciiTheme="majorHAnsi" w:hAnsiTheme="majorHAnsi" w:cstheme="majorHAnsi"/>
        </w:rPr>
        <w:t xml:space="preserve">In this study we </w:t>
      </w:r>
      <w:r w:rsidR="00877B77" w:rsidRPr="00ED6C4D">
        <w:rPr>
          <w:rFonts w:asciiTheme="majorHAnsi" w:hAnsiTheme="majorHAnsi" w:cstheme="majorHAnsi"/>
        </w:rPr>
        <w:t xml:space="preserve">represent climate policies through a global tax on greenhouse gas </w:t>
      </w:r>
      <w:r w:rsidRPr="00ED6C4D">
        <w:rPr>
          <w:rFonts w:asciiTheme="majorHAnsi" w:hAnsiTheme="majorHAnsi" w:cstheme="majorHAnsi"/>
        </w:rPr>
        <w:t xml:space="preserve">emissions. Carbon </w:t>
      </w:r>
      <w:r w:rsidR="007F1C2B" w:rsidRPr="00ED6C4D">
        <w:rPr>
          <w:rFonts w:asciiTheme="majorHAnsi" w:hAnsiTheme="majorHAnsi" w:cstheme="majorHAnsi"/>
        </w:rPr>
        <w:t xml:space="preserve">emissions </w:t>
      </w:r>
      <w:r w:rsidRPr="00ED6C4D">
        <w:rPr>
          <w:rFonts w:asciiTheme="majorHAnsi" w:hAnsiTheme="majorHAnsi" w:cstheme="majorHAnsi"/>
        </w:rPr>
        <w:t xml:space="preserve">taxes are a widely discussed tool for emissions reduction and their potential consequences have been extensively studied using general equilibrium models </w:t>
      </w:r>
      <w:r w:rsidR="00BB2B71"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{"citationItems":[{"id":"ITEM-1","itemData":{"DOI":"10.1007/BF00305950","ISSN":"09246460","author":[{"dropping-particle":"","family":"Bergman","given":"Lars","non-dropping-particle":"","parse-names":false,"suffix":""}],"container-title":"Environmental &amp; Resource Economics","id":"ITEM-1","issued":{"date-parts":[["1991"]]},"title":"General equilibrium effects of environmental policy: A CGE-modeling approach","type":"article-journal"},"uris":["http://www.mendeley.com/documents/?uuid=ded71129-d346-4363-9b24-f3ff0181c73e"]},{"id":"ITEM-2","itemData":{"DOI":"10.1257/aer.100.2.465","ISSN":"00028282","abstract":"We study various scenarios for taxing emissions of carbon dioxide (CO2). The question is how carbon tax policies will perform, given international trade, if countries adopt different tax rates. We investigate this question quantitatively using CIM-EARTH, a newly developed open-source computable general equilib- rium (CGE) model.","author":[{"dropping-particle":"","family":"Elliott","given":"Joshua","non-dropping-particle":"","parse-names":false,"suffix":""},{"dropping-particle":"","family":"Foster","given":"Ian","non-dropping-particle":"","parse-names":false,"suffix":""},{"dropping-particle":"","family":"Kortum","given":"Samuel","non-dropping-particle":"","parse-names":false,"suffix":""},{"dropping-particle":"","family":"Munson","given":"Todd","non-dropping-particle":"","parse-names":false,"suffix":""},{"dropping-particle":"","family":"Cervantes","given":"Fernando Pérez","non-dropping-particle":"","parse-names":false,"suffix":""},{"dropping-particle":"","family":"Weisbach","given":"David","non-dropping-particle":"","parse-names":false,"suffix":""}],"container-title":"American Economic Review","id":"ITEM-2","issued":{"date-parts":[["2010"]]},"title":"Trade and carbon taxes","type":"paper-conference"},"uris":["http://www.mendeley.com/documents/?uuid=c988e08b-574d-4e5d-9b5a-4fecaa5f5ff7"]}],"mendeley":{"formattedCitation":"[11,26]","plainTextFormattedCitation":"[11,26]","previouslyFormattedCitation":"[11,26]"},"properties":{"noteIndex":0},"schema":"https://github.com/citation-style-language/schema/raw/master/csl-citation.json"}</w:instrText>
      </w:r>
      <w:r w:rsidR="00BB2B71" w:rsidRPr="00ED6C4D">
        <w:rPr>
          <w:rFonts w:asciiTheme="majorHAnsi" w:hAnsiTheme="majorHAnsi" w:cstheme="majorHAnsi"/>
        </w:rPr>
        <w:fldChar w:fldCharType="separate"/>
      </w:r>
      <w:r w:rsidR="00BC67D6" w:rsidRPr="00ED6C4D">
        <w:rPr>
          <w:rFonts w:asciiTheme="majorHAnsi" w:hAnsiTheme="majorHAnsi" w:cstheme="majorHAnsi"/>
          <w:noProof/>
        </w:rPr>
        <w:t>[11,26]</w:t>
      </w:r>
      <w:r w:rsidR="00BB2B71" w:rsidRPr="00ED6C4D">
        <w:rPr>
          <w:rFonts w:asciiTheme="majorHAnsi" w:hAnsiTheme="majorHAnsi" w:cstheme="majorHAnsi"/>
        </w:rPr>
        <w:fldChar w:fldCharType="end"/>
      </w:r>
      <w:r w:rsidRPr="00ED6C4D">
        <w:rPr>
          <w:rFonts w:asciiTheme="majorHAnsi" w:hAnsiTheme="majorHAnsi" w:cstheme="majorHAnsi"/>
        </w:rPr>
        <w:t xml:space="preserve">, statistical analysis </w:t>
      </w:r>
      <w:r w:rsidR="00BB2B71"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{"citationItems":[{"id":"ITEM-1","itemData":{"DOI":"10.1111/cjag.12048","abstract":"This study evaluates the implications of an actual carbon tax on international trade in the agricultural sector.  Applying uniformly to all fossil fuels combusted within its borders, the province of British Columbia unilaterally introduced a carbon tax on July 1, 2008.  In 2012, the province granted an exemption from the tax to certain agricultural sectors.  Using commodity-specific trade flows and exploiting cross-provincial and inter-temporal variation, we find little evidence that the carbon tax is associated with any meaningful effects on agricultural trade despite the sector being singled out as “at risk” by the provincial government.  Our findings suggest that there is not compelling evidence to support exempting the agricultural sector from the tax.  Discussion of potential policy remedies to address the tax’s potential effects on firm profitability and international competitiveness is also included.","author":[{"dropping-particle":"","family":"Rivers","given":"Nicholas","non-dropping-particle":"","parse-names":false,"suffix":""},{"dropping-particle":"","family":"Schaufele","given":"Brandon","non-dropping-particle":"","parse-names":false,"suffix":""}],"container-title":"Canadian Journal of Agricultural Economics/Revue canadienne d'agroeconomie","id":"ITEM-1","issued":{"date-parts":[["2015"]]},"title":"The Effect of Carbon Taxes on Agricultural Trade","type":"article-journal"},"uris":["http://www.mendeley.com/documents/?uuid=203ac7ef-3c64-428e-a4fd-f42f07522f20"]},{"id":"ITEM-2","itemData":{"DOI":"10.1016/j.jpubeco.2014.04.016","ISSN":"00472727","abstract":"We estimate the impact of a carbon tax on manufacturing plants using panel data from the UK production census. Our identification strategy builds on the comparison of outcomes between plants subject to the full tax and plants that paid only 20% of the tax. Exploiting exogenous variation in eligibility for the tax discount, we find that the carbon tax had a strong negative impact on energy intensity and electricity use. No statistically significant impacts are found for employment, revenue or plant exit. © 2014.","author":[{"dropping-particle":"","family":"Martin","given":"Ralf","non-dropping-particle":"","parse-names":false,"suffix":""},{"dropping-particle":"","family":"Preux","given":"Laure B.","non-dropping-particle":"de","parse-names":false,"suffix":""},{"dropping-particle":"","family":"Wagner","given":"Ulrich J.","non-dropping-particle":"","parse-names":false,"suffix":""}],"container-title":"Journal of Public Economics","id":"ITEM-2","issued":{"date-parts":[["2014"]]},"title":"The impact of a carbon tax on manufacturing: Evidence from microdata","type":"article-journal"},"uris":["http://www.mendeley.com/documents/?uuid=dcdd6393-1890-4a43-8425-529a1b443abd"]}],"mendeley":{"formattedCitation":"[27,28]","plainTextFormattedCitation":"[27,28]","previouslyFormattedCitation":"[27,28]"},"properties":{"noteIndex":0},"schema":"https://github.com/citation-style-language/schema/raw/master/csl-citation.json"}</w:instrText>
      </w:r>
      <w:r w:rsidR="00BB2B71" w:rsidRPr="00ED6C4D">
        <w:rPr>
          <w:rFonts w:asciiTheme="majorHAnsi" w:hAnsiTheme="majorHAnsi" w:cstheme="majorHAnsi"/>
        </w:rPr>
        <w:fldChar w:fldCharType="separate"/>
      </w:r>
      <w:r w:rsidR="00BC67D6" w:rsidRPr="00ED6C4D">
        <w:rPr>
          <w:rFonts w:asciiTheme="majorHAnsi" w:hAnsiTheme="majorHAnsi" w:cstheme="majorHAnsi"/>
          <w:noProof/>
        </w:rPr>
        <w:t>[27,28]</w:t>
      </w:r>
      <w:r w:rsidR="00BB2B71" w:rsidRPr="00ED6C4D">
        <w:rPr>
          <w:rFonts w:asciiTheme="majorHAnsi" w:hAnsiTheme="majorHAnsi" w:cstheme="majorHAnsi"/>
        </w:rPr>
        <w:fldChar w:fldCharType="end"/>
      </w:r>
      <w:r w:rsidRPr="00ED6C4D">
        <w:rPr>
          <w:rFonts w:asciiTheme="majorHAnsi" w:hAnsiTheme="majorHAnsi" w:cstheme="majorHAnsi"/>
        </w:rPr>
        <w:t xml:space="preserve">, and IAMs. We build on this literature by using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to model the effect of a global $27/tCO2 </w:t>
      </w:r>
      <w:r w:rsidR="00AF087E" w:rsidRPr="00ED6C4D">
        <w:rPr>
          <w:rFonts w:asciiTheme="majorHAnsi" w:hAnsiTheme="majorHAnsi" w:cstheme="majorHAnsi"/>
        </w:rPr>
        <w:t>($100/</w:t>
      </w:r>
      <w:proofErr w:type="spellStart"/>
      <w:r w:rsidR="00AF087E" w:rsidRPr="00ED6C4D">
        <w:rPr>
          <w:rFonts w:asciiTheme="majorHAnsi" w:hAnsiTheme="majorHAnsi" w:cstheme="majorHAnsi"/>
        </w:rPr>
        <w:t>tC</w:t>
      </w:r>
      <w:proofErr w:type="spellEnd"/>
      <w:r w:rsidR="00AF087E" w:rsidRPr="00ED6C4D">
        <w:rPr>
          <w:rFonts w:asciiTheme="majorHAnsi" w:hAnsiTheme="majorHAnsi" w:cstheme="majorHAnsi"/>
        </w:rPr>
        <w:t xml:space="preserve">) </w:t>
      </w:r>
      <w:r w:rsidRPr="00ED6C4D">
        <w:rPr>
          <w:rFonts w:asciiTheme="majorHAnsi" w:hAnsiTheme="majorHAnsi" w:cstheme="majorHAnsi"/>
        </w:rPr>
        <w:t>emissions tax in 2020 that increases 5% each year. We model the effect of this tax on the global energy trade network to 2050.</w:t>
      </w:r>
      <w:r w:rsidR="007F1C2B" w:rsidRPr="00ED6C4D">
        <w:rPr>
          <w:rFonts w:asciiTheme="majorHAnsi" w:hAnsiTheme="majorHAnsi" w:cstheme="majorHAnsi"/>
        </w:rPr>
        <w:t xml:space="preserve"> </w:t>
      </w:r>
      <w:r w:rsidRPr="00ED6C4D">
        <w:rPr>
          <w:rFonts w:asciiTheme="majorHAnsi" w:hAnsiTheme="majorHAnsi" w:cstheme="majorHAnsi"/>
        </w:rPr>
        <w:t>We then apply the same metrics as in the first question to assess global emissions, network stability, and regional energy security. Further, we model the lo</w:t>
      </w:r>
      <w:r w:rsidR="007F1C2B" w:rsidRPr="00ED6C4D">
        <w:rPr>
          <w:rFonts w:asciiTheme="majorHAnsi" w:hAnsiTheme="majorHAnsi" w:cstheme="majorHAnsi"/>
        </w:rPr>
        <w:t>w/high tariff scenarios under a</w:t>
      </w:r>
      <w:r w:rsidRPr="00ED6C4D">
        <w:rPr>
          <w:rFonts w:asciiTheme="majorHAnsi" w:hAnsiTheme="majorHAnsi" w:cstheme="majorHAnsi"/>
        </w:rPr>
        <w:t xml:space="preserve"> </w:t>
      </w:r>
      <w:r w:rsidR="007F1C2B" w:rsidRPr="00ED6C4D">
        <w:rPr>
          <w:rFonts w:asciiTheme="majorHAnsi" w:hAnsiTheme="majorHAnsi" w:cstheme="majorHAnsi"/>
        </w:rPr>
        <w:t xml:space="preserve">carbon </w:t>
      </w:r>
      <w:r w:rsidRPr="00ED6C4D">
        <w:rPr>
          <w:rFonts w:asciiTheme="majorHAnsi" w:hAnsiTheme="majorHAnsi" w:cstheme="majorHAnsi"/>
        </w:rPr>
        <w:t>emissions tax to examine the marginal effect of trade policy in the presence of a strong climate policy.</w:t>
      </w:r>
      <w:r w:rsidR="007F1C2B" w:rsidRPr="00ED6C4D">
        <w:rPr>
          <w:rFonts w:asciiTheme="majorHAnsi" w:hAnsiTheme="majorHAnsi" w:cstheme="majorHAnsi"/>
        </w:rPr>
        <w:t xml:space="preserve"> For the rest of this paper, we use the term emissions tax interchangeably with a carbon emissions tax.</w:t>
      </w:r>
    </w:p>
    <w:p w14:paraId="4921A68B" w14:textId="490E92C1" w:rsidR="00710653" w:rsidRDefault="00BB2B71" w:rsidP="00ED6C4D">
      <w:pPr>
        <w:spacing w:line="360" w:lineRule="auto"/>
        <w:ind w:firstLine="720"/>
        <w:rPr>
          <w:rFonts w:asciiTheme="majorHAnsi" w:hAnsiTheme="majorHAnsi" w:cstheme="majorHAnsi"/>
        </w:rPr>
      </w:pPr>
      <w:r w:rsidRPr="00ED6C4D">
        <w:rPr>
          <w:rFonts w:asciiTheme="majorHAnsi" w:hAnsiTheme="majorHAnsi" w:cstheme="majorHAnsi"/>
        </w:rPr>
        <w:lastRenderedPageBreak/>
        <w:t xml:space="preserve">We begin this paper by introducing the data used to support the bilateral trade framework in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and our scenario analysis. We then present the methodology for this study, including a brief introduction to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the conceptual framework for the bilateral trade representation, additional developments to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required to support this representation, and scenario design. Finally, we discuss the results of the model and their implications for energy security and climate change mitigation. </w:t>
      </w:r>
    </w:p>
    <w:p w14:paraId="4F20E18F" w14:textId="77777777" w:rsidR="00ED6C4D" w:rsidRPr="00ED6C4D" w:rsidRDefault="00ED6C4D" w:rsidP="00ED6C4D">
      <w:pPr>
        <w:spacing w:line="360" w:lineRule="auto"/>
        <w:ind w:firstLine="720"/>
        <w:rPr>
          <w:rFonts w:asciiTheme="majorHAnsi" w:hAnsiTheme="majorHAnsi" w:cstheme="majorHAnsi"/>
        </w:rPr>
      </w:pPr>
    </w:p>
    <w:p w14:paraId="7B10D013" w14:textId="77777777" w:rsidR="00BB2B71" w:rsidRPr="00ED6C4D" w:rsidRDefault="00BB2B71" w:rsidP="7D0E00F7">
      <w:pPr>
        <w:pStyle w:val="Heading1"/>
        <w:rPr>
          <w:rFonts w:cstheme="majorHAnsi"/>
          <w:color w:val="auto"/>
        </w:rPr>
      </w:pPr>
      <w:r w:rsidRPr="00ED6C4D">
        <w:rPr>
          <w:rFonts w:cstheme="majorHAnsi"/>
          <w:color w:val="auto"/>
        </w:rPr>
        <w:t>2</w:t>
      </w:r>
      <w:r w:rsidRPr="00ED6C4D">
        <w:rPr>
          <w:rFonts w:cstheme="majorHAnsi"/>
          <w:color w:val="auto"/>
        </w:rPr>
        <w:tab/>
      </w:r>
      <w:r w:rsidR="000309D8" w:rsidRPr="00ED6C4D">
        <w:rPr>
          <w:rFonts w:cstheme="majorHAnsi"/>
          <w:color w:val="auto"/>
        </w:rPr>
        <w:t>Method</w:t>
      </w:r>
      <w:r w:rsidR="00092F0C" w:rsidRPr="00ED6C4D">
        <w:rPr>
          <w:rFonts w:cstheme="majorHAnsi"/>
          <w:color w:val="auto"/>
        </w:rPr>
        <w:t>ology</w:t>
      </w:r>
    </w:p>
    <w:p w14:paraId="6A05A809" w14:textId="77777777" w:rsidR="00EE06F3" w:rsidRPr="00ED6C4D" w:rsidRDefault="00EE06F3" w:rsidP="00EE06F3">
      <w:pPr>
        <w:rPr>
          <w:rFonts w:asciiTheme="majorHAnsi" w:hAnsiTheme="majorHAnsi" w:cstheme="majorHAnsi"/>
        </w:rPr>
      </w:pPr>
    </w:p>
    <w:p w14:paraId="19600E9A" w14:textId="77777777" w:rsidR="00EE06F3" w:rsidRPr="00ED6C4D" w:rsidRDefault="00BB2B71" w:rsidP="00AF4B61">
      <w:pPr>
        <w:pStyle w:val="Heading2"/>
        <w:rPr>
          <w:rFonts w:cstheme="majorHAnsi"/>
          <w:color w:val="auto"/>
        </w:rPr>
      </w:pPr>
      <w:r w:rsidRPr="00ED6C4D">
        <w:rPr>
          <w:rFonts w:cstheme="majorHAnsi"/>
          <w:color w:val="auto"/>
        </w:rPr>
        <w:t>2.1</w:t>
      </w:r>
      <w:r w:rsidRPr="00ED6C4D">
        <w:rPr>
          <w:rFonts w:cstheme="majorHAnsi"/>
          <w:color w:val="auto"/>
        </w:rPr>
        <w:tab/>
      </w:r>
      <w:r w:rsidR="006B3FB2" w:rsidRPr="00ED6C4D">
        <w:rPr>
          <w:rFonts w:cstheme="majorHAnsi"/>
          <w:color w:val="auto"/>
        </w:rPr>
        <w:t>Con</w:t>
      </w:r>
      <w:r w:rsidR="00092F0C" w:rsidRPr="00ED6C4D">
        <w:rPr>
          <w:rFonts w:cstheme="majorHAnsi"/>
          <w:color w:val="auto"/>
        </w:rPr>
        <w:t xml:space="preserve">figuring bilateral trade in </w:t>
      </w:r>
      <w:proofErr w:type="spellStart"/>
      <w:r w:rsidR="006B3FB2" w:rsidRPr="00ED6C4D">
        <w:rPr>
          <w:rFonts w:cstheme="majorHAnsi"/>
          <w:color w:val="auto"/>
        </w:rPr>
        <w:t>MESSAGEix</w:t>
      </w:r>
      <w:proofErr w:type="spellEnd"/>
    </w:p>
    <w:p w14:paraId="5A39BBE3" w14:textId="77777777" w:rsidR="00562670" w:rsidRPr="00ED6C4D" w:rsidRDefault="00562670" w:rsidP="00562670">
      <w:pPr>
        <w:rPr>
          <w:rFonts w:asciiTheme="majorHAnsi" w:hAnsiTheme="majorHAnsi" w:cstheme="majorHAnsi"/>
        </w:rPr>
      </w:pPr>
    </w:p>
    <w:p w14:paraId="38C01029" w14:textId="779921C1" w:rsidR="00BB2B71" w:rsidRPr="00ED6C4D" w:rsidRDefault="7D0E00F7" w:rsidP="7D0E00F7">
      <w:pPr>
        <w:spacing w:line="360" w:lineRule="auto"/>
        <w:ind w:firstLine="720"/>
        <w:rPr>
          <w:rFonts w:asciiTheme="majorHAnsi" w:hAnsiTheme="majorHAnsi" w:cstheme="majorHAnsi"/>
        </w:rPr>
      </w:pP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is a dynamic linear least-cost optimization model </w:t>
      </w:r>
      <w:r w:rsidR="006F3DE5" w:rsidRPr="00ED6C4D">
        <w:rPr>
          <w:rFonts w:asciiTheme="majorHAnsi" w:hAnsiTheme="majorHAnsi" w:cstheme="majorHAnsi"/>
        </w:rPr>
        <w:t xml:space="preserve">that is developed and maintained </w:t>
      </w:r>
      <w:r w:rsidRPr="00ED6C4D">
        <w:rPr>
          <w:rFonts w:asciiTheme="majorHAnsi" w:hAnsiTheme="majorHAnsi" w:cstheme="majorHAnsi"/>
        </w:rPr>
        <w:t xml:space="preserve">at the International Institute for Applied Systems Analysis (IIASA) for the purpose of modeling energy system decision-making and their associated environmental impacts. The model has been developed over the last four decades and is linked to a stylized macroeconomic model (MACRO) </w:t>
      </w:r>
      <w:r w:rsidR="00BB2B71" w:rsidRPr="00ED6C4D">
        <w:rPr>
          <w:rFonts w:asciiTheme="majorHAnsi" w:hAnsiTheme="majorHAnsi" w:cstheme="majorHAnsi"/>
        </w:rPr>
        <w:fldChar w:fldCharType="begin" w:fldLock="1"/>
      </w:r>
      <w:r w:rsidR="00BC67D6" w:rsidRPr="00ED6C4D">
        <w:rPr>
          <w:rFonts w:asciiTheme="majorHAnsi" w:hAnsiTheme="majorHAnsi" w:cstheme="majorHAnsi"/>
        </w:rPr>
        <w:instrText>ADDIN CSL_CITATION {"citationItems":[{"id":"ITEM-1","itemData":{"DOI":"10.1016/j.envsoft.2018.11.012","ISSN":"13648152","abstract":"The MESSAGE Integrated Assessment Model (IAM) developed by IIASA has been a central tool of energy-environment-economy systems analysis in the global scientific and policy arena. It played a major role in the Assessment Reports of the Intergovernmental Panel on Climate Change (IPCC); it provided marker scenarios of the Representative Concentration Pathways (RCPs) and the Shared Socio-Economic Pathways (SSPs); and it underpinned the analysis of the Global Energy Assessment (GEA). Alas, to provide relevant analysis for current and future challenges, numerical models of human and earth systems need to support higher spatial and temporal resolution, facilitate integration of data sources and methodologies across disciplines, and become open and transparent regarding the underlying data, methods, and the scientific workflow. In this manuscript, we present the building blocks of a new framework for an integrated assessment modeling platform; the “ecosystem” comprises: i) an open-source GAMS implementation of the MESSAGE energy++ system model integrated with the MACRO economic model; ii) a Java/database back-end for version-controlled data management, iii) interfaces for the scientific programming languages Python &amp; R for efficient input data and results processing workflows; and iv) a web-browser-based user interface for model/scenario management and intuitive “drag-and-drop” visualization of results. The framework aims to facilitate the highest level of openness for scientific analysis, bridging the need for transparency with efficient data processing and powerful numerical solvers. The platform is geared towards easy integration of data sources and models across disciplines, spatial scales and temporal disaggregation levels. All tools apply best-practice in collaborative software development, and comprehensive documentation of all building blocks and scripts is generated directly from the GAMS equations and the Java/Python/R source code.","author":[{"dropping-particle":"","family":"Huppmann","given":"Daniel","non-dropping-particle":"","parse-names":false,"suffix":""},{"dropping-particle":"","family":"Gidden","given":"Matthew","non-dropping-particle":"","parse-names":false,"suffix":""},{"dropping-particle":"","family":"Fricko","given":"Oliver","non-dropping-particle":"","parse-names":false,"suffix":""},{"dropping-particle":"","family":"Kolp","given":"Peter","non-dropping-particle":"","parse-names":false,"suffix":""},{"dropping-particle":"","family":"Orthofer","given":"Clara","non-dropping-particle":"","parse-names":false,"suffix":""},{"dropping-particle":"","family":"Pimmer","given":"Michael","non-dropping-particle":"","parse-names":false,"suffix":""},{"dropping-particle":"","family":"Kushin","given":"Nikolay","non-dropping-particle":"","parse-names":false,"suffix":""},{"dropping-particle":"","family":"Vinca","given":"Adriano","non-dropping-particle":"","parse-names":false,"suffix":""},{"dropping-particle":"","family":"Mastrucci","given":"Alessio","non-dropping-particle":"","parse-names":false,"suffix":""},{"dropping-particle":"","family":"Riahi","given":"Keywan","non-dropping-particle":"","parse-names":false,"suffix":""},{"dropping-particle":"","family":"Krey","given":"Volker","non-dropping-particle":"","parse-names":false,"suffix":""}],"container-title":"Environmental Modelling and Software","id":"ITEM-1","issued":{"date-parts":[["2019"]]},"title":"The MESSAGEix Integrated Assessment Model and the ix modeling platform (ixmp): An open framework for integrated and cross-cutting analysis of energy, climate, the environment, and sustainable development","type":"article-journal"},"uris":["http://www.mendeley.com/documents/?uuid=5555fb53-8486-4777-aa16-8f098e8b2b02"]}],"mendeley":{"formattedCitation":"[15]","plainTextFormattedCitation":"[15]","previouslyFormattedCitation":"[15]"},"properties":{"noteIndex":0},"schema":"https://github.com/citation-style-language/schema/raw/master/csl-citation.json"}</w:instrText>
      </w:r>
      <w:r w:rsidR="00BB2B71" w:rsidRPr="00ED6C4D">
        <w:rPr>
          <w:rFonts w:asciiTheme="majorHAnsi" w:hAnsiTheme="majorHAnsi" w:cstheme="majorHAnsi"/>
        </w:rPr>
        <w:fldChar w:fldCharType="separate"/>
      </w:r>
      <w:r w:rsidR="005775AD" w:rsidRPr="00ED6C4D">
        <w:rPr>
          <w:rFonts w:asciiTheme="majorHAnsi" w:hAnsiTheme="majorHAnsi" w:cstheme="majorHAnsi"/>
          <w:noProof/>
        </w:rPr>
        <w:t>[15]</w:t>
      </w:r>
      <w:r w:rsidR="00BB2B71" w:rsidRPr="00ED6C4D">
        <w:rPr>
          <w:rFonts w:asciiTheme="majorHAnsi" w:hAnsiTheme="majorHAnsi" w:cstheme="majorHAnsi"/>
        </w:rPr>
        <w:fldChar w:fldCharType="end"/>
      </w:r>
      <w:r w:rsidRPr="00ED6C4D">
        <w:rPr>
          <w:rFonts w:asciiTheme="majorHAnsi" w:hAnsiTheme="majorHAnsi" w:cstheme="majorHAnsi"/>
        </w:rPr>
        <w:t xml:space="preserve">. </w:t>
      </w:r>
      <w:r w:rsidR="00710653" w:rsidRPr="00ED6C4D">
        <w:rPr>
          <w:rFonts w:asciiTheme="majorHAnsi" w:hAnsiTheme="majorHAnsi" w:cstheme="majorHAnsi"/>
        </w:rPr>
        <w:t>The model</w:t>
      </w:r>
      <w:r w:rsidRPr="00ED6C4D">
        <w:rPr>
          <w:rFonts w:asciiTheme="majorHAnsi" w:hAnsiTheme="majorHAnsi" w:cstheme="majorHAnsi"/>
        </w:rPr>
        <w:t xml:space="preserve"> has been used extensively in international climate policy, including in the Assessment Reports published by the Intergovernmental Panel on Climate Change (IPCC) </w:t>
      </w:r>
      <w:r w:rsidR="00BB2B71"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{"citationItems":[{"id":"ITEM-1","itemData":{"ISBN":"9781107654815","abstract":"Climate Change 2014: Mitigation of Climate Change is the third part of the Fifth Assessment Report (AR5) of the Intergovernmental Panel on Climate Change (IPCC) — Climate Change 2013 / 2014 — and was prepared by its Working Group III. The volume provides a comprehensive and transparent assessment of relevant options for mitigating climate change through limiting or preventing greenhouse gas (GHG) emissions, as well as activities that reduce their concentrations in the atmosphere.","author":[{"dropping-particle":"","family":"IPCC","given":"","non-dropping-particle":"","parse-names":false,"suffix":""}],"container-title":"Cambridge University Press","id":"ITEM-1","issued":{"date-parts":[["2014"]]},"title":"AR5 - Working Group 3, Mitigation of Climate Change - Contribution of Working Group III","type":"article-journal"},"uris":["http://www.mendeley.com/documents/?uuid=f5e23c9f-6f54-4326-9299-b7c98dc38974"]}],"mendeley":{"formattedCitation":"[29]","plainTextFormattedCitation":"[29]","previouslyFormattedCitation":"[29]"},"properties":{"noteIndex":0},"schema":"https://github.com/citation-style-language/schema/raw/master/csl-citation.json"}</w:instrText>
      </w:r>
      <w:r w:rsidR="00BB2B71" w:rsidRPr="00ED6C4D">
        <w:rPr>
          <w:rFonts w:asciiTheme="majorHAnsi" w:hAnsiTheme="majorHAnsi" w:cstheme="majorHAnsi"/>
        </w:rPr>
        <w:fldChar w:fldCharType="separate"/>
      </w:r>
      <w:r w:rsidR="00BC67D6" w:rsidRPr="00ED6C4D">
        <w:rPr>
          <w:rFonts w:asciiTheme="majorHAnsi" w:hAnsiTheme="majorHAnsi" w:cstheme="majorHAnsi"/>
          <w:noProof/>
        </w:rPr>
        <w:t>[29]</w:t>
      </w:r>
      <w:r w:rsidR="00BB2B71" w:rsidRPr="00ED6C4D">
        <w:rPr>
          <w:rFonts w:asciiTheme="majorHAnsi" w:hAnsiTheme="majorHAnsi" w:cstheme="majorHAnsi"/>
        </w:rPr>
        <w:fldChar w:fldCharType="end"/>
      </w:r>
      <w:r w:rsidRPr="00ED6C4D">
        <w:rPr>
          <w:rFonts w:asciiTheme="majorHAnsi" w:hAnsiTheme="majorHAnsi" w:cstheme="majorHAnsi"/>
        </w:rPr>
        <w:t>.</w:t>
      </w:r>
    </w:p>
    <w:p w14:paraId="7E8F06BB" w14:textId="6A4FC5FD" w:rsidR="00BB2B71" w:rsidRPr="00ED6C4D" w:rsidRDefault="00BB2B71" w:rsidP="00BB2B71">
      <w:pPr>
        <w:spacing w:line="360" w:lineRule="auto"/>
        <w:ind w:firstLine="720"/>
        <w:rPr>
          <w:rFonts w:asciiTheme="majorHAnsi" w:hAnsiTheme="majorHAnsi" w:cstheme="majorHAnsi"/>
        </w:rPr>
      </w:pP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is a very recent</w:t>
      </w:r>
      <w:r w:rsidR="00AF087E" w:rsidRPr="00ED6C4D">
        <w:rPr>
          <w:rFonts w:asciiTheme="majorHAnsi" w:hAnsiTheme="majorHAnsi" w:cstheme="majorHAnsi"/>
        </w:rPr>
        <w:t>, open source</w:t>
      </w:r>
      <w:r w:rsidRPr="00ED6C4D">
        <w:rPr>
          <w:rFonts w:asciiTheme="majorHAnsi" w:hAnsiTheme="majorHAnsi" w:cstheme="majorHAnsi"/>
        </w:rPr>
        <w:t xml:space="preserve"> iteration of </w:t>
      </w:r>
      <w:r w:rsidR="006F3DE5" w:rsidRPr="00ED6C4D">
        <w:rPr>
          <w:rFonts w:asciiTheme="majorHAnsi" w:hAnsiTheme="majorHAnsi" w:cstheme="majorHAnsi"/>
        </w:rPr>
        <w:t xml:space="preserve">the </w:t>
      </w:r>
      <w:r w:rsidRPr="00ED6C4D">
        <w:rPr>
          <w:rFonts w:asciiTheme="majorHAnsi" w:hAnsiTheme="majorHAnsi" w:cstheme="majorHAnsi"/>
        </w:rPr>
        <w:t xml:space="preserve">MESSAGE </w:t>
      </w:r>
      <w:r w:rsidR="006F3DE5" w:rsidRPr="00ED6C4D">
        <w:rPr>
          <w:rFonts w:asciiTheme="majorHAnsi" w:hAnsiTheme="majorHAnsi" w:cstheme="majorHAnsi"/>
        </w:rPr>
        <w:t>model</w:t>
      </w:r>
      <w:r w:rsidR="00AF087E" w:rsidRPr="00ED6C4D">
        <w:rPr>
          <w:rFonts w:asciiTheme="majorHAnsi" w:hAnsiTheme="majorHAnsi" w:cstheme="majorHAnsi"/>
        </w:rPr>
        <w:t xml:space="preserve">. </w:t>
      </w:r>
      <w:proofErr w:type="spellStart"/>
      <w:r w:rsidR="00AF087E" w:rsidRPr="00ED6C4D">
        <w:rPr>
          <w:rFonts w:asciiTheme="majorHAnsi" w:hAnsiTheme="majorHAnsi" w:cstheme="majorHAnsi"/>
        </w:rPr>
        <w:t>MESSAGEix</w:t>
      </w:r>
      <w:proofErr w:type="spellEnd"/>
      <w:r w:rsidR="00AF087E" w:rsidRPr="00ED6C4D">
        <w:rPr>
          <w:rFonts w:asciiTheme="majorHAnsi" w:hAnsiTheme="majorHAnsi" w:cstheme="majorHAnsi"/>
        </w:rPr>
        <w:t xml:space="preserve"> provides a flexible model structure; researchers can apply their own data platform to implement the model at any geographic level.</w:t>
      </w:r>
      <w:r w:rsidRPr="00ED6C4D">
        <w:rPr>
          <w:rFonts w:asciiTheme="majorHAnsi" w:hAnsiTheme="majorHAnsi" w:cstheme="majorHAnsi"/>
        </w:rPr>
        <w:t xml:space="preserve"> This study uses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in combination with the </w:t>
      </w:r>
      <w:proofErr w:type="spellStart"/>
      <w:r w:rsidRPr="00ED6C4D">
        <w:rPr>
          <w:rFonts w:asciiTheme="majorHAnsi" w:hAnsiTheme="majorHAnsi" w:cstheme="majorHAnsi"/>
          <w:i/>
        </w:rPr>
        <w:t>ixmp</w:t>
      </w:r>
      <w:proofErr w:type="spellEnd"/>
      <w:r w:rsidRPr="00ED6C4D">
        <w:rPr>
          <w:rFonts w:asciiTheme="majorHAnsi" w:hAnsiTheme="majorHAnsi" w:cstheme="majorHAnsi"/>
        </w:rPr>
        <w:t xml:space="preserve"> platform, a database that includes historical data on global energy use patterns, shared socioeconomic pathways, and associated parameter assumptions. </w:t>
      </w:r>
    </w:p>
    <w:p w14:paraId="617ED86A" w14:textId="3F9E9D2A" w:rsidR="00EE06F3" w:rsidRPr="00ED6C4D" w:rsidRDefault="7D0E00F7" w:rsidP="7D0E00F7">
      <w:pPr>
        <w:spacing w:line="360" w:lineRule="auto"/>
        <w:ind w:firstLine="720"/>
        <w:rPr>
          <w:rFonts w:asciiTheme="majorHAnsi" w:hAnsiTheme="majorHAnsi" w:cstheme="majorHAnsi"/>
        </w:rPr>
      </w:pP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currently represents the world through 14 regions. A table of represented countries and their corresponding region can be found in the Supplementary Material. Trade</w:t>
      </w:r>
      <w:r w:rsidR="007F1C2B" w:rsidRPr="00ED6C4D">
        <w:rPr>
          <w:rFonts w:asciiTheme="majorHAnsi" w:hAnsiTheme="majorHAnsi" w:cstheme="majorHAnsi"/>
        </w:rPr>
        <w:t>, with the exception of gas interconnections in Europe,</w:t>
      </w:r>
      <w:r w:rsidRPr="00ED6C4D">
        <w:rPr>
          <w:rFonts w:asciiTheme="majorHAnsi" w:hAnsiTheme="majorHAnsi" w:cstheme="majorHAnsi"/>
        </w:rPr>
        <w:t xml:space="preserve"> is represented through a global pool framework.</w:t>
      </w:r>
      <w:r w:rsidR="007F1C2B" w:rsidRPr="00ED6C4D">
        <w:rPr>
          <w:rFonts w:asciiTheme="majorHAnsi" w:hAnsiTheme="majorHAnsi" w:cstheme="majorHAnsi"/>
        </w:rPr>
        <w:t xml:space="preserve"> </w:t>
      </w:r>
      <w:r w:rsidRPr="00ED6C4D">
        <w:rPr>
          <w:rFonts w:asciiTheme="majorHAnsi" w:hAnsiTheme="majorHAnsi" w:cstheme="majorHAnsi"/>
        </w:rPr>
        <w:t xml:space="preserve"> In this framework, regions with excess energy resources can export to a global pool from which regions that demand that resource can import. Figure 1(a) below illustrates the global pool schema as a map, while Figure 1(b) represents the schema as a flow of energy. </w:t>
      </w:r>
    </w:p>
    <w:p w14:paraId="1DEF2906" w14:textId="7B05828C" w:rsidR="000306D3" w:rsidRPr="00ED6C4D" w:rsidRDefault="000306D3" w:rsidP="000306D3">
      <w:pPr>
        <w:spacing w:line="360" w:lineRule="auto"/>
        <w:rPr>
          <w:rFonts w:asciiTheme="majorHAnsi" w:hAnsiTheme="majorHAnsi" w:cstheme="majorHAnsi"/>
        </w:rPr>
      </w:pPr>
    </w:p>
    <w:p w14:paraId="1D6E3DFB" w14:textId="660CC6D4" w:rsidR="000306D3" w:rsidRPr="00ED6C4D" w:rsidRDefault="000306D3" w:rsidP="000306D3">
      <w:pPr>
        <w:spacing w:line="360" w:lineRule="auto"/>
        <w:rPr>
          <w:rFonts w:asciiTheme="majorHAnsi" w:hAnsiTheme="majorHAnsi" w:cstheme="majorHAnsi"/>
        </w:rPr>
      </w:pPr>
      <w:r w:rsidRPr="00ED6C4D">
        <w:rPr>
          <w:rFonts w:asciiTheme="majorHAnsi" w:hAnsiTheme="majorHAnsi" w:cstheme="majorHAnsi"/>
          <w:noProof/>
        </w:rPr>
        <w:lastRenderedPageBreak/>
        <w:drawing>
          <wp:inline distT="0" distB="0" distL="0" distR="0" wp14:anchorId="11FD6056" wp14:editId="1B6753F6">
            <wp:extent cx="5934075" cy="4371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681F7ADA" w14:textId="20F82DDA" w:rsidR="00BB2B71" w:rsidRPr="00ED6C4D" w:rsidRDefault="00BB2B71" w:rsidP="000306D3">
      <w:pPr>
        <w:keepNext/>
        <w:spacing w:line="240" w:lineRule="auto"/>
        <w:jc w:val="both"/>
        <w:rPr>
          <w:rFonts w:asciiTheme="majorHAnsi" w:hAnsiTheme="majorHAnsi" w:cstheme="majorHAnsi"/>
          <w:sz w:val="18"/>
          <w:szCs w:val="18"/>
        </w:rPr>
      </w:pPr>
      <w:r w:rsidRPr="00ED6C4D">
        <w:rPr>
          <w:rFonts w:asciiTheme="majorHAnsi" w:hAnsiTheme="majorHAnsi" w:cstheme="majorHAnsi"/>
          <w:b/>
          <w:bCs/>
          <w:sz w:val="18"/>
          <w:szCs w:val="18"/>
        </w:rPr>
        <w:t>Fig</w:t>
      </w:r>
      <w:r w:rsidR="004852BB" w:rsidRPr="00ED6C4D">
        <w:rPr>
          <w:rFonts w:asciiTheme="majorHAnsi" w:hAnsiTheme="majorHAnsi" w:cstheme="majorHAnsi"/>
          <w:b/>
          <w:bCs/>
          <w:sz w:val="18"/>
          <w:szCs w:val="18"/>
        </w:rPr>
        <w:t xml:space="preserve">. </w:t>
      </w:r>
      <w:r w:rsidR="00EE06F3" w:rsidRPr="00ED6C4D">
        <w:rPr>
          <w:rFonts w:asciiTheme="majorHAnsi" w:hAnsiTheme="majorHAnsi" w:cstheme="majorHAnsi"/>
          <w:b/>
          <w:bCs/>
          <w:sz w:val="18"/>
          <w:szCs w:val="18"/>
        </w:rPr>
        <w:t>1</w:t>
      </w:r>
      <w:r w:rsidR="004852BB" w:rsidRPr="00ED6C4D">
        <w:rPr>
          <w:rFonts w:asciiTheme="majorHAnsi" w:hAnsiTheme="majorHAnsi" w:cstheme="majorHAnsi"/>
          <w:b/>
          <w:bCs/>
          <w:sz w:val="18"/>
          <w:szCs w:val="18"/>
        </w:rPr>
        <w:t xml:space="preserve">. Schematics of the </w:t>
      </w:r>
      <w:proofErr w:type="spellStart"/>
      <w:r w:rsidR="004852BB" w:rsidRPr="00ED6C4D">
        <w:rPr>
          <w:rFonts w:asciiTheme="majorHAnsi" w:hAnsiTheme="majorHAnsi" w:cstheme="majorHAnsi"/>
          <w:b/>
          <w:bCs/>
          <w:sz w:val="18"/>
          <w:szCs w:val="18"/>
        </w:rPr>
        <w:t>MESSAGEix</w:t>
      </w:r>
      <w:proofErr w:type="spellEnd"/>
      <w:r w:rsidR="004852BB" w:rsidRPr="00ED6C4D">
        <w:rPr>
          <w:rFonts w:asciiTheme="majorHAnsi" w:hAnsiTheme="majorHAnsi" w:cstheme="majorHAnsi"/>
          <w:b/>
          <w:bCs/>
          <w:sz w:val="18"/>
          <w:szCs w:val="18"/>
        </w:rPr>
        <w:t xml:space="preserve"> global energy model</w:t>
      </w:r>
      <w:r w:rsidR="004852BB" w:rsidRPr="00ED6C4D">
        <w:rPr>
          <w:rFonts w:asciiTheme="majorHAnsi" w:hAnsiTheme="majorHAnsi" w:cstheme="majorHAnsi"/>
          <w:bCs/>
          <w:sz w:val="18"/>
          <w:szCs w:val="18"/>
        </w:rPr>
        <w:t>.</w:t>
      </w:r>
      <w:r w:rsidRPr="00ED6C4D">
        <w:rPr>
          <w:rFonts w:asciiTheme="majorHAnsi" w:hAnsiTheme="majorHAnsi" w:cstheme="majorHAnsi"/>
          <w:sz w:val="18"/>
          <w:szCs w:val="18"/>
        </w:rPr>
        <w:t xml:space="preserve"> (a) </w:t>
      </w:r>
      <w:r w:rsidR="004852BB" w:rsidRPr="00ED6C4D">
        <w:rPr>
          <w:rFonts w:asciiTheme="majorHAnsi" w:hAnsiTheme="majorHAnsi" w:cstheme="majorHAnsi"/>
          <w:sz w:val="18"/>
          <w:szCs w:val="18"/>
        </w:rPr>
        <w:t>Illustration of the “global pool schema” representation of international trade</w:t>
      </w:r>
      <w:r w:rsidRPr="00ED6C4D">
        <w:rPr>
          <w:rFonts w:asciiTheme="majorHAnsi" w:hAnsiTheme="majorHAnsi" w:cstheme="majorHAnsi"/>
          <w:sz w:val="18"/>
          <w:szCs w:val="18"/>
        </w:rPr>
        <w:t xml:space="preserve">. There are 14 representative regions. Each region can export to (solid line) or import from (dashed line) a global pool of each energy commodity (e.g. crude oil). (b) Energy flow in the global schema through inputs and output. Model “levels” are in purple (e.g. primary, secondary, export, final), nodes are in blue (i.e. regions), commodities are in green (e.g. coal, crude oil), technologies are in orange (e.g. exports, imports), and parameters are in black (e.g. input, output). AFR represents Africa, GLB represents the global node, and WEU represents Western Europe. This flow therefore represents crude oil exports from Africa to Western Europe. </w:t>
      </w:r>
      <w:r w:rsidR="002E16A5" w:rsidRPr="00ED6C4D">
        <w:rPr>
          <w:rFonts w:asciiTheme="majorHAnsi" w:hAnsiTheme="majorHAnsi" w:cstheme="majorHAnsi"/>
          <w:sz w:val="18"/>
          <w:szCs w:val="18"/>
        </w:rPr>
        <w:t>(c) Illustration of the “bilateral trade schema” for international trade. We explicitly model bilateral trade flows for each energy commodity, thus representing trade as a network rather than a pooled resource. (d) Flow of energy in bilateral representation of trade. Note here that technologies now explicitly define the destination of, in this instance, crude oil exports. Commodities also explicitly denote the destination (“</w:t>
      </w:r>
      <w:proofErr w:type="spellStart"/>
      <w:r w:rsidR="002E16A5" w:rsidRPr="00ED6C4D">
        <w:rPr>
          <w:rFonts w:asciiTheme="majorHAnsi" w:hAnsiTheme="majorHAnsi" w:cstheme="majorHAnsi"/>
          <w:sz w:val="18"/>
          <w:szCs w:val="18"/>
        </w:rPr>
        <w:t>crudeoil_weu</w:t>
      </w:r>
      <w:proofErr w:type="spellEnd"/>
      <w:r w:rsidR="002E16A5" w:rsidRPr="00ED6C4D">
        <w:rPr>
          <w:rFonts w:asciiTheme="majorHAnsi" w:hAnsiTheme="majorHAnsi" w:cstheme="majorHAnsi"/>
          <w:sz w:val="18"/>
          <w:szCs w:val="18"/>
        </w:rPr>
        <w:t>”).</w:t>
      </w:r>
    </w:p>
    <w:p w14:paraId="41C8F396" w14:textId="77777777" w:rsidR="004852BB" w:rsidRPr="00ED6C4D" w:rsidRDefault="004852BB" w:rsidP="004852BB">
      <w:pPr>
        <w:keepNext/>
        <w:spacing w:line="240" w:lineRule="auto"/>
        <w:rPr>
          <w:rFonts w:asciiTheme="majorHAnsi" w:hAnsiTheme="majorHAnsi" w:cstheme="majorHAnsi"/>
        </w:rPr>
      </w:pPr>
    </w:p>
    <w:p w14:paraId="391D5965" w14:textId="77777777" w:rsidR="004852BB" w:rsidRPr="00ED6C4D" w:rsidRDefault="00BB2B71" w:rsidP="00092F0C">
      <w:pPr>
        <w:spacing w:line="360" w:lineRule="auto"/>
        <w:ind w:firstLine="720"/>
        <w:rPr>
          <w:rFonts w:asciiTheme="majorHAnsi" w:hAnsiTheme="majorHAnsi" w:cstheme="majorHAnsi"/>
        </w:rPr>
      </w:pPr>
      <w:r w:rsidRPr="00ED6C4D">
        <w:rPr>
          <w:rFonts w:asciiTheme="majorHAnsi" w:hAnsiTheme="majorHAnsi" w:cstheme="majorHAnsi"/>
        </w:rPr>
        <w:t>Here, commodities represent the energy resource (e.g. LNG) while the technology represents the movement of the commodity (e.g. LNG exports, LNG imports). The technology is differentiated by commodity but not by location. This is what defines the global pool schema</w:t>
      </w:r>
      <w:r w:rsidR="004852BB" w:rsidRPr="00ED6C4D">
        <w:rPr>
          <w:rFonts w:asciiTheme="majorHAnsi" w:hAnsiTheme="majorHAnsi" w:cstheme="majorHAnsi"/>
        </w:rPr>
        <w:t xml:space="preserve">. </w:t>
      </w:r>
      <w:r w:rsidRPr="00ED6C4D">
        <w:rPr>
          <w:rFonts w:asciiTheme="majorHAnsi" w:hAnsiTheme="majorHAnsi" w:cstheme="majorHAnsi"/>
        </w:rPr>
        <w:t>Note that while the global pool schema allows us to examine the total exports from/imports to regions, it does not explicitly model the trade flows among them. This explicit bilateral representation is necessary to model trade as a network and to measure security indices like trade portfolio diversity and import dependence.</w:t>
      </w:r>
    </w:p>
    <w:p w14:paraId="4069A9E6" w14:textId="04A4C177" w:rsidR="00EE06F3" w:rsidRPr="00ED6C4D" w:rsidRDefault="00EE06F3" w:rsidP="00EE06F3">
      <w:pPr>
        <w:spacing w:line="360" w:lineRule="auto"/>
        <w:ind w:firstLine="720"/>
        <w:rPr>
          <w:rFonts w:asciiTheme="majorHAnsi" w:hAnsiTheme="majorHAnsi" w:cstheme="majorHAnsi"/>
        </w:rPr>
      </w:pPr>
      <w:r w:rsidRPr="00ED6C4D">
        <w:rPr>
          <w:rFonts w:asciiTheme="majorHAnsi" w:hAnsiTheme="majorHAnsi" w:cstheme="majorHAnsi"/>
        </w:rPr>
        <w:lastRenderedPageBreak/>
        <w:t xml:space="preserve">The bilateral trade representation is illustrated in Figure </w:t>
      </w:r>
      <w:r w:rsidR="000306D3" w:rsidRPr="00ED6C4D">
        <w:rPr>
          <w:rFonts w:asciiTheme="majorHAnsi" w:hAnsiTheme="majorHAnsi" w:cstheme="majorHAnsi"/>
        </w:rPr>
        <w:t>1</w:t>
      </w:r>
      <w:r w:rsidRPr="00ED6C4D">
        <w:rPr>
          <w:rFonts w:asciiTheme="majorHAnsi" w:hAnsiTheme="majorHAnsi" w:cstheme="majorHAnsi"/>
        </w:rPr>
        <w:t>(</w:t>
      </w:r>
      <w:r w:rsidR="000306D3" w:rsidRPr="00ED6C4D">
        <w:rPr>
          <w:rFonts w:asciiTheme="majorHAnsi" w:hAnsiTheme="majorHAnsi" w:cstheme="majorHAnsi"/>
        </w:rPr>
        <w:t>c</w:t>
      </w:r>
      <w:r w:rsidRPr="00ED6C4D">
        <w:rPr>
          <w:rFonts w:asciiTheme="majorHAnsi" w:hAnsiTheme="majorHAnsi" w:cstheme="majorHAnsi"/>
        </w:rPr>
        <w:t xml:space="preserve">) and </w:t>
      </w:r>
      <w:r w:rsidR="000306D3" w:rsidRPr="00ED6C4D">
        <w:rPr>
          <w:rFonts w:asciiTheme="majorHAnsi" w:hAnsiTheme="majorHAnsi" w:cstheme="majorHAnsi"/>
        </w:rPr>
        <w:t>1</w:t>
      </w:r>
      <w:r w:rsidRPr="00ED6C4D">
        <w:rPr>
          <w:rFonts w:asciiTheme="majorHAnsi" w:hAnsiTheme="majorHAnsi" w:cstheme="majorHAnsi"/>
        </w:rPr>
        <w:t>(</w:t>
      </w:r>
      <w:r w:rsidR="000306D3" w:rsidRPr="00ED6C4D">
        <w:rPr>
          <w:rFonts w:asciiTheme="majorHAnsi" w:hAnsiTheme="majorHAnsi" w:cstheme="majorHAnsi"/>
        </w:rPr>
        <w:t>d</w:t>
      </w:r>
      <w:r w:rsidRPr="00ED6C4D">
        <w:rPr>
          <w:rFonts w:asciiTheme="majorHAnsi" w:hAnsiTheme="majorHAnsi" w:cstheme="majorHAnsi"/>
        </w:rPr>
        <w:t xml:space="preserve">). In order to explicitly delineate bilateral trade flows among regions, we needed to completely reparametrize trade in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Note that in the global pool schema, the origin of fuel imports and the destination of fuel exports are not explicit in the commodity or technology. In the bilateral framework we explicitly define the destination of commodity imports (e.g. </w:t>
      </w:r>
      <w:proofErr w:type="spellStart"/>
      <w:r w:rsidRPr="00ED6C4D">
        <w:rPr>
          <w:rFonts w:asciiTheme="majorHAnsi" w:hAnsiTheme="majorHAnsi" w:cstheme="majorHAnsi"/>
        </w:rPr>
        <w:t>LNG_weu</w:t>
      </w:r>
      <w:proofErr w:type="spellEnd"/>
      <w:r w:rsidRPr="00ED6C4D">
        <w:rPr>
          <w:rFonts w:asciiTheme="majorHAnsi" w:hAnsiTheme="majorHAnsi" w:cstheme="majorHAnsi"/>
        </w:rPr>
        <w:t xml:space="preserve"> means LNG imports to Western Europe) and export technologies (e.g. </w:t>
      </w:r>
      <w:proofErr w:type="spellStart"/>
      <w:r w:rsidRPr="00ED6C4D">
        <w:rPr>
          <w:rFonts w:asciiTheme="majorHAnsi" w:hAnsiTheme="majorHAnsi" w:cstheme="majorHAnsi"/>
        </w:rPr>
        <w:t>LNG_exp_weu</w:t>
      </w:r>
      <w:proofErr w:type="spellEnd"/>
      <w:r w:rsidRPr="00ED6C4D">
        <w:rPr>
          <w:rFonts w:asciiTheme="majorHAnsi" w:hAnsiTheme="majorHAnsi" w:cstheme="majorHAnsi"/>
        </w:rPr>
        <w:t xml:space="preserve"> means LNG exports from the given region that are destined for Western Europe). This is illustrated in Figure </w:t>
      </w:r>
      <w:r w:rsidR="00D77C81" w:rsidRPr="00ED6C4D">
        <w:rPr>
          <w:rFonts w:asciiTheme="majorHAnsi" w:hAnsiTheme="majorHAnsi" w:cstheme="majorHAnsi"/>
        </w:rPr>
        <w:t>2</w:t>
      </w:r>
      <w:r w:rsidRPr="00ED6C4D">
        <w:rPr>
          <w:rFonts w:asciiTheme="majorHAnsi" w:hAnsiTheme="majorHAnsi" w:cstheme="majorHAnsi"/>
        </w:rPr>
        <w:t xml:space="preserve">(b). </w:t>
      </w:r>
    </w:p>
    <w:p w14:paraId="06C3ABF0" w14:textId="014FD060" w:rsidR="00C81BA4" w:rsidRPr="00ED6C4D" w:rsidRDefault="00422CE5" w:rsidP="00C81BA4">
      <w:pPr>
        <w:spacing w:line="360" w:lineRule="auto"/>
        <w:ind w:firstLine="720"/>
        <w:rPr>
          <w:rFonts w:asciiTheme="majorHAnsi" w:hAnsiTheme="majorHAnsi" w:cstheme="majorHAnsi"/>
        </w:rPr>
      </w:pPr>
      <w:r w:rsidRPr="00ED6C4D">
        <w:rPr>
          <w:rFonts w:asciiTheme="majorHAnsi" w:hAnsiTheme="majorHAnsi" w:cstheme="majorHAnsi"/>
        </w:rPr>
        <w:t xml:space="preserve">For this analysis, we focus on </w:t>
      </w:r>
      <w:r w:rsidR="001E5A2C" w:rsidRPr="00ED6C4D">
        <w:rPr>
          <w:rFonts w:asciiTheme="majorHAnsi" w:hAnsiTheme="majorHAnsi" w:cstheme="majorHAnsi"/>
        </w:rPr>
        <w:t>eight</w:t>
      </w:r>
      <w:r w:rsidRPr="00ED6C4D">
        <w:rPr>
          <w:rFonts w:asciiTheme="majorHAnsi" w:hAnsiTheme="majorHAnsi" w:cstheme="majorHAnsi"/>
        </w:rPr>
        <w:t xml:space="preserve"> commodities: coal, crude oil, </w:t>
      </w:r>
      <w:r w:rsidR="001E5A2C" w:rsidRPr="00ED6C4D">
        <w:rPr>
          <w:rFonts w:asciiTheme="majorHAnsi" w:hAnsiTheme="majorHAnsi" w:cstheme="majorHAnsi"/>
        </w:rPr>
        <w:t xml:space="preserve">ethanol, </w:t>
      </w:r>
      <w:r w:rsidRPr="00ED6C4D">
        <w:rPr>
          <w:rFonts w:asciiTheme="majorHAnsi" w:hAnsiTheme="majorHAnsi" w:cstheme="majorHAnsi"/>
        </w:rPr>
        <w:t xml:space="preserve">fuel oil, light oil, </w:t>
      </w:r>
      <w:r w:rsidR="001E5A2C" w:rsidRPr="00ED6C4D">
        <w:rPr>
          <w:rFonts w:asciiTheme="majorHAnsi" w:hAnsiTheme="majorHAnsi" w:cstheme="majorHAnsi"/>
        </w:rPr>
        <w:t>liquid hydrogen, LNG, and methanol</w:t>
      </w:r>
      <w:r w:rsidRPr="00ED6C4D">
        <w:rPr>
          <w:rFonts w:asciiTheme="majorHAnsi" w:hAnsiTheme="majorHAnsi" w:cstheme="majorHAnsi"/>
        </w:rPr>
        <w:t xml:space="preserve">. </w:t>
      </w:r>
      <w:r w:rsidR="00C81BA4" w:rsidRPr="00ED6C4D">
        <w:rPr>
          <w:rFonts w:asciiTheme="majorHAnsi" w:hAnsiTheme="majorHAnsi" w:cstheme="majorHAnsi"/>
        </w:rPr>
        <w:t xml:space="preserve">We use the BACI bilateral trade database from CEPII to extract historical bilateral trade activity at the region level for each commodity </w:t>
      </w:r>
      <w:r w:rsidR="00C81BA4"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{"citationItems":[{"id":"ITEM-1","itemData":{"abstract":"This paper document the construction of BACI, our international trade database covering more than 200 countries and 5,000 products, between 1995 and 2004. Original procedures have been developed to reconcile data reported by almost 150 countries to the United Nations Statistics Division, which disseminate them via COMTRADE. When both exporting and importing countries do report, we have two different figures for the same flow. In order to have a single coherent figure for each bilateral flow, we have need to reconcile them. Firstly, as import values are reported CIF (cost, insurance and freight) and the exports are reported FOB (free on board), CIF costs have to be estimated and removed from imports values to compute FOB import values. We regress the unit-values ratios reported for a given elementary flow by gravity variables: bilateral distance, dummies for adjacent or landlocked countries and for years, and world median unit-value for each product category (we consider a non-linear relationship between CIF costs and distance by introducing also the square distance). As expected, we find that CIF costs increase with distance and decrease with unit value. The second step is an evaluation of the reliability of country reporting, based on the declaration distances among partners. In order to evaluate this quality of countries reporting (as exporters or importers) we decompose the absolute value of the ratios of mirror flows using a (weighted) variance analysis, and an index is build for every country. Finally, the qualities of declaration are used as weights in the reconciliation of each bilateral trade flow twice reported. Taking advantage of this double information on each flow, we end up en plus?? with a large coverage of countries not reporting at a given level of the product classification. BACI provides the most disaggregated international reconciled values of bilateral flows, for the largest possible number of countries and years, with a special care in the treatment of unit-values. BACI is freely available to users of COMTRADE database in our webpage:","author":[{"dropping-particle":"","family":"Gaulier","given":"Guillaume","non-dropping-particle":"","parse-names":false,"suffix":""},{"dropping-particle":"","family":"Zignago","given":"Soledad","non-dropping-particle":"","parse-names":false,"suffix":""}],"container-title":"CEPII Working paper","id":"ITEM-1","issued":{"date-parts":[["2008"]]},"title":"BACI: A World Database of International Trade at the Product-level 1995-2004","type":"report"},"uris":["http://www.mendeley.com/documents/?uuid=676a14b5-c98c-4f31-81bb-7df1f9b30508"]}],"mendeley":{"formattedCitation":"[30]","plainTextFormattedCitation":"[30]","previouslyFormattedCitation":"[30]"},"properties":{"noteIndex":0},"schema":"https://github.com/citation-style-language/schema/raw/master/csl-citation.json"}</w:instrText>
      </w:r>
      <w:r w:rsidR="00C81BA4" w:rsidRPr="00ED6C4D">
        <w:rPr>
          <w:rFonts w:asciiTheme="majorHAnsi" w:hAnsiTheme="majorHAnsi" w:cstheme="majorHAnsi"/>
        </w:rPr>
        <w:fldChar w:fldCharType="separate"/>
      </w:r>
      <w:r w:rsidR="00BC67D6" w:rsidRPr="00ED6C4D">
        <w:rPr>
          <w:rFonts w:asciiTheme="majorHAnsi" w:hAnsiTheme="majorHAnsi" w:cstheme="majorHAnsi"/>
          <w:noProof/>
        </w:rPr>
        <w:t>[30]</w:t>
      </w:r>
      <w:r w:rsidR="00C81BA4" w:rsidRPr="00ED6C4D">
        <w:rPr>
          <w:rFonts w:asciiTheme="majorHAnsi" w:hAnsiTheme="majorHAnsi" w:cstheme="majorHAnsi"/>
        </w:rPr>
        <w:fldChar w:fldCharType="end"/>
      </w:r>
      <w:r w:rsidR="00C81BA4" w:rsidRPr="00ED6C4D">
        <w:rPr>
          <w:rFonts w:asciiTheme="majorHAnsi" w:hAnsiTheme="majorHAnsi" w:cstheme="majorHAnsi"/>
        </w:rPr>
        <w:t xml:space="preserve">. BACI includes bilateral trade flows of products in both monetary units ($1000) and weight (tons). The data are identified at the importer-exporter-product-year level, and span from 1995-2015. </w:t>
      </w:r>
    </w:p>
    <w:p w14:paraId="2FD64327" w14:textId="77777777" w:rsidR="00C81BA4" w:rsidRPr="00ED6C4D" w:rsidRDefault="00C81BA4" w:rsidP="00C81BA4">
      <w:pPr>
        <w:spacing w:line="360" w:lineRule="auto"/>
        <w:ind w:firstLine="720"/>
        <w:rPr>
          <w:rFonts w:asciiTheme="majorHAnsi" w:hAnsiTheme="majorHAnsi" w:cstheme="majorHAnsi"/>
          <w:i/>
          <w:iCs/>
        </w:rPr>
      </w:pPr>
      <w:r w:rsidRPr="00ED6C4D">
        <w:rPr>
          <w:rFonts w:asciiTheme="majorHAnsi" w:hAnsiTheme="majorHAnsi" w:cstheme="majorHAnsi"/>
        </w:rPr>
        <w:t>We link the BACI database with the Net Calorific Value (NCV) dataset from the International Energy Agency (IEA), which includes data on the energy content (in kJ/kg) of energy resources at the country-year level.</w:t>
      </w:r>
      <w:r w:rsidRPr="00ED6C4D">
        <w:rPr>
          <w:rStyle w:val="FootnoteReference"/>
          <w:rFonts w:asciiTheme="majorHAnsi" w:hAnsiTheme="majorHAnsi" w:cstheme="majorHAnsi"/>
        </w:rPr>
        <w:footnoteReference w:id="4"/>
      </w:r>
      <w:r w:rsidRPr="00ED6C4D">
        <w:rPr>
          <w:rFonts w:asciiTheme="majorHAnsi" w:hAnsiTheme="majorHAnsi" w:cstheme="majorHAnsi"/>
        </w:rPr>
        <w:t xml:space="preserve">  We use the NCV data to convert units on bilateral trade flows from weight to energy. We then validate these data with the World Energy Balances (WEB) database from the IEA. The WEB has total imports and exports of energy resources from individual countries but does not represent these amounts bilaterally. </w:t>
      </w:r>
    </w:p>
    <w:p w14:paraId="2174CB1E" w14:textId="23B2AE19" w:rsidR="00422CE5" w:rsidRPr="00ED6C4D" w:rsidRDefault="00422CE5" w:rsidP="00562670">
      <w:pPr>
        <w:spacing w:line="360" w:lineRule="auto"/>
        <w:ind w:firstLine="720"/>
        <w:rPr>
          <w:rFonts w:asciiTheme="majorHAnsi" w:hAnsiTheme="majorHAnsi" w:cstheme="majorHAnsi"/>
        </w:rPr>
      </w:pPr>
      <w:r w:rsidRPr="00ED6C4D">
        <w:rPr>
          <w:rFonts w:asciiTheme="majorHAnsi" w:hAnsiTheme="majorHAnsi" w:cstheme="majorHAnsi"/>
        </w:rPr>
        <w:t xml:space="preserve">Trade under the global pool schema utilized 22 parameters. Parameters are user-defined values that build constraints and costs for the optimization model. One example of a parameter is emission factor, which defines the per unit emission by an energy technology (e.g. coal power plants). Another one is upper bound on the growth constraint for activity; this parameter sets an upper limit for how much more a technology can be adopted compared to the previous time period. This constraint ensures that the model does not allow a technology to penetrate </w:t>
      </w:r>
      <w:r w:rsidR="008A4C56" w:rsidRPr="00ED6C4D">
        <w:rPr>
          <w:rFonts w:asciiTheme="majorHAnsi" w:hAnsiTheme="majorHAnsi" w:cstheme="majorHAnsi"/>
        </w:rPr>
        <w:t xml:space="preserve">unrealistically </w:t>
      </w:r>
      <w:r w:rsidR="00F77BF4">
        <w:rPr>
          <w:rFonts w:asciiTheme="majorHAnsi" w:hAnsiTheme="majorHAnsi" w:cstheme="majorHAnsi"/>
        </w:rPr>
        <w:t>quickly</w:t>
      </w:r>
      <w:r w:rsidR="008A4C56" w:rsidRPr="00ED6C4D">
        <w:rPr>
          <w:rFonts w:asciiTheme="majorHAnsi" w:hAnsiTheme="majorHAnsi" w:cstheme="majorHAnsi"/>
        </w:rPr>
        <w:t xml:space="preserve"> between two </w:t>
      </w:r>
      <w:r w:rsidRPr="00ED6C4D">
        <w:rPr>
          <w:rFonts w:asciiTheme="majorHAnsi" w:hAnsiTheme="majorHAnsi" w:cstheme="majorHAnsi"/>
        </w:rPr>
        <w:t>time period</w:t>
      </w:r>
      <w:r w:rsidR="008A4C56" w:rsidRPr="00ED6C4D">
        <w:rPr>
          <w:rFonts w:asciiTheme="majorHAnsi" w:hAnsiTheme="majorHAnsi" w:cstheme="majorHAnsi"/>
        </w:rPr>
        <w:t>s</w:t>
      </w:r>
      <w:r w:rsidRPr="00ED6C4D">
        <w:rPr>
          <w:rFonts w:asciiTheme="majorHAnsi" w:hAnsiTheme="majorHAnsi" w:cstheme="majorHAnsi"/>
        </w:rPr>
        <w:t>. A table of the parameters used in the global schema are presented in the Supplementary Material. The bilateral trade framework takes each of these parameters and applies them to each trade technology, now differentiated by region.</w:t>
      </w:r>
    </w:p>
    <w:p w14:paraId="5C64D235" w14:textId="51188EC1" w:rsidR="00C61B6D" w:rsidRPr="00ED6C4D" w:rsidRDefault="00C61B6D" w:rsidP="00562670">
      <w:pPr>
        <w:spacing w:line="360" w:lineRule="auto"/>
        <w:ind w:firstLine="720"/>
        <w:rPr>
          <w:rFonts w:asciiTheme="majorHAnsi" w:hAnsiTheme="majorHAnsi" w:cstheme="majorHAnsi"/>
        </w:rPr>
      </w:pPr>
      <w:r w:rsidRPr="00ED6C4D">
        <w:rPr>
          <w:rFonts w:asciiTheme="majorHAnsi" w:hAnsiTheme="majorHAnsi" w:cstheme="majorHAnsi"/>
        </w:rPr>
        <w:t xml:space="preserve">A key assumption underlying the global pool schema was that the characteristics, and therefore the costs, of maritime shipping </w:t>
      </w:r>
      <w:r w:rsidR="00954653" w:rsidRPr="00ED6C4D">
        <w:rPr>
          <w:rFonts w:asciiTheme="majorHAnsi" w:hAnsiTheme="majorHAnsi" w:cstheme="majorHAnsi"/>
        </w:rPr>
        <w:t>are</w:t>
      </w:r>
      <w:r w:rsidRPr="00ED6C4D">
        <w:rPr>
          <w:rFonts w:asciiTheme="majorHAnsi" w:hAnsiTheme="majorHAnsi" w:cstheme="majorHAnsi"/>
        </w:rPr>
        <w:t xml:space="preserve"> equal across energy commodities. This is clearly not a realistic </w:t>
      </w:r>
      <w:r w:rsidRPr="00ED6C4D">
        <w:rPr>
          <w:rFonts w:asciiTheme="majorHAnsi" w:hAnsiTheme="majorHAnsi" w:cstheme="majorHAnsi"/>
        </w:rPr>
        <w:lastRenderedPageBreak/>
        <w:t>assumption; for instance, the vessels that carry LNG are vastly different from the vessels that carry coal. To address the heterogeneity across shipping capacity and to ensure that trade growth does not outpace the growth of the global capacity for maritime shipping, we include additional constraints for fuel shipping. Details on these constraints can be foun</w:t>
      </w:r>
      <w:r w:rsidR="00F77BF4">
        <w:rPr>
          <w:rFonts w:asciiTheme="majorHAnsi" w:hAnsiTheme="majorHAnsi" w:cstheme="majorHAnsi"/>
        </w:rPr>
        <w:t>d in the Supplementary Material</w:t>
      </w:r>
      <w:r w:rsidRPr="00ED6C4D">
        <w:rPr>
          <w:rFonts w:asciiTheme="majorHAnsi" w:hAnsiTheme="majorHAnsi" w:cstheme="majorHAnsi"/>
        </w:rPr>
        <w:t xml:space="preserve">. </w:t>
      </w:r>
    </w:p>
    <w:p w14:paraId="0E27B00A" w14:textId="77777777" w:rsidR="00562670" w:rsidRPr="00ED6C4D" w:rsidRDefault="00562670" w:rsidP="00562670">
      <w:pPr>
        <w:spacing w:line="360" w:lineRule="auto"/>
        <w:ind w:firstLine="720"/>
        <w:rPr>
          <w:rFonts w:asciiTheme="majorHAnsi" w:hAnsiTheme="majorHAnsi" w:cstheme="majorHAnsi"/>
        </w:rPr>
      </w:pPr>
    </w:p>
    <w:p w14:paraId="739BA7B7" w14:textId="77777777" w:rsidR="00422CE5" w:rsidRPr="00ED6C4D" w:rsidRDefault="00422CE5" w:rsidP="00AF4B61">
      <w:pPr>
        <w:pStyle w:val="Heading2"/>
        <w:rPr>
          <w:rFonts w:cstheme="majorHAnsi"/>
          <w:color w:val="auto"/>
        </w:rPr>
      </w:pPr>
      <w:r w:rsidRPr="00ED6C4D">
        <w:rPr>
          <w:rFonts w:cstheme="majorHAnsi"/>
          <w:color w:val="auto"/>
        </w:rPr>
        <w:t>2.</w:t>
      </w:r>
      <w:r w:rsidR="00092F0C" w:rsidRPr="00ED6C4D">
        <w:rPr>
          <w:rFonts w:cstheme="majorHAnsi"/>
          <w:color w:val="auto"/>
        </w:rPr>
        <w:t>2</w:t>
      </w:r>
      <w:r w:rsidRPr="00ED6C4D">
        <w:rPr>
          <w:rFonts w:cstheme="majorHAnsi"/>
          <w:color w:val="auto"/>
        </w:rPr>
        <w:tab/>
        <w:t>The effect of sea distance on trade cost</w:t>
      </w:r>
    </w:p>
    <w:p w14:paraId="60061E4C" w14:textId="77777777" w:rsidR="0022603D" w:rsidRPr="00ED6C4D" w:rsidRDefault="0022603D" w:rsidP="00AF4B61">
      <w:pPr>
        <w:rPr>
          <w:rFonts w:asciiTheme="majorHAnsi" w:hAnsiTheme="majorHAnsi" w:cstheme="majorHAnsi"/>
        </w:rPr>
      </w:pPr>
    </w:p>
    <w:p w14:paraId="1FBD3E8E" w14:textId="7773406A" w:rsidR="00C81BA4"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In the bilateral representation of energy trade, we assume that, all else equal and in the absence of any sanctions or other constraints, exporters are more likely to trade with regions that are closer to them. This is based on the gravity model of bilateral trade, which assumes that trade flows are a function of the size of each economy and the distance between them </w:t>
      </w:r>
      <w:r w:rsidR="0022603D"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{"citationItems":[{"id":"ITEM-1","itemData":{"DOI":"10.1162/qjec.2008.123.2.441","ISSN":"00335533","abstract":"We develop a simple model of international trade with heterogeneous firms that is consistent with a number of stylized features of the data. In particular, the model predicts positive as well as zero trade flows across pairs of countries, and it allows the number of exporting firms to vary across destination countries. As a result, the impact of trade frictions on trade flows can be decomposed into the intensive and extensive margins, where the former refers to the trade volume per exporter and the latter refers to the number of exporters. This model yields a gen-eralized gravity equation that accounts for the self-selection of firms into export markets and their impact on trade volumes. We then develop a two-stage estima-tion procedure that uses an equation for selection into trade partners in the first stage and a trade flow equation in the second. We implement this procedure para-metrically, semiparametrically, and nonparametrically, showing that in all three cases the estimated effects of trade frictions are similar. Importantly, our method provides estimates of the intensive and extensive margins of trade. We show that traditional estimates are biased and that most of the bias is due not to selection but rather due to the omission of the extensive margin. Moreover, the effect of the number of exporting firms varies across country pairs according to their charac-teristics. This variation is large and particularly so for trade between developed and less developed countries and between pairs of less developed countries.","author":[{"dropping-particle":"","family":"Helpman","given":"Elhanan","non-dropping-particle":"","parse-names":false,"suffix":""},{"dropping-particle":"","family":"Melitz","given":"Marc","non-dropping-particle":"","parse-names":false,"suffix":""},{"dropping-particle":"","family":"Rubinstein","given":"Yona","non-dropping-particle":"","parse-names":false,"suffix":""}],"container-title":"Quarterly Journal of Economics","id":"ITEM-1","issued":{"date-parts":[["2008"]]},"title":"Estimating trade flows: Trading partners and trading volumes","type":"article-journal"},"uris":["http://www.mendeley.com/documents/?uuid=c163ac35-a298-49b7-aecb-eadcc904945b"]}],"mendeley":{"formattedCitation":"[31]","plainTextFormattedCitation":"[31]","previouslyFormattedCitation":"[31]"},"properties":{"noteIndex":0},"schema":"https://github.com/citation-style-language/schema/raw/master/csl-citation.json"}</w:instrText>
      </w:r>
      <w:r w:rsidR="0022603D" w:rsidRPr="00ED6C4D">
        <w:rPr>
          <w:rFonts w:asciiTheme="majorHAnsi" w:hAnsiTheme="majorHAnsi" w:cstheme="majorHAnsi"/>
        </w:rPr>
        <w:fldChar w:fldCharType="separate"/>
      </w:r>
      <w:r w:rsidR="00BC67D6" w:rsidRPr="00ED6C4D">
        <w:rPr>
          <w:rFonts w:asciiTheme="majorHAnsi" w:hAnsiTheme="majorHAnsi" w:cstheme="majorHAnsi"/>
          <w:noProof/>
        </w:rPr>
        <w:t>[31]</w:t>
      </w:r>
      <w:r w:rsidR="0022603D" w:rsidRPr="00ED6C4D">
        <w:rPr>
          <w:rFonts w:asciiTheme="majorHAnsi" w:hAnsiTheme="majorHAnsi" w:cstheme="majorHAnsi"/>
        </w:rPr>
        <w:fldChar w:fldCharType="end"/>
      </w:r>
      <w:r w:rsidRPr="00ED6C4D">
        <w:rPr>
          <w:rFonts w:asciiTheme="majorHAnsi" w:hAnsiTheme="majorHAnsi" w:cstheme="majorHAnsi"/>
        </w:rPr>
        <w:t xml:space="preserve">. To represent the trade friction from distance, we therefore need to estimate the marginal effect of distance on trade </w:t>
      </w:r>
      <w:r w:rsidRPr="00ED6C4D">
        <w:rPr>
          <w:rFonts w:asciiTheme="majorHAnsi" w:hAnsiTheme="majorHAnsi" w:cstheme="majorHAnsi"/>
          <w:i/>
          <w:iCs/>
        </w:rPr>
        <w:t>cost</w:t>
      </w:r>
      <w:r w:rsidRPr="00ED6C4D">
        <w:rPr>
          <w:rFonts w:asciiTheme="majorHAnsi" w:hAnsiTheme="majorHAnsi" w:cstheme="majorHAnsi"/>
        </w:rPr>
        <w:t xml:space="preserve">. Because the objective function in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is to minimize cost, by incorporating trade frictions through the exporting region’s variable cost, we are able to capture the impedances to trade flows.  </w:t>
      </w:r>
    </w:p>
    <w:p w14:paraId="162F82FD" w14:textId="77777777" w:rsidR="00C81BA4" w:rsidRPr="00ED6C4D" w:rsidRDefault="00C81BA4" w:rsidP="00C81BA4">
      <w:pPr>
        <w:spacing w:line="360" w:lineRule="auto"/>
        <w:ind w:firstLine="720"/>
        <w:rPr>
          <w:rFonts w:asciiTheme="majorHAnsi" w:hAnsiTheme="majorHAnsi" w:cstheme="majorHAnsi"/>
        </w:rPr>
      </w:pPr>
      <w:r w:rsidRPr="00ED6C4D">
        <w:rPr>
          <w:rFonts w:asciiTheme="majorHAnsi" w:hAnsiTheme="majorHAnsi" w:cstheme="majorHAnsi"/>
        </w:rPr>
        <w:t>We apply a regression analysis using data from the U.S. International Trade Commission (USITC) that are linked to the BACI data introduced above. The USITC data include information on importer and exporter GDP, population, and a slew of relative variables that can introduce or reduce trade friction.</w:t>
      </w:r>
    </w:p>
    <w:p w14:paraId="4F663EBB" w14:textId="77777777" w:rsidR="00C771A2" w:rsidRPr="00ED6C4D" w:rsidRDefault="00C81BA4" w:rsidP="00783F0D">
      <w:pPr>
        <w:spacing w:line="360" w:lineRule="auto"/>
        <w:ind w:firstLine="720"/>
        <w:rPr>
          <w:rFonts w:asciiTheme="majorHAnsi" w:hAnsiTheme="majorHAnsi" w:cstheme="majorHAnsi"/>
        </w:rPr>
      </w:pPr>
      <w:r w:rsidRPr="00ED6C4D">
        <w:rPr>
          <w:rFonts w:asciiTheme="majorHAnsi" w:hAnsiTheme="majorHAnsi" w:cstheme="majorHAnsi"/>
        </w:rPr>
        <w:t>We</w:t>
      </w:r>
      <w:r w:rsidR="0022603D" w:rsidRPr="00ED6C4D">
        <w:rPr>
          <w:rFonts w:asciiTheme="majorHAnsi" w:hAnsiTheme="majorHAnsi" w:cstheme="majorHAnsi"/>
        </w:rPr>
        <w:t xml:space="preserve"> develop the distance-based variable cost term by: 1) measuring the shortest sea distances among regions, 2) aggregating these distances to the regional level (differentiating by energy commodity), 3) running a regression analysis to tease out the effect of distance on trade cost ($1000/ton), and 4) multiplying this effect by shortest sea distances to build our variable cost parameter.</w:t>
      </w:r>
      <w:r w:rsidR="00374B1F" w:rsidRPr="00ED6C4D">
        <w:rPr>
          <w:rFonts w:asciiTheme="majorHAnsi" w:hAnsiTheme="majorHAnsi" w:cstheme="majorHAnsi"/>
        </w:rPr>
        <w:t xml:space="preserve"> We provide further details on the methodology and results of this intermediary analysis in the Supplementary Material. </w:t>
      </w:r>
    </w:p>
    <w:p w14:paraId="44EAFD9C" w14:textId="77777777" w:rsidR="00783F0D" w:rsidRPr="00ED6C4D" w:rsidRDefault="00783F0D" w:rsidP="00783F0D">
      <w:pPr>
        <w:spacing w:line="360" w:lineRule="auto"/>
        <w:ind w:firstLine="720"/>
        <w:rPr>
          <w:rFonts w:asciiTheme="majorHAnsi" w:hAnsiTheme="majorHAnsi" w:cstheme="majorHAnsi"/>
        </w:rPr>
      </w:pPr>
    </w:p>
    <w:p w14:paraId="426E8ECA" w14:textId="77777777" w:rsidR="00666E4F" w:rsidRPr="00ED6C4D" w:rsidRDefault="00D01EAF" w:rsidP="00AF4B61">
      <w:pPr>
        <w:pStyle w:val="Heading2"/>
        <w:rPr>
          <w:rFonts w:cstheme="majorHAnsi"/>
          <w:color w:val="auto"/>
        </w:rPr>
      </w:pPr>
      <w:r w:rsidRPr="00ED6C4D">
        <w:rPr>
          <w:rFonts w:cstheme="majorHAnsi"/>
          <w:color w:val="auto"/>
        </w:rPr>
        <w:t>2.</w:t>
      </w:r>
      <w:r w:rsidR="00783F0D" w:rsidRPr="00ED6C4D">
        <w:rPr>
          <w:rFonts w:cstheme="majorHAnsi"/>
          <w:color w:val="auto"/>
        </w:rPr>
        <w:t>3</w:t>
      </w:r>
      <w:r w:rsidRPr="00ED6C4D">
        <w:rPr>
          <w:rFonts w:cstheme="majorHAnsi"/>
          <w:color w:val="auto"/>
        </w:rPr>
        <w:tab/>
        <w:t xml:space="preserve">Scenario </w:t>
      </w:r>
      <w:r w:rsidR="00562670" w:rsidRPr="00ED6C4D">
        <w:rPr>
          <w:rFonts w:cstheme="majorHAnsi"/>
          <w:color w:val="auto"/>
        </w:rPr>
        <w:t>assumptions</w:t>
      </w:r>
    </w:p>
    <w:p w14:paraId="4B94D5A5" w14:textId="77777777" w:rsidR="00666E4F" w:rsidRPr="00ED6C4D" w:rsidRDefault="00666E4F" w:rsidP="00562670">
      <w:pPr>
        <w:spacing w:line="360" w:lineRule="auto"/>
        <w:ind w:firstLine="720"/>
        <w:rPr>
          <w:rFonts w:asciiTheme="majorHAnsi" w:hAnsiTheme="majorHAnsi" w:cstheme="majorHAnsi"/>
        </w:rPr>
      </w:pPr>
    </w:p>
    <w:p w14:paraId="50DE2FB8" w14:textId="76D98A9F" w:rsidR="00305AD1"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We build 6 scenarios to compare the implications of energy trade and climate policies to the global energy trade network: </w:t>
      </w:r>
    </w:p>
    <w:p w14:paraId="12A7DB5E" w14:textId="04466B9F" w:rsidR="00305AD1" w:rsidRPr="00ED6C4D" w:rsidRDefault="00305AD1" w:rsidP="00305AD1">
      <w:pPr>
        <w:pStyle w:val="ListParagraph"/>
        <w:numPr>
          <w:ilvl w:val="0"/>
          <w:numId w:val="3"/>
        </w:numPr>
        <w:spacing w:line="360" w:lineRule="auto"/>
        <w:rPr>
          <w:rFonts w:asciiTheme="majorHAnsi" w:hAnsiTheme="majorHAnsi" w:cstheme="majorHAnsi"/>
          <w:color w:val="auto"/>
          <w:sz w:val="22"/>
          <w:szCs w:val="22"/>
        </w:rPr>
      </w:pPr>
      <w:r w:rsidRPr="00ED6C4D">
        <w:rPr>
          <w:rFonts w:asciiTheme="majorHAnsi" w:hAnsiTheme="majorHAnsi" w:cstheme="majorHAnsi"/>
          <w:color w:val="auto"/>
          <w:sz w:val="22"/>
          <w:szCs w:val="22"/>
        </w:rPr>
        <w:t>Baseline tariffs (Scenario 1)</w:t>
      </w:r>
    </w:p>
    <w:p w14:paraId="1C9B6CFC" w14:textId="20C89DCA" w:rsidR="00305AD1" w:rsidRPr="00ED6C4D" w:rsidRDefault="00305AD1" w:rsidP="00305AD1">
      <w:pPr>
        <w:pStyle w:val="ListParagraph"/>
        <w:numPr>
          <w:ilvl w:val="0"/>
          <w:numId w:val="3"/>
        </w:numPr>
        <w:spacing w:line="360" w:lineRule="auto"/>
        <w:rPr>
          <w:rFonts w:asciiTheme="majorHAnsi" w:hAnsiTheme="majorHAnsi" w:cstheme="majorHAnsi"/>
          <w:color w:val="auto"/>
          <w:sz w:val="22"/>
          <w:szCs w:val="22"/>
        </w:rPr>
      </w:pPr>
      <w:r w:rsidRPr="00ED6C4D">
        <w:rPr>
          <w:rFonts w:asciiTheme="majorHAnsi" w:hAnsiTheme="majorHAnsi" w:cstheme="majorHAnsi"/>
          <w:color w:val="auto"/>
          <w:sz w:val="22"/>
          <w:szCs w:val="22"/>
        </w:rPr>
        <w:lastRenderedPageBreak/>
        <w:t>High tariffs (Scenario 2)</w:t>
      </w:r>
    </w:p>
    <w:p w14:paraId="72FBF65C" w14:textId="2044C553" w:rsidR="00305AD1" w:rsidRPr="00ED6C4D" w:rsidRDefault="00305AD1" w:rsidP="00305AD1">
      <w:pPr>
        <w:pStyle w:val="ListParagraph"/>
        <w:numPr>
          <w:ilvl w:val="0"/>
          <w:numId w:val="3"/>
        </w:numPr>
        <w:spacing w:line="360" w:lineRule="auto"/>
        <w:rPr>
          <w:rFonts w:asciiTheme="majorHAnsi" w:hAnsiTheme="majorHAnsi" w:cstheme="majorHAnsi"/>
          <w:color w:val="auto"/>
          <w:sz w:val="22"/>
          <w:szCs w:val="22"/>
        </w:rPr>
      </w:pPr>
      <w:r w:rsidRPr="00ED6C4D">
        <w:rPr>
          <w:rFonts w:asciiTheme="majorHAnsi" w:hAnsiTheme="majorHAnsi" w:cstheme="majorHAnsi"/>
          <w:color w:val="auto"/>
          <w:sz w:val="22"/>
          <w:szCs w:val="22"/>
        </w:rPr>
        <w:t>Low/no tariffs (Scenario 3)</w:t>
      </w:r>
    </w:p>
    <w:p w14:paraId="0952B515" w14:textId="1918A2FB" w:rsidR="00305AD1" w:rsidRPr="00ED6C4D" w:rsidRDefault="00305AD1" w:rsidP="00305AD1">
      <w:pPr>
        <w:pStyle w:val="ListParagraph"/>
        <w:numPr>
          <w:ilvl w:val="0"/>
          <w:numId w:val="3"/>
        </w:numPr>
        <w:spacing w:line="360" w:lineRule="auto"/>
        <w:rPr>
          <w:rFonts w:asciiTheme="majorHAnsi" w:hAnsiTheme="majorHAnsi" w:cstheme="majorHAnsi"/>
          <w:color w:val="auto"/>
          <w:sz w:val="22"/>
          <w:szCs w:val="22"/>
        </w:rPr>
      </w:pPr>
      <w:r w:rsidRPr="00ED6C4D">
        <w:rPr>
          <w:rFonts w:asciiTheme="majorHAnsi" w:hAnsiTheme="majorHAnsi" w:cstheme="majorHAnsi"/>
          <w:color w:val="auto"/>
          <w:sz w:val="22"/>
          <w:szCs w:val="22"/>
        </w:rPr>
        <w:t>Emissions tax ($27/tCO</w:t>
      </w:r>
      <w:r w:rsidRPr="00ED6C4D">
        <w:rPr>
          <w:rFonts w:asciiTheme="majorHAnsi" w:hAnsiTheme="majorHAnsi" w:cstheme="majorHAnsi"/>
          <w:color w:val="auto"/>
          <w:sz w:val="22"/>
          <w:szCs w:val="22"/>
          <w:vertAlign w:val="subscript"/>
        </w:rPr>
        <w:t>2</w:t>
      </w:r>
      <w:r w:rsidRPr="00ED6C4D">
        <w:rPr>
          <w:rFonts w:asciiTheme="majorHAnsi" w:hAnsiTheme="majorHAnsi" w:cstheme="majorHAnsi"/>
          <w:color w:val="auto"/>
          <w:sz w:val="22"/>
          <w:szCs w:val="22"/>
        </w:rPr>
        <w:t>) and baseline tariffs (Scenario 4)</w:t>
      </w:r>
    </w:p>
    <w:p w14:paraId="4679D71E" w14:textId="0938B079" w:rsidR="00305AD1" w:rsidRPr="00ED6C4D" w:rsidRDefault="00305AD1" w:rsidP="00305AD1">
      <w:pPr>
        <w:pStyle w:val="ListParagraph"/>
        <w:numPr>
          <w:ilvl w:val="0"/>
          <w:numId w:val="3"/>
        </w:numPr>
        <w:spacing w:line="360" w:lineRule="auto"/>
        <w:rPr>
          <w:rFonts w:asciiTheme="majorHAnsi" w:hAnsiTheme="majorHAnsi" w:cstheme="majorHAnsi"/>
          <w:color w:val="auto"/>
          <w:sz w:val="22"/>
          <w:szCs w:val="22"/>
        </w:rPr>
      </w:pPr>
      <w:r w:rsidRPr="00ED6C4D">
        <w:rPr>
          <w:rFonts w:asciiTheme="majorHAnsi" w:hAnsiTheme="majorHAnsi" w:cstheme="majorHAnsi"/>
          <w:color w:val="auto"/>
          <w:sz w:val="22"/>
          <w:szCs w:val="22"/>
        </w:rPr>
        <w:t>Emissions tax ($27/tCO</w:t>
      </w:r>
      <w:r w:rsidRPr="00ED6C4D">
        <w:rPr>
          <w:rFonts w:asciiTheme="majorHAnsi" w:hAnsiTheme="majorHAnsi" w:cstheme="majorHAnsi"/>
          <w:color w:val="auto"/>
          <w:sz w:val="22"/>
          <w:szCs w:val="22"/>
          <w:vertAlign w:val="subscript"/>
        </w:rPr>
        <w:t>2</w:t>
      </w:r>
      <w:r w:rsidRPr="00ED6C4D">
        <w:rPr>
          <w:rFonts w:asciiTheme="majorHAnsi" w:hAnsiTheme="majorHAnsi" w:cstheme="majorHAnsi"/>
          <w:color w:val="auto"/>
          <w:sz w:val="22"/>
          <w:szCs w:val="22"/>
        </w:rPr>
        <w:t>) and high tariffs (Scenario 5)</w:t>
      </w:r>
    </w:p>
    <w:p w14:paraId="72B9C9F7" w14:textId="3C097C2E" w:rsidR="00305AD1" w:rsidRPr="00ED6C4D" w:rsidRDefault="00305AD1" w:rsidP="00305AD1">
      <w:pPr>
        <w:pStyle w:val="ListParagraph"/>
        <w:numPr>
          <w:ilvl w:val="0"/>
          <w:numId w:val="3"/>
        </w:numPr>
        <w:spacing w:line="360" w:lineRule="auto"/>
        <w:rPr>
          <w:rFonts w:asciiTheme="majorHAnsi" w:hAnsiTheme="majorHAnsi" w:cstheme="majorHAnsi"/>
          <w:color w:val="auto"/>
          <w:sz w:val="22"/>
          <w:szCs w:val="22"/>
        </w:rPr>
      </w:pPr>
      <w:r w:rsidRPr="00ED6C4D">
        <w:rPr>
          <w:rFonts w:asciiTheme="majorHAnsi" w:hAnsiTheme="majorHAnsi" w:cstheme="majorHAnsi"/>
          <w:color w:val="auto"/>
          <w:sz w:val="22"/>
          <w:szCs w:val="22"/>
        </w:rPr>
        <w:t>Emissions tax ($27/tCO</w:t>
      </w:r>
      <w:r w:rsidRPr="00ED6C4D">
        <w:rPr>
          <w:rFonts w:asciiTheme="majorHAnsi" w:hAnsiTheme="majorHAnsi" w:cstheme="majorHAnsi"/>
          <w:color w:val="auto"/>
          <w:sz w:val="22"/>
          <w:szCs w:val="22"/>
          <w:vertAlign w:val="subscript"/>
        </w:rPr>
        <w:t>2</w:t>
      </w:r>
      <w:r w:rsidRPr="00ED6C4D">
        <w:rPr>
          <w:rFonts w:asciiTheme="majorHAnsi" w:hAnsiTheme="majorHAnsi" w:cstheme="majorHAnsi"/>
          <w:color w:val="auto"/>
          <w:sz w:val="22"/>
          <w:szCs w:val="22"/>
        </w:rPr>
        <w:t>) and low tariffs (Scenario 6)</w:t>
      </w:r>
    </w:p>
    <w:p w14:paraId="19BE3B91" w14:textId="33A1A139" w:rsidR="00305AD1" w:rsidRPr="00ED6C4D" w:rsidRDefault="00305AD1" w:rsidP="00305AD1">
      <w:pPr>
        <w:spacing w:line="360" w:lineRule="auto"/>
        <w:rPr>
          <w:rFonts w:asciiTheme="majorHAnsi" w:hAnsiTheme="majorHAnsi" w:cstheme="majorHAnsi"/>
        </w:rPr>
      </w:pPr>
    </w:p>
    <w:p w14:paraId="53C89E7F" w14:textId="7F472185" w:rsidR="002E16A5" w:rsidRPr="00ED6C4D" w:rsidRDefault="00305AD1" w:rsidP="00305AD1">
      <w:pPr>
        <w:spacing w:line="360" w:lineRule="auto"/>
        <w:ind w:firstLine="720"/>
        <w:rPr>
          <w:rFonts w:asciiTheme="majorHAnsi" w:hAnsiTheme="majorHAnsi" w:cstheme="majorHAnsi"/>
        </w:rPr>
      </w:pPr>
      <w:r w:rsidRPr="00ED6C4D">
        <w:rPr>
          <w:rFonts w:asciiTheme="majorHAnsi" w:hAnsiTheme="majorHAnsi" w:cstheme="majorHAnsi"/>
        </w:rPr>
        <w:t>Scenarios 5 and 6 allow us to examine the marginal effect of a trade policy when an emissions tax has been imposed. We will refer to these scenario numbers for the remainder of this paper.</w:t>
      </w:r>
    </w:p>
    <w:p w14:paraId="7651012E" w14:textId="79DA3BBD" w:rsidR="00666E4F" w:rsidRPr="00ED6C4D" w:rsidRDefault="00C81BA4" w:rsidP="00562670">
      <w:pPr>
        <w:spacing w:line="360" w:lineRule="auto"/>
        <w:ind w:firstLine="720"/>
        <w:rPr>
          <w:rFonts w:asciiTheme="majorHAnsi" w:hAnsiTheme="majorHAnsi" w:cstheme="majorHAnsi"/>
        </w:rPr>
      </w:pPr>
      <w:r w:rsidRPr="00ED6C4D">
        <w:rPr>
          <w:rFonts w:asciiTheme="majorHAnsi" w:hAnsiTheme="majorHAnsi" w:cstheme="majorHAnsi"/>
        </w:rPr>
        <w:t xml:space="preserve">We derive historic tariff rates from a database of product-level ad valorem equivalent rates (AVE) from the World Trade Organization. This database includes AVE at the country-product-year level. These product codes are the same as those used in the BACI database. </w:t>
      </w:r>
      <w:r w:rsidR="00666E4F" w:rsidRPr="00ED6C4D">
        <w:rPr>
          <w:rFonts w:asciiTheme="majorHAnsi" w:hAnsiTheme="majorHAnsi" w:cstheme="majorHAnsi"/>
        </w:rPr>
        <w:t>Tariff data are at the importer-product level, where products are identified by HS6 (Harmonized System, 6 digit) codes. A correspondence tabl</w:t>
      </w:r>
      <w:r w:rsidR="001E46D7">
        <w:rPr>
          <w:rFonts w:asciiTheme="majorHAnsi" w:hAnsiTheme="majorHAnsi" w:cstheme="majorHAnsi"/>
        </w:rPr>
        <w:t xml:space="preserve">e linking HS6 codes to </w:t>
      </w:r>
      <w:proofErr w:type="spellStart"/>
      <w:r w:rsidR="001E46D7">
        <w:rPr>
          <w:rFonts w:asciiTheme="majorHAnsi" w:hAnsiTheme="majorHAnsi" w:cstheme="majorHAnsi"/>
        </w:rPr>
        <w:t>MESSAGEix</w:t>
      </w:r>
      <w:proofErr w:type="spellEnd"/>
      <w:r w:rsidR="00666E4F" w:rsidRPr="00ED6C4D">
        <w:rPr>
          <w:rFonts w:asciiTheme="majorHAnsi" w:hAnsiTheme="majorHAnsi" w:cstheme="majorHAnsi"/>
        </w:rPr>
        <w:t xml:space="preserve">-represented energy commodities can be found in the Supplementary Material. </w:t>
      </w:r>
      <w:r w:rsidR="00C61B6D" w:rsidRPr="00ED6C4D">
        <w:rPr>
          <w:rFonts w:asciiTheme="majorHAnsi" w:hAnsiTheme="majorHAnsi" w:cstheme="majorHAnsi"/>
        </w:rPr>
        <w:t xml:space="preserve">We follow methods from </w:t>
      </w:r>
      <w:proofErr w:type="spellStart"/>
      <w:r w:rsidR="00C61B6D" w:rsidRPr="00ED6C4D">
        <w:rPr>
          <w:rFonts w:asciiTheme="majorHAnsi" w:hAnsiTheme="majorHAnsi" w:cstheme="majorHAnsi"/>
        </w:rPr>
        <w:t>Guimbard</w:t>
      </w:r>
      <w:proofErr w:type="spellEnd"/>
      <w:r w:rsidR="00C61B6D" w:rsidRPr="00ED6C4D">
        <w:rPr>
          <w:rFonts w:asciiTheme="majorHAnsi" w:hAnsiTheme="majorHAnsi" w:cstheme="majorHAnsi"/>
        </w:rPr>
        <w:t xml:space="preserve"> et al. (2012) and </w:t>
      </w:r>
      <w:proofErr w:type="spellStart"/>
      <w:r w:rsidR="00C61B6D" w:rsidRPr="00ED6C4D">
        <w:rPr>
          <w:rFonts w:asciiTheme="majorHAnsi" w:hAnsiTheme="majorHAnsi" w:cstheme="majorHAnsi"/>
        </w:rPr>
        <w:t>Bouet</w:t>
      </w:r>
      <w:proofErr w:type="spellEnd"/>
      <w:r w:rsidR="00C61B6D" w:rsidRPr="00ED6C4D">
        <w:rPr>
          <w:rFonts w:asciiTheme="majorHAnsi" w:hAnsiTheme="majorHAnsi" w:cstheme="majorHAnsi"/>
        </w:rPr>
        <w:t xml:space="preserve"> et al. (2008) to aggregate tariffs while addressing the </w:t>
      </w:r>
      <w:proofErr w:type="spellStart"/>
      <w:r w:rsidR="00C61B6D" w:rsidRPr="00ED6C4D">
        <w:rPr>
          <w:rFonts w:asciiTheme="majorHAnsi" w:hAnsiTheme="majorHAnsi" w:cstheme="majorHAnsi"/>
        </w:rPr>
        <w:t>endogeneity</w:t>
      </w:r>
      <w:proofErr w:type="spellEnd"/>
      <w:r w:rsidR="00C61B6D" w:rsidRPr="00ED6C4D">
        <w:rPr>
          <w:rFonts w:asciiTheme="majorHAnsi" w:hAnsiTheme="majorHAnsi" w:cstheme="majorHAnsi"/>
        </w:rPr>
        <w:t xml:space="preserve"> between tariff rates and trade flow; details can</w:t>
      </w:r>
      <w:r w:rsidR="00710653" w:rsidRPr="00ED6C4D">
        <w:rPr>
          <w:rFonts w:asciiTheme="majorHAnsi" w:hAnsiTheme="majorHAnsi" w:cstheme="majorHAnsi"/>
        </w:rPr>
        <w:t xml:space="preserve"> also</w:t>
      </w:r>
      <w:r w:rsidR="00C61B6D" w:rsidRPr="00ED6C4D">
        <w:rPr>
          <w:rFonts w:asciiTheme="majorHAnsi" w:hAnsiTheme="majorHAnsi" w:cstheme="majorHAnsi"/>
        </w:rPr>
        <w:t xml:space="preserve"> be found in the Supplementary Material</w:t>
      </w:r>
      <w:r w:rsidR="001E46D7">
        <w:rPr>
          <w:rFonts w:asciiTheme="majorHAnsi" w:hAnsiTheme="majorHAnsi" w:cstheme="majorHAnsi"/>
        </w:rPr>
        <w:t xml:space="preserve"> </w:t>
      </w:r>
      <w:r w:rsidR="001E46D7">
        <w:rPr>
          <w:rFonts w:asciiTheme="majorHAnsi" w:hAnsiTheme="majorHAnsi" w:cstheme="majorHAnsi"/>
        </w:rPr>
        <w:fldChar w:fldCharType="begin" w:fldLock="1"/>
      </w:r>
      <w:r w:rsidR="006141C7">
        <w:rPr>
          <w:rFonts w:asciiTheme="majorHAnsi" w:hAnsiTheme="majorHAnsi" w:cstheme="majorHAnsi"/>
        </w:rPr>
        <w:instrText>ADDIN CSL_CITATION {"citationItems":[{"id":"ITEM-1","itemData":{"ISSN":"12408095","abstract":"The third version of the MAcMap-HS6 database, built as a result of a joint effort of CEPII (Centre d'Études Prospectives et d'ÉInformations Internationales, Paris) and ITC (International Trade Centre, Geneva), based on ITC's MAcMap raw data, proposes an exhaustive and consistent measure of applied, preferential tariff protection in 2007. The methodology, similar to the one used for previous versions, relies on reference groups of countries to limit the endogeneity bias faced when computing ad valorem equivalents of tariff protection, and when computing averages at aggregate levels. The world average applied protection level in 2007 is estimated to be 4.4%. Compared to 2004, this is a decline by nearly 0.7 percentage point, mainly due to unilateral liberalizations and to new preferential trade agreements. The decline in the ad valorem equivalent of specific tariffs of some agricultural products, linked to the surge in world prices, lowers the average protection. In the opposite way, the increasing share of developing countries, where protection is higher, tends to raise the world average. La base de données MAcMap-HS6 résulte d'un travail mené conjointement par le CEPII (Centre d'Études Prospectives et d'Informations Internationales, Paris) et le CCI (Centre de Commerce International, Genève) sur les données source de MAcMap du CCI. Elle propose une mesure exhaustive et cohérente de la protection tarifaire appliquée en 2007. La méthodologie, proche de celles utilisées dans les versions précédentes, s'appuie sur des groupes de pays de référence pour limiter le biais d'endogénéité, tant lors du calcul de l'équivalent ad-valorem des droits de douane que lors de leur agrégation sectorielle et/ou géographique. En 2007, le droit de douane moyen appliqué par l'ensemble des pays du monde est estimé à 4,4%, en baisse de 0,7 point de pourcentage par rapport à 2004. Les libéralisations unilatérales et l'entrée en vigueur de nouveaux accords commerciaux préférentiels sont à l'origine de ce mouvement d'ouverture. S'y ajoute la baisse des équivalents ad-valorem des droits de douanes spécifiques sur certains produits agricoles, consécutive à la hausse des prix mondiaux. À l'inverse, la part croissante des pays en développement – dont la protection aux frontières est plus élevée que celle des pays développés – augmente le niveau de protection mondiale.","author":[{"dropping-particle":"","family":"Guimbard","given":"Houssein","non-dropping-particle":"","parse-names":false,"suffix":""},{"dropping-particle":"","family":"Jean","given":"Sébastien","non-dropping-particle":"","parse-names":false,"suffix":""},{"dropping-particle":"","family":"Mimouni","given":"Mondher","non-dropping-particle":"","parse-names":false,"suffix":""},{"dropping-particle":"","family":"Pichot","given":"Xavier","non-dropping-particle":"","parse-names":false,"suffix":""}],"container-title":"Economie Internationale","id":"ITEM-1","issued":{"date-parts":[["2012"]]},"title":"MAcMap-HS6 2007, an exhaustive and consistent measure of applied protection in 2007","type":"article-journal"},"uris":["http://www.mendeley.com/documents/?uuid=df12ca21-32a8-45be-b6b9-d2fd28c75c74"]},{"id":"ITEM-2","itemData":{"DOI":"10.1111/j.1467-9396.2008.00753.x","ISSN":"09657576","abstract":"This paper presents MAcMapHS-6, a database providing a consistent, ad valorem equivalent measure of tariff duties and tariff rate quotas for 163 countries and 208 partners, at the six-digit level of the Harmonized System (5111 products), accounting for all preferential agreements. We describe the methodology used to compute and aggregate an ad valorem equivalent of applied protection. Emphasis is placed on minimizing the endogeneity bias in the aggregation procedure, while acknowledging structural differences in export specialization. The resulting quantitative assessment is illustrated by giving an overview of applied protection across the world in 2001, in terms of average as well as distribution.","author":[{"dropping-particle":"","family":"Bouët","given":"Antoine","non-dropping-particle":"","parse-names":false,"suffix":""},{"dropping-particle":"","family":"Decreux","given":"Yvan","non-dropping-particle":"","parse-names":false,"suffix":""},{"dropping-particle":"","family":"Fontagné","given":"Lionel","non-dropping-particle":"","parse-names":false,"suffix":""},{"dropping-particle":"","family":"Jean","given":"Sébastien","non-dropping-particle":"","parse-names":false,"suffix":""},{"dropping-particle":"","family":"Laborde","given":"David","non-dropping-particle":"","parse-names":false,"suffix":""}],"container-title":"Review of International Economics","id":"ITEM-2","issued":{"date-parts":[["2008"]]},"title":"Assessing applied protection across the world","type":"article-journal"},"uris":["http://www.mendeley.com/documents/?uuid=5ad82ebb-8417-4e9d-9cbf-7e570dcdc004"]}],"mendeley":{"formattedCitation":"[32,33]","plainTextFormattedCitation":"[32,33]","previouslyFormattedCitation":"[32,33]"},"properties":{"noteIndex":0},"schema":"https://github.com/citation-style-language/schema/raw/master/csl-citation.json"}</w:instrText>
      </w:r>
      <w:r w:rsidR="001E46D7">
        <w:rPr>
          <w:rFonts w:asciiTheme="majorHAnsi" w:hAnsiTheme="majorHAnsi" w:cstheme="majorHAnsi"/>
        </w:rPr>
        <w:fldChar w:fldCharType="separate"/>
      </w:r>
      <w:r w:rsidR="001E46D7" w:rsidRPr="001E46D7">
        <w:rPr>
          <w:rFonts w:asciiTheme="majorHAnsi" w:hAnsiTheme="majorHAnsi" w:cstheme="majorHAnsi"/>
          <w:noProof/>
        </w:rPr>
        <w:t>[32,33]</w:t>
      </w:r>
      <w:r w:rsidR="001E46D7">
        <w:rPr>
          <w:rFonts w:asciiTheme="majorHAnsi" w:hAnsiTheme="majorHAnsi" w:cstheme="majorHAnsi"/>
        </w:rPr>
        <w:fldChar w:fldCharType="end"/>
      </w:r>
      <w:r w:rsidR="00C61B6D" w:rsidRPr="00ED6C4D">
        <w:rPr>
          <w:rFonts w:asciiTheme="majorHAnsi" w:hAnsiTheme="majorHAnsi" w:cstheme="majorHAnsi"/>
        </w:rPr>
        <w:t>.</w:t>
      </w:r>
    </w:p>
    <w:p w14:paraId="0661194E" w14:textId="2CD8A916" w:rsidR="00666E4F" w:rsidRPr="00ED6C4D" w:rsidRDefault="00666E4F" w:rsidP="00940D5A">
      <w:pPr>
        <w:spacing w:line="360" w:lineRule="auto"/>
        <w:ind w:firstLine="720"/>
        <w:rPr>
          <w:rFonts w:asciiTheme="majorHAnsi" w:hAnsiTheme="majorHAnsi" w:cstheme="majorHAnsi"/>
          <w:i/>
          <w:iCs/>
          <w:sz w:val="20"/>
          <w:szCs w:val="20"/>
        </w:rPr>
      </w:pPr>
      <w:r w:rsidRPr="00ED6C4D">
        <w:rPr>
          <w:rFonts w:asciiTheme="majorHAnsi" w:hAnsiTheme="majorHAnsi" w:cstheme="majorHAnsi"/>
        </w:rPr>
        <w:t>In the baseline scenario, tariffs are held at the historic regional median. In the high</w:t>
      </w:r>
      <w:r w:rsidR="00DD7115" w:rsidRPr="00ED6C4D">
        <w:rPr>
          <w:rFonts w:asciiTheme="majorHAnsi" w:hAnsiTheme="majorHAnsi" w:cstheme="majorHAnsi"/>
        </w:rPr>
        <w:t xml:space="preserve"> </w:t>
      </w:r>
      <w:r w:rsidRPr="00ED6C4D">
        <w:rPr>
          <w:rFonts w:asciiTheme="majorHAnsi" w:hAnsiTheme="majorHAnsi" w:cstheme="majorHAnsi"/>
        </w:rPr>
        <w:t xml:space="preserve">tariff scenario, we allow tariff rates to increase to 500% of the historic regional median by 2030, after which it is held constant. </w:t>
      </w:r>
      <w:r w:rsidR="00305AD1" w:rsidRPr="00ED6C4D">
        <w:rPr>
          <w:rFonts w:asciiTheme="majorHAnsi" w:hAnsiTheme="majorHAnsi" w:cstheme="majorHAnsi"/>
        </w:rPr>
        <w:t>This presents an important limitation in this study, namely that if a region has low tariffs historically, it will also have relatively low tariffs even after being multiplied by a factor of five.</w:t>
      </w:r>
      <w:r w:rsidR="00BD5E8C" w:rsidRPr="00ED6C4D">
        <w:rPr>
          <w:rStyle w:val="FootnoteReference"/>
          <w:rFonts w:asciiTheme="majorHAnsi" w:hAnsiTheme="majorHAnsi" w:cstheme="majorHAnsi"/>
        </w:rPr>
        <w:footnoteReference w:id="5"/>
      </w:r>
      <w:r w:rsidR="00305AD1" w:rsidRPr="00ED6C4D">
        <w:rPr>
          <w:rFonts w:asciiTheme="majorHAnsi" w:hAnsiTheme="majorHAnsi" w:cstheme="majorHAnsi"/>
        </w:rPr>
        <w:t xml:space="preserve"> </w:t>
      </w:r>
      <w:r w:rsidR="00BD5E8C" w:rsidRPr="00ED6C4D">
        <w:rPr>
          <w:rFonts w:asciiTheme="majorHAnsi" w:hAnsiTheme="majorHAnsi" w:cstheme="majorHAnsi"/>
        </w:rPr>
        <w:t>In</w:t>
      </w:r>
      <w:r w:rsidRPr="00ED6C4D">
        <w:rPr>
          <w:rFonts w:asciiTheme="majorHAnsi" w:hAnsiTheme="majorHAnsi" w:cstheme="majorHAnsi"/>
        </w:rPr>
        <w:t xml:space="preserve"> the low</w:t>
      </w:r>
      <w:r w:rsidR="00DD7115" w:rsidRPr="00ED6C4D">
        <w:rPr>
          <w:rFonts w:asciiTheme="majorHAnsi" w:hAnsiTheme="majorHAnsi" w:cstheme="majorHAnsi"/>
        </w:rPr>
        <w:t xml:space="preserve"> </w:t>
      </w:r>
      <w:r w:rsidRPr="00ED6C4D">
        <w:rPr>
          <w:rFonts w:asciiTheme="majorHAnsi" w:hAnsiTheme="majorHAnsi" w:cstheme="majorHAnsi"/>
        </w:rPr>
        <w:t xml:space="preserve">tariff scenario, we allow tariff rates to reduce to 0% of the historical median by 2030. </w:t>
      </w:r>
    </w:p>
    <w:p w14:paraId="3DC7CA38" w14:textId="62A3956C" w:rsidR="00374B1F" w:rsidRPr="00ED6C4D" w:rsidRDefault="00D01EAF" w:rsidP="007621BA">
      <w:pPr>
        <w:spacing w:line="360" w:lineRule="auto"/>
        <w:ind w:firstLine="720"/>
        <w:rPr>
          <w:rFonts w:asciiTheme="majorHAnsi" w:hAnsiTheme="majorHAnsi" w:cstheme="majorHAnsi"/>
        </w:rPr>
      </w:pPr>
      <w:r w:rsidRPr="00ED6C4D">
        <w:rPr>
          <w:rFonts w:asciiTheme="majorHAnsi" w:hAnsiTheme="majorHAnsi" w:cstheme="majorHAnsi"/>
        </w:rPr>
        <w:t>We build the emissions tax scenario by setting the tax to the equivalent of $27/tCO2 (or $100/</w:t>
      </w:r>
      <w:proofErr w:type="spellStart"/>
      <w:r w:rsidRPr="00ED6C4D">
        <w:rPr>
          <w:rFonts w:asciiTheme="majorHAnsi" w:hAnsiTheme="majorHAnsi" w:cstheme="majorHAnsi"/>
        </w:rPr>
        <w:t>tC</w:t>
      </w:r>
      <w:proofErr w:type="spellEnd"/>
      <w:r w:rsidRPr="00ED6C4D">
        <w:rPr>
          <w:rFonts w:asciiTheme="majorHAnsi" w:hAnsiTheme="majorHAnsi" w:cstheme="majorHAnsi"/>
        </w:rPr>
        <w:t xml:space="preserve">), increasing 5% annually. Table 2 displays the emissions tax at each stage of the model </w:t>
      </w:r>
      <w:r w:rsidR="00374B1F" w:rsidRPr="00ED6C4D">
        <w:rPr>
          <w:rFonts w:asciiTheme="majorHAnsi" w:hAnsiTheme="majorHAnsi" w:cstheme="majorHAnsi"/>
        </w:rPr>
        <w:t>horizon.</w:t>
      </w:r>
    </w:p>
    <w:p w14:paraId="38A83D2E" w14:textId="75079400" w:rsidR="00710653" w:rsidRPr="00ED6C4D" w:rsidRDefault="00710653" w:rsidP="007621BA">
      <w:pPr>
        <w:spacing w:line="360" w:lineRule="auto"/>
        <w:ind w:firstLine="720"/>
        <w:rPr>
          <w:rFonts w:asciiTheme="majorHAnsi" w:hAnsiTheme="majorHAnsi" w:cstheme="majorHAnsi"/>
        </w:rPr>
      </w:pPr>
    </w:p>
    <w:p w14:paraId="104FA7EE" w14:textId="3FBF983A" w:rsidR="00710653" w:rsidRDefault="00710653" w:rsidP="007621BA">
      <w:pPr>
        <w:spacing w:line="360" w:lineRule="auto"/>
        <w:ind w:firstLine="720"/>
        <w:rPr>
          <w:rFonts w:asciiTheme="majorHAnsi" w:hAnsiTheme="majorHAnsi" w:cstheme="majorHAnsi"/>
        </w:rPr>
      </w:pPr>
    </w:p>
    <w:p w14:paraId="343FCEAD" w14:textId="77777777" w:rsidR="00F143A5" w:rsidRPr="00ED6C4D" w:rsidRDefault="00F143A5" w:rsidP="007621BA">
      <w:pPr>
        <w:spacing w:line="360" w:lineRule="auto"/>
        <w:ind w:firstLine="720"/>
        <w:rPr>
          <w:rFonts w:asciiTheme="majorHAnsi" w:hAnsiTheme="majorHAnsi" w:cstheme="majorHAnsi"/>
        </w:rPr>
      </w:pPr>
    </w:p>
    <w:p w14:paraId="1811DC00" w14:textId="77777777" w:rsidR="00710653" w:rsidRPr="00ED6C4D" w:rsidRDefault="00710653" w:rsidP="007621BA">
      <w:pPr>
        <w:spacing w:line="360" w:lineRule="auto"/>
        <w:ind w:firstLine="720"/>
        <w:rPr>
          <w:rFonts w:asciiTheme="majorHAnsi" w:hAnsiTheme="majorHAnsi" w:cstheme="majorHAnsi"/>
        </w:rPr>
      </w:pPr>
    </w:p>
    <w:tbl>
      <w:tblPr>
        <w:tblStyle w:val="GridTable1Light-Accent1"/>
        <w:tblW w:w="3055" w:type="dxa"/>
        <w:jc w:val="center"/>
        <w:tblLook w:val="04A0" w:firstRow="1" w:lastRow="0" w:firstColumn="1" w:lastColumn="0" w:noHBand="0" w:noVBand="1"/>
      </w:tblPr>
      <w:tblGrid>
        <w:gridCol w:w="1440"/>
        <w:gridCol w:w="1615"/>
      </w:tblGrid>
      <w:tr w:rsidR="00ED6C4D" w:rsidRPr="00ED6C4D" w14:paraId="33AB9086" w14:textId="77777777" w:rsidTr="00D01EAF">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DEEAF6" w:themeFill="accent5" w:themeFillTint="33"/>
          </w:tcPr>
          <w:p w14:paraId="43DF5C74" w14:textId="77777777" w:rsidR="00D01EAF" w:rsidRPr="00ED6C4D" w:rsidRDefault="00D01EAF" w:rsidP="008271F4">
            <w:pPr>
              <w:rPr>
                <w:rFonts w:asciiTheme="majorHAnsi" w:hAnsiTheme="majorHAnsi" w:cstheme="majorHAnsi"/>
                <w:sz w:val="16"/>
                <w:szCs w:val="16"/>
              </w:rPr>
            </w:pPr>
            <w:r w:rsidRPr="00ED6C4D">
              <w:rPr>
                <w:rFonts w:asciiTheme="majorHAnsi" w:hAnsiTheme="majorHAnsi" w:cstheme="majorHAnsi"/>
                <w:sz w:val="16"/>
                <w:szCs w:val="16"/>
              </w:rPr>
              <w:t>Model year</w:t>
            </w:r>
          </w:p>
        </w:tc>
        <w:tc>
          <w:tcPr>
            <w:tcW w:w="1615" w:type="dxa"/>
            <w:shd w:val="clear" w:color="auto" w:fill="DEEAF6" w:themeFill="accent5" w:themeFillTint="33"/>
          </w:tcPr>
          <w:p w14:paraId="0ECA3F68" w14:textId="77777777" w:rsidR="00D01EAF" w:rsidRPr="00ED6C4D" w:rsidRDefault="00D01EAF" w:rsidP="008271F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ED6C4D">
              <w:rPr>
                <w:rFonts w:asciiTheme="majorHAnsi" w:hAnsiTheme="majorHAnsi" w:cstheme="majorHAnsi"/>
                <w:sz w:val="16"/>
                <w:szCs w:val="16"/>
              </w:rPr>
              <w:t xml:space="preserve">Emissions tax </w:t>
            </w:r>
          </w:p>
        </w:tc>
      </w:tr>
      <w:tr w:rsidR="00ED6C4D" w:rsidRPr="00ED6C4D" w14:paraId="7BAAC2EB" w14:textId="77777777" w:rsidTr="00D01EAF">
        <w:trPr>
          <w:trHeight w:val="278"/>
          <w:jc w:val="center"/>
        </w:trPr>
        <w:tc>
          <w:tcPr>
            <w:cnfStyle w:val="001000000000" w:firstRow="0" w:lastRow="0" w:firstColumn="1" w:lastColumn="0" w:oddVBand="0" w:evenVBand="0" w:oddHBand="0" w:evenHBand="0" w:firstRowFirstColumn="0" w:firstRowLastColumn="0" w:lastRowFirstColumn="0" w:lastRowLastColumn="0"/>
            <w:tcW w:w="1440" w:type="dxa"/>
          </w:tcPr>
          <w:p w14:paraId="42B71CCD" w14:textId="77777777" w:rsidR="00D01EAF" w:rsidRPr="00ED6C4D" w:rsidRDefault="00D01EAF" w:rsidP="008271F4">
            <w:pPr>
              <w:rPr>
                <w:rFonts w:asciiTheme="majorHAnsi" w:hAnsiTheme="majorHAnsi" w:cstheme="majorHAnsi"/>
                <w:b w:val="0"/>
                <w:bCs w:val="0"/>
                <w:sz w:val="16"/>
                <w:szCs w:val="16"/>
              </w:rPr>
            </w:pPr>
            <w:r w:rsidRPr="00ED6C4D">
              <w:rPr>
                <w:rFonts w:asciiTheme="majorHAnsi" w:hAnsiTheme="majorHAnsi" w:cstheme="majorHAnsi"/>
                <w:b w:val="0"/>
                <w:bCs w:val="0"/>
                <w:sz w:val="16"/>
                <w:szCs w:val="16"/>
              </w:rPr>
              <w:t>2020</w:t>
            </w:r>
          </w:p>
        </w:tc>
        <w:tc>
          <w:tcPr>
            <w:tcW w:w="1615" w:type="dxa"/>
            <w:vAlign w:val="bottom"/>
          </w:tcPr>
          <w:p w14:paraId="27A4BF40" w14:textId="77777777" w:rsidR="00D01EAF" w:rsidRPr="00ED6C4D" w:rsidRDefault="00D01EAF" w:rsidP="008271F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ED6C4D">
              <w:rPr>
                <w:rFonts w:asciiTheme="majorHAnsi" w:hAnsiTheme="majorHAnsi" w:cstheme="majorHAnsi"/>
                <w:sz w:val="16"/>
                <w:szCs w:val="16"/>
              </w:rPr>
              <w:t>$100/</w:t>
            </w:r>
            <w:proofErr w:type="spellStart"/>
            <w:r w:rsidRPr="00ED6C4D">
              <w:rPr>
                <w:rFonts w:asciiTheme="majorHAnsi" w:hAnsiTheme="majorHAnsi" w:cstheme="majorHAnsi"/>
                <w:sz w:val="16"/>
                <w:szCs w:val="16"/>
              </w:rPr>
              <w:t>tC</w:t>
            </w:r>
            <w:proofErr w:type="spellEnd"/>
          </w:p>
        </w:tc>
      </w:tr>
      <w:tr w:rsidR="00ED6C4D" w:rsidRPr="00ED6C4D" w14:paraId="70E5D18F" w14:textId="77777777" w:rsidTr="00D01EAF">
        <w:trPr>
          <w:trHeight w:val="278"/>
          <w:jc w:val="center"/>
        </w:trPr>
        <w:tc>
          <w:tcPr>
            <w:cnfStyle w:val="001000000000" w:firstRow="0" w:lastRow="0" w:firstColumn="1" w:lastColumn="0" w:oddVBand="0" w:evenVBand="0" w:oddHBand="0" w:evenHBand="0" w:firstRowFirstColumn="0" w:firstRowLastColumn="0" w:lastRowFirstColumn="0" w:lastRowLastColumn="0"/>
            <w:tcW w:w="1440" w:type="dxa"/>
          </w:tcPr>
          <w:p w14:paraId="3C32F1D6" w14:textId="77777777" w:rsidR="00D01EAF" w:rsidRPr="00ED6C4D" w:rsidRDefault="00D01EAF" w:rsidP="008271F4">
            <w:pPr>
              <w:rPr>
                <w:rFonts w:asciiTheme="majorHAnsi" w:hAnsiTheme="majorHAnsi" w:cstheme="majorHAnsi"/>
                <w:b w:val="0"/>
                <w:bCs w:val="0"/>
                <w:sz w:val="16"/>
                <w:szCs w:val="16"/>
              </w:rPr>
            </w:pPr>
            <w:r w:rsidRPr="00ED6C4D">
              <w:rPr>
                <w:rFonts w:asciiTheme="majorHAnsi" w:hAnsiTheme="majorHAnsi" w:cstheme="majorHAnsi"/>
                <w:b w:val="0"/>
                <w:bCs w:val="0"/>
                <w:sz w:val="16"/>
                <w:szCs w:val="16"/>
              </w:rPr>
              <w:t>2025</w:t>
            </w:r>
          </w:p>
        </w:tc>
        <w:tc>
          <w:tcPr>
            <w:tcW w:w="1615" w:type="dxa"/>
            <w:vAlign w:val="bottom"/>
          </w:tcPr>
          <w:p w14:paraId="6DE9FAE5" w14:textId="77777777" w:rsidR="00D01EAF" w:rsidRPr="00ED6C4D" w:rsidRDefault="00D01EAF" w:rsidP="008271F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ED6C4D">
              <w:rPr>
                <w:rFonts w:asciiTheme="majorHAnsi" w:hAnsiTheme="majorHAnsi" w:cstheme="majorHAnsi"/>
                <w:sz w:val="16"/>
                <w:szCs w:val="16"/>
              </w:rPr>
              <w:t>$127.63/</w:t>
            </w:r>
            <w:proofErr w:type="spellStart"/>
            <w:r w:rsidRPr="00ED6C4D">
              <w:rPr>
                <w:rFonts w:asciiTheme="majorHAnsi" w:hAnsiTheme="majorHAnsi" w:cstheme="majorHAnsi"/>
                <w:sz w:val="16"/>
                <w:szCs w:val="16"/>
              </w:rPr>
              <w:t>tC</w:t>
            </w:r>
            <w:proofErr w:type="spellEnd"/>
          </w:p>
        </w:tc>
      </w:tr>
      <w:tr w:rsidR="00ED6C4D" w:rsidRPr="00ED6C4D" w14:paraId="6628853E" w14:textId="77777777" w:rsidTr="00D01EAF">
        <w:trPr>
          <w:trHeight w:val="278"/>
          <w:jc w:val="center"/>
        </w:trPr>
        <w:tc>
          <w:tcPr>
            <w:cnfStyle w:val="001000000000" w:firstRow="0" w:lastRow="0" w:firstColumn="1" w:lastColumn="0" w:oddVBand="0" w:evenVBand="0" w:oddHBand="0" w:evenHBand="0" w:firstRowFirstColumn="0" w:firstRowLastColumn="0" w:lastRowFirstColumn="0" w:lastRowLastColumn="0"/>
            <w:tcW w:w="1440" w:type="dxa"/>
          </w:tcPr>
          <w:p w14:paraId="37A24FBC" w14:textId="77777777" w:rsidR="00D01EAF" w:rsidRPr="00ED6C4D" w:rsidRDefault="00D01EAF" w:rsidP="008271F4">
            <w:pPr>
              <w:rPr>
                <w:rFonts w:asciiTheme="majorHAnsi" w:hAnsiTheme="majorHAnsi" w:cstheme="majorHAnsi"/>
                <w:b w:val="0"/>
                <w:bCs w:val="0"/>
                <w:sz w:val="16"/>
                <w:szCs w:val="16"/>
              </w:rPr>
            </w:pPr>
            <w:r w:rsidRPr="00ED6C4D">
              <w:rPr>
                <w:rFonts w:asciiTheme="majorHAnsi" w:hAnsiTheme="majorHAnsi" w:cstheme="majorHAnsi"/>
                <w:b w:val="0"/>
                <w:bCs w:val="0"/>
                <w:sz w:val="16"/>
                <w:szCs w:val="16"/>
              </w:rPr>
              <w:t>2030</w:t>
            </w:r>
          </w:p>
        </w:tc>
        <w:tc>
          <w:tcPr>
            <w:tcW w:w="1615" w:type="dxa"/>
            <w:vAlign w:val="bottom"/>
          </w:tcPr>
          <w:p w14:paraId="7C6F8E7D" w14:textId="77777777" w:rsidR="00D01EAF" w:rsidRPr="00ED6C4D" w:rsidRDefault="00D01EAF" w:rsidP="008271F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ED6C4D">
              <w:rPr>
                <w:rFonts w:asciiTheme="majorHAnsi" w:hAnsiTheme="majorHAnsi" w:cstheme="majorHAnsi"/>
                <w:sz w:val="16"/>
                <w:szCs w:val="16"/>
              </w:rPr>
              <w:t>$162.89/</w:t>
            </w:r>
            <w:proofErr w:type="spellStart"/>
            <w:r w:rsidRPr="00ED6C4D">
              <w:rPr>
                <w:rFonts w:asciiTheme="majorHAnsi" w:hAnsiTheme="majorHAnsi" w:cstheme="majorHAnsi"/>
                <w:sz w:val="16"/>
                <w:szCs w:val="16"/>
              </w:rPr>
              <w:t>tC</w:t>
            </w:r>
            <w:proofErr w:type="spellEnd"/>
          </w:p>
        </w:tc>
      </w:tr>
      <w:tr w:rsidR="00ED6C4D" w:rsidRPr="00ED6C4D" w14:paraId="4A2B9A60" w14:textId="77777777" w:rsidTr="00D01EAF">
        <w:trPr>
          <w:trHeight w:val="278"/>
          <w:jc w:val="center"/>
        </w:trPr>
        <w:tc>
          <w:tcPr>
            <w:cnfStyle w:val="001000000000" w:firstRow="0" w:lastRow="0" w:firstColumn="1" w:lastColumn="0" w:oddVBand="0" w:evenVBand="0" w:oddHBand="0" w:evenHBand="0" w:firstRowFirstColumn="0" w:firstRowLastColumn="0" w:lastRowFirstColumn="0" w:lastRowLastColumn="0"/>
            <w:tcW w:w="1440" w:type="dxa"/>
          </w:tcPr>
          <w:p w14:paraId="1447206F" w14:textId="77777777" w:rsidR="00D01EAF" w:rsidRPr="00ED6C4D" w:rsidRDefault="00D01EAF" w:rsidP="008271F4">
            <w:pPr>
              <w:rPr>
                <w:rFonts w:asciiTheme="majorHAnsi" w:hAnsiTheme="majorHAnsi" w:cstheme="majorHAnsi"/>
                <w:b w:val="0"/>
                <w:bCs w:val="0"/>
                <w:sz w:val="16"/>
                <w:szCs w:val="16"/>
              </w:rPr>
            </w:pPr>
            <w:r w:rsidRPr="00ED6C4D">
              <w:rPr>
                <w:rFonts w:asciiTheme="majorHAnsi" w:hAnsiTheme="majorHAnsi" w:cstheme="majorHAnsi"/>
                <w:b w:val="0"/>
                <w:bCs w:val="0"/>
                <w:sz w:val="16"/>
                <w:szCs w:val="16"/>
              </w:rPr>
              <w:t>2035</w:t>
            </w:r>
          </w:p>
        </w:tc>
        <w:tc>
          <w:tcPr>
            <w:tcW w:w="1615" w:type="dxa"/>
            <w:vAlign w:val="bottom"/>
          </w:tcPr>
          <w:p w14:paraId="3C16BB44" w14:textId="77777777" w:rsidR="00D01EAF" w:rsidRPr="00ED6C4D" w:rsidRDefault="00D01EAF" w:rsidP="008271F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ED6C4D">
              <w:rPr>
                <w:rFonts w:asciiTheme="majorHAnsi" w:hAnsiTheme="majorHAnsi" w:cstheme="majorHAnsi"/>
                <w:sz w:val="16"/>
                <w:szCs w:val="16"/>
              </w:rPr>
              <w:t>$207.89/</w:t>
            </w:r>
            <w:proofErr w:type="spellStart"/>
            <w:r w:rsidRPr="00ED6C4D">
              <w:rPr>
                <w:rFonts w:asciiTheme="majorHAnsi" w:hAnsiTheme="majorHAnsi" w:cstheme="majorHAnsi"/>
                <w:sz w:val="16"/>
                <w:szCs w:val="16"/>
              </w:rPr>
              <w:t>tC</w:t>
            </w:r>
            <w:proofErr w:type="spellEnd"/>
          </w:p>
        </w:tc>
      </w:tr>
      <w:tr w:rsidR="00ED6C4D" w:rsidRPr="00ED6C4D" w14:paraId="4D400B4C" w14:textId="77777777" w:rsidTr="00D01EAF">
        <w:trPr>
          <w:trHeight w:val="278"/>
          <w:jc w:val="center"/>
        </w:trPr>
        <w:tc>
          <w:tcPr>
            <w:cnfStyle w:val="001000000000" w:firstRow="0" w:lastRow="0" w:firstColumn="1" w:lastColumn="0" w:oddVBand="0" w:evenVBand="0" w:oddHBand="0" w:evenHBand="0" w:firstRowFirstColumn="0" w:firstRowLastColumn="0" w:lastRowFirstColumn="0" w:lastRowLastColumn="0"/>
            <w:tcW w:w="1440" w:type="dxa"/>
          </w:tcPr>
          <w:p w14:paraId="75CF5939" w14:textId="77777777" w:rsidR="00D01EAF" w:rsidRPr="00ED6C4D" w:rsidRDefault="00D01EAF" w:rsidP="008271F4">
            <w:pPr>
              <w:rPr>
                <w:rFonts w:asciiTheme="majorHAnsi" w:hAnsiTheme="majorHAnsi" w:cstheme="majorHAnsi"/>
                <w:b w:val="0"/>
                <w:bCs w:val="0"/>
                <w:sz w:val="16"/>
                <w:szCs w:val="16"/>
              </w:rPr>
            </w:pPr>
            <w:r w:rsidRPr="00ED6C4D">
              <w:rPr>
                <w:rFonts w:asciiTheme="majorHAnsi" w:hAnsiTheme="majorHAnsi" w:cstheme="majorHAnsi"/>
                <w:b w:val="0"/>
                <w:bCs w:val="0"/>
                <w:sz w:val="16"/>
                <w:szCs w:val="16"/>
              </w:rPr>
              <w:t>2040</w:t>
            </w:r>
          </w:p>
        </w:tc>
        <w:tc>
          <w:tcPr>
            <w:tcW w:w="1615" w:type="dxa"/>
            <w:vAlign w:val="bottom"/>
          </w:tcPr>
          <w:p w14:paraId="27FA03C0" w14:textId="77777777" w:rsidR="00D01EAF" w:rsidRPr="00ED6C4D" w:rsidRDefault="00D01EAF" w:rsidP="008271F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ED6C4D">
              <w:rPr>
                <w:rFonts w:asciiTheme="majorHAnsi" w:hAnsiTheme="majorHAnsi" w:cstheme="majorHAnsi"/>
                <w:sz w:val="16"/>
                <w:szCs w:val="16"/>
              </w:rPr>
              <w:t>$265.33/</w:t>
            </w:r>
            <w:proofErr w:type="spellStart"/>
            <w:r w:rsidRPr="00ED6C4D">
              <w:rPr>
                <w:rFonts w:asciiTheme="majorHAnsi" w:hAnsiTheme="majorHAnsi" w:cstheme="majorHAnsi"/>
                <w:sz w:val="16"/>
                <w:szCs w:val="16"/>
              </w:rPr>
              <w:t>tC</w:t>
            </w:r>
            <w:proofErr w:type="spellEnd"/>
          </w:p>
        </w:tc>
      </w:tr>
      <w:tr w:rsidR="00ED6C4D" w:rsidRPr="00ED6C4D" w14:paraId="5B4F931D" w14:textId="77777777" w:rsidTr="00D01EAF">
        <w:trPr>
          <w:trHeight w:val="278"/>
          <w:jc w:val="center"/>
        </w:trPr>
        <w:tc>
          <w:tcPr>
            <w:cnfStyle w:val="001000000000" w:firstRow="0" w:lastRow="0" w:firstColumn="1" w:lastColumn="0" w:oddVBand="0" w:evenVBand="0" w:oddHBand="0" w:evenHBand="0" w:firstRowFirstColumn="0" w:firstRowLastColumn="0" w:lastRowFirstColumn="0" w:lastRowLastColumn="0"/>
            <w:tcW w:w="1440" w:type="dxa"/>
          </w:tcPr>
          <w:p w14:paraId="2EB98B49" w14:textId="77777777" w:rsidR="00D01EAF" w:rsidRPr="00ED6C4D" w:rsidRDefault="00D01EAF" w:rsidP="008271F4">
            <w:pPr>
              <w:rPr>
                <w:rFonts w:asciiTheme="majorHAnsi" w:hAnsiTheme="majorHAnsi" w:cstheme="majorHAnsi"/>
                <w:b w:val="0"/>
                <w:bCs w:val="0"/>
                <w:sz w:val="16"/>
                <w:szCs w:val="16"/>
              </w:rPr>
            </w:pPr>
            <w:r w:rsidRPr="00ED6C4D">
              <w:rPr>
                <w:rFonts w:asciiTheme="majorHAnsi" w:hAnsiTheme="majorHAnsi" w:cstheme="majorHAnsi"/>
                <w:b w:val="0"/>
                <w:bCs w:val="0"/>
                <w:sz w:val="16"/>
                <w:szCs w:val="16"/>
              </w:rPr>
              <w:t>2045</w:t>
            </w:r>
          </w:p>
        </w:tc>
        <w:tc>
          <w:tcPr>
            <w:tcW w:w="1615" w:type="dxa"/>
            <w:vAlign w:val="bottom"/>
          </w:tcPr>
          <w:p w14:paraId="2BE0C0D5" w14:textId="77777777" w:rsidR="00D01EAF" w:rsidRPr="00ED6C4D" w:rsidRDefault="00D01EAF" w:rsidP="008271F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ED6C4D">
              <w:rPr>
                <w:rFonts w:asciiTheme="majorHAnsi" w:hAnsiTheme="majorHAnsi" w:cstheme="majorHAnsi"/>
                <w:sz w:val="16"/>
                <w:szCs w:val="16"/>
              </w:rPr>
              <w:t>$338.64/</w:t>
            </w:r>
            <w:proofErr w:type="spellStart"/>
            <w:r w:rsidRPr="00ED6C4D">
              <w:rPr>
                <w:rFonts w:asciiTheme="majorHAnsi" w:hAnsiTheme="majorHAnsi" w:cstheme="majorHAnsi"/>
                <w:sz w:val="16"/>
                <w:szCs w:val="16"/>
              </w:rPr>
              <w:t>tC</w:t>
            </w:r>
            <w:proofErr w:type="spellEnd"/>
          </w:p>
        </w:tc>
      </w:tr>
      <w:tr w:rsidR="00ED6C4D" w:rsidRPr="00ED6C4D" w14:paraId="549C300E" w14:textId="77777777" w:rsidTr="00D01EAF">
        <w:trPr>
          <w:trHeight w:val="278"/>
          <w:jc w:val="center"/>
        </w:trPr>
        <w:tc>
          <w:tcPr>
            <w:cnfStyle w:val="001000000000" w:firstRow="0" w:lastRow="0" w:firstColumn="1" w:lastColumn="0" w:oddVBand="0" w:evenVBand="0" w:oddHBand="0" w:evenHBand="0" w:firstRowFirstColumn="0" w:firstRowLastColumn="0" w:lastRowFirstColumn="0" w:lastRowLastColumn="0"/>
            <w:tcW w:w="1440" w:type="dxa"/>
          </w:tcPr>
          <w:p w14:paraId="5B96E3E8" w14:textId="77777777" w:rsidR="00D01EAF" w:rsidRPr="00ED6C4D" w:rsidRDefault="00D01EAF" w:rsidP="008271F4">
            <w:pPr>
              <w:rPr>
                <w:rFonts w:asciiTheme="majorHAnsi" w:hAnsiTheme="majorHAnsi" w:cstheme="majorHAnsi"/>
                <w:b w:val="0"/>
                <w:bCs w:val="0"/>
                <w:sz w:val="16"/>
                <w:szCs w:val="16"/>
              </w:rPr>
            </w:pPr>
            <w:r w:rsidRPr="00ED6C4D">
              <w:rPr>
                <w:rFonts w:asciiTheme="majorHAnsi" w:hAnsiTheme="majorHAnsi" w:cstheme="majorHAnsi"/>
                <w:b w:val="0"/>
                <w:bCs w:val="0"/>
                <w:sz w:val="16"/>
                <w:szCs w:val="16"/>
              </w:rPr>
              <w:t>2050</w:t>
            </w:r>
          </w:p>
        </w:tc>
        <w:tc>
          <w:tcPr>
            <w:tcW w:w="1615" w:type="dxa"/>
            <w:vAlign w:val="bottom"/>
          </w:tcPr>
          <w:p w14:paraId="0C996D43" w14:textId="77777777" w:rsidR="00D01EAF" w:rsidRPr="00ED6C4D" w:rsidRDefault="00D01EAF" w:rsidP="008271F4">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ED6C4D">
              <w:rPr>
                <w:rFonts w:asciiTheme="majorHAnsi" w:hAnsiTheme="majorHAnsi" w:cstheme="majorHAnsi"/>
                <w:sz w:val="16"/>
                <w:szCs w:val="16"/>
              </w:rPr>
              <w:t>$432.19/</w:t>
            </w:r>
            <w:proofErr w:type="spellStart"/>
            <w:r w:rsidRPr="00ED6C4D">
              <w:rPr>
                <w:rFonts w:asciiTheme="majorHAnsi" w:hAnsiTheme="majorHAnsi" w:cstheme="majorHAnsi"/>
                <w:sz w:val="16"/>
                <w:szCs w:val="16"/>
              </w:rPr>
              <w:t>tC</w:t>
            </w:r>
            <w:proofErr w:type="spellEnd"/>
          </w:p>
        </w:tc>
      </w:tr>
    </w:tbl>
    <w:p w14:paraId="3D507E15" w14:textId="77777777" w:rsidR="00D01EAF" w:rsidRPr="00ED6C4D" w:rsidRDefault="00D01EAF" w:rsidP="00374B1F">
      <w:pPr>
        <w:pStyle w:val="Caption"/>
        <w:jc w:val="both"/>
        <w:rPr>
          <w:rFonts w:asciiTheme="majorHAnsi" w:hAnsiTheme="majorHAnsi" w:cstheme="majorHAnsi"/>
          <w:i w:val="0"/>
          <w:iCs w:val="0"/>
          <w:color w:val="auto"/>
        </w:rPr>
      </w:pPr>
      <w:r w:rsidRPr="00ED6C4D">
        <w:rPr>
          <w:rFonts w:asciiTheme="majorHAnsi" w:hAnsiTheme="majorHAnsi" w:cstheme="majorHAnsi"/>
          <w:b/>
          <w:bCs/>
          <w:i w:val="0"/>
          <w:iCs w:val="0"/>
          <w:color w:val="auto"/>
        </w:rPr>
        <w:t xml:space="preserve">Table </w:t>
      </w:r>
      <w:r w:rsidR="00D03CE7" w:rsidRPr="00ED6C4D">
        <w:rPr>
          <w:rFonts w:asciiTheme="majorHAnsi" w:hAnsiTheme="majorHAnsi" w:cstheme="majorHAnsi"/>
          <w:b/>
          <w:bCs/>
          <w:i w:val="0"/>
          <w:iCs w:val="0"/>
          <w:color w:val="auto"/>
        </w:rPr>
        <w:t>1</w:t>
      </w:r>
      <w:r w:rsidRPr="00ED6C4D">
        <w:rPr>
          <w:rFonts w:asciiTheme="majorHAnsi" w:hAnsiTheme="majorHAnsi" w:cstheme="majorHAnsi"/>
          <w:b/>
          <w:bCs/>
          <w:i w:val="0"/>
          <w:iCs w:val="0"/>
          <w:color w:val="auto"/>
        </w:rPr>
        <w:t>.</w:t>
      </w:r>
      <w:r w:rsidRPr="00ED6C4D">
        <w:rPr>
          <w:rFonts w:asciiTheme="majorHAnsi" w:hAnsiTheme="majorHAnsi" w:cstheme="majorHAnsi"/>
          <w:i w:val="0"/>
          <w:iCs w:val="0"/>
          <w:color w:val="auto"/>
        </w:rPr>
        <w:t xml:space="preserve"> </w:t>
      </w:r>
      <w:r w:rsidRPr="00ED6C4D">
        <w:rPr>
          <w:rFonts w:asciiTheme="majorHAnsi" w:hAnsiTheme="majorHAnsi" w:cstheme="majorHAnsi"/>
          <w:b/>
          <w:i w:val="0"/>
          <w:iCs w:val="0"/>
          <w:color w:val="auto"/>
        </w:rPr>
        <w:t>Emissions tax rates, set globally, by model year.</w:t>
      </w:r>
      <w:r w:rsidRPr="00ED6C4D">
        <w:rPr>
          <w:rFonts w:asciiTheme="majorHAnsi" w:hAnsiTheme="majorHAnsi" w:cstheme="majorHAnsi"/>
          <w:i w:val="0"/>
          <w:iCs w:val="0"/>
          <w:color w:val="auto"/>
        </w:rPr>
        <w:t xml:space="preserve"> We allow the tax to start at $100/</w:t>
      </w:r>
      <w:proofErr w:type="spellStart"/>
      <w:r w:rsidRPr="00ED6C4D">
        <w:rPr>
          <w:rFonts w:asciiTheme="majorHAnsi" w:hAnsiTheme="majorHAnsi" w:cstheme="majorHAnsi"/>
          <w:i w:val="0"/>
          <w:iCs w:val="0"/>
          <w:color w:val="auto"/>
        </w:rPr>
        <w:t>tC</w:t>
      </w:r>
      <w:proofErr w:type="spellEnd"/>
      <w:r w:rsidRPr="00ED6C4D">
        <w:rPr>
          <w:rFonts w:asciiTheme="majorHAnsi" w:hAnsiTheme="majorHAnsi" w:cstheme="majorHAnsi"/>
          <w:i w:val="0"/>
          <w:iCs w:val="0"/>
          <w:color w:val="auto"/>
        </w:rPr>
        <w:t xml:space="preserve"> and inc</w:t>
      </w:r>
      <w:r w:rsidR="00374B1F" w:rsidRPr="00ED6C4D">
        <w:rPr>
          <w:rFonts w:asciiTheme="majorHAnsi" w:hAnsiTheme="majorHAnsi" w:cstheme="majorHAnsi"/>
          <w:i w:val="0"/>
          <w:iCs w:val="0"/>
          <w:color w:val="auto"/>
        </w:rPr>
        <w:t xml:space="preserve">rease by 5% annually. </w:t>
      </w:r>
    </w:p>
    <w:p w14:paraId="3DEEC669" w14:textId="77777777" w:rsidR="00374B1F" w:rsidRPr="00ED6C4D" w:rsidRDefault="00374B1F" w:rsidP="00374B1F">
      <w:pPr>
        <w:rPr>
          <w:rFonts w:asciiTheme="majorHAnsi" w:hAnsiTheme="majorHAnsi" w:cstheme="majorHAnsi"/>
          <w:lang w:eastAsia="en-US"/>
        </w:rPr>
      </w:pPr>
    </w:p>
    <w:p w14:paraId="792BE784" w14:textId="77777777" w:rsidR="00D01EAF" w:rsidRPr="00ED6C4D" w:rsidRDefault="00954653" w:rsidP="00C771A2">
      <w:pPr>
        <w:spacing w:line="360" w:lineRule="auto"/>
        <w:ind w:firstLine="720"/>
        <w:rPr>
          <w:rFonts w:asciiTheme="majorHAnsi" w:hAnsiTheme="majorHAnsi" w:cstheme="majorHAnsi"/>
        </w:rPr>
      </w:pPr>
      <w:r w:rsidRPr="00ED6C4D">
        <w:rPr>
          <w:rFonts w:asciiTheme="majorHAnsi" w:hAnsiTheme="majorHAnsi" w:cstheme="majorHAnsi"/>
        </w:rPr>
        <w:t>For each emissions tax scenario</w:t>
      </w:r>
      <w:r w:rsidR="00D01EAF" w:rsidRPr="00ED6C4D">
        <w:rPr>
          <w:rFonts w:asciiTheme="majorHAnsi" w:hAnsiTheme="majorHAnsi" w:cstheme="majorHAnsi"/>
        </w:rPr>
        <w:t xml:space="preserve">, we set tariffs to the historical median (Scenario 4), 500% of the historical median (Scenario 5), </w:t>
      </w:r>
      <w:r w:rsidRPr="00ED6C4D">
        <w:rPr>
          <w:rFonts w:asciiTheme="majorHAnsi" w:hAnsiTheme="majorHAnsi" w:cstheme="majorHAnsi"/>
        </w:rPr>
        <w:t>or</w:t>
      </w:r>
      <w:r w:rsidR="00D01EAF" w:rsidRPr="00ED6C4D">
        <w:rPr>
          <w:rFonts w:asciiTheme="majorHAnsi" w:hAnsiTheme="majorHAnsi" w:cstheme="majorHAnsi"/>
        </w:rPr>
        <w:t xml:space="preserve"> 0% of the historical median (Scenario 6).</w:t>
      </w:r>
    </w:p>
    <w:p w14:paraId="3656B9AB" w14:textId="77777777" w:rsidR="00666E4F" w:rsidRPr="00ED6C4D" w:rsidRDefault="00666E4F" w:rsidP="00666E4F">
      <w:pPr>
        <w:spacing w:line="360" w:lineRule="auto"/>
        <w:rPr>
          <w:rFonts w:asciiTheme="majorHAnsi" w:hAnsiTheme="majorHAnsi" w:cstheme="majorHAnsi"/>
        </w:rPr>
      </w:pPr>
    </w:p>
    <w:p w14:paraId="4AE47677" w14:textId="77777777" w:rsidR="00D01EAF" w:rsidRPr="00ED6C4D" w:rsidRDefault="00D01EAF" w:rsidP="00AF4B61">
      <w:pPr>
        <w:pStyle w:val="Heading2"/>
        <w:rPr>
          <w:rFonts w:cstheme="majorHAnsi"/>
          <w:color w:val="auto"/>
        </w:rPr>
      </w:pPr>
      <w:r w:rsidRPr="00ED6C4D">
        <w:rPr>
          <w:rFonts w:cstheme="majorHAnsi"/>
          <w:color w:val="auto"/>
        </w:rPr>
        <w:t>2.</w:t>
      </w:r>
      <w:r w:rsidR="00783F0D" w:rsidRPr="00ED6C4D">
        <w:rPr>
          <w:rFonts w:cstheme="majorHAnsi"/>
          <w:color w:val="auto"/>
        </w:rPr>
        <w:t>4</w:t>
      </w:r>
      <w:r w:rsidRPr="00ED6C4D">
        <w:rPr>
          <w:rFonts w:cstheme="majorHAnsi"/>
          <w:color w:val="auto"/>
        </w:rPr>
        <w:tab/>
        <w:t>Energy security metrics</w:t>
      </w:r>
    </w:p>
    <w:p w14:paraId="45FB0818" w14:textId="77777777" w:rsidR="00D01EAF" w:rsidRPr="00ED6C4D" w:rsidRDefault="00D01EAF" w:rsidP="00D01EAF">
      <w:pPr>
        <w:rPr>
          <w:rFonts w:asciiTheme="majorHAnsi" w:hAnsiTheme="majorHAnsi" w:cstheme="majorHAnsi"/>
        </w:rPr>
      </w:pPr>
    </w:p>
    <w:p w14:paraId="2BB2382D" w14:textId="1FE4F221" w:rsidR="00D01EAF" w:rsidRPr="00ED6C4D" w:rsidRDefault="00D01EAF" w:rsidP="00374B1F">
      <w:pPr>
        <w:spacing w:line="360" w:lineRule="auto"/>
        <w:ind w:firstLine="720"/>
        <w:rPr>
          <w:rFonts w:asciiTheme="majorHAnsi" w:hAnsiTheme="majorHAnsi" w:cstheme="majorHAnsi"/>
        </w:rPr>
      </w:pPr>
      <w:r w:rsidRPr="00ED6C4D">
        <w:rPr>
          <w:rFonts w:asciiTheme="majorHAnsi" w:hAnsiTheme="majorHAnsi" w:cstheme="majorHAnsi"/>
        </w:rPr>
        <w:t>Trade portfolio diversity gives a sense of how fungible trade flow</w:t>
      </w:r>
      <w:r w:rsidR="004464F8" w:rsidRPr="00ED6C4D">
        <w:rPr>
          <w:rFonts w:asciiTheme="majorHAnsi" w:hAnsiTheme="majorHAnsi" w:cstheme="majorHAnsi"/>
        </w:rPr>
        <w:t>s</w:t>
      </w:r>
      <w:r w:rsidRPr="00ED6C4D">
        <w:rPr>
          <w:rFonts w:asciiTheme="majorHAnsi" w:hAnsiTheme="majorHAnsi" w:cstheme="majorHAnsi"/>
        </w:rPr>
        <w:t xml:space="preserve"> </w:t>
      </w:r>
      <w:r w:rsidR="004464F8" w:rsidRPr="00ED6C4D">
        <w:rPr>
          <w:rFonts w:asciiTheme="majorHAnsi" w:hAnsiTheme="majorHAnsi" w:cstheme="majorHAnsi"/>
        </w:rPr>
        <w:t>are</w:t>
      </w:r>
      <w:r w:rsidRPr="00ED6C4D">
        <w:rPr>
          <w:rFonts w:asciiTheme="majorHAnsi" w:hAnsiTheme="majorHAnsi" w:cstheme="majorHAnsi"/>
        </w:rPr>
        <w:t xml:space="preserve"> for a given region. When a region imports from a greater number of energy exporters, it is better able to navigate shocks to one of its trade connections because it has options. Alternatively, when an importer relies on a less diverse trade portfolio, it is more vulnerable to changes in its trade partnerships; this is particularly the case when the energy exporter is a region of high political/financial volatility </w:t>
      </w:r>
      <w:r w:rsidRPr="00ED6C4D">
        <w:rPr>
          <w:rFonts w:asciiTheme="majorHAnsi" w:hAnsiTheme="majorHAnsi" w:cstheme="majorHAnsi"/>
        </w:rPr>
        <w:fldChar w:fldCharType="begin" w:fldLock="1"/>
      </w:r>
      <w:r w:rsidR="003C24C1">
        <w:rPr>
          <w:rFonts w:asciiTheme="majorHAnsi" w:hAnsiTheme="majorHAnsi" w:cstheme="majorHAnsi"/>
        </w:rPr>
        <w:instrText>ADDIN CSL_CITATION {"citationItems":[{"id":"ITEM-1","itemData":{"DOI":"10.1016/j.enpol.2009.05.069","ISSN":"03014215","abstract":"The security of energy supply is one of the main objectives of EU energy policy. In this paper, we introduce an index designed to evaluate the short-term risks associated with the external supply of energy to the EU Member States. It combines measures of energy import diversification, political risks of the supplying country, risk associated with energy transit, and the economic impact of a supply disruption. We construct separate indexes for three primary energy types, oil, gas and coal, and demonstrate that Member States' levels of supply risk exposure differ across energies. Most other studies of this kind provide aggregate indexes combining different types of energy. Our results suggest that an aggregate approach could be misleading, at least for discussions of the short-term response to risks. We discuss the implications of our findings for the common energy policy. © 2009 Elsevier Ltd. All rights reserved.","author":[{"dropping-particle":"","family":"Coq","given":"Chloé","non-dropping-particle":"Le","parse-names":false,"suffix":""},{"dropping-particle":"","family":"Paltseva","given":"Elena","non-dropping-particle":"","parse-names":false,"suffix":""}],"container-title":"Energy Policy","id":"ITEM-1","issued":{"date-parts":[["2009"]]},"title":"Measuring the security of external energy supply in the European Union","type":"article-journal"},"uris":["http://www.mendeley.com/documents/?uuid=3815ee24-4ac4-487c-ac20-a48bf5b52d41"]}],"mendeley":{"formattedCitation":"[21]","plainTextFormattedCitation":"[21]","previouslyFormattedCitation":"[21]"},"properties":{"noteIndex":0},"schema":"https://github.com/citation-style-language/schema/raw/master/csl-citation.json"}</w:instrText>
      </w:r>
      <w:r w:rsidRPr="00ED6C4D">
        <w:rPr>
          <w:rFonts w:asciiTheme="majorHAnsi" w:hAnsiTheme="majorHAnsi" w:cstheme="majorHAnsi"/>
        </w:rPr>
        <w:fldChar w:fldCharType="separate"/>
      </w:r>
      <w:r w:rsidR="00BC67D6" w:rsidRPr="00ED6C4D">
        <w:rPr>
          <w:rFonts w:asciiTheme="majorHAnsi" w:hAnsiTheme="majorHAnsi" w:cstheme="majorHAnsi"/>
          <w:noProof/>
        </w:rPr>
        <w:t>[21]</w:t>
      </w:r>
      <w:r w:rsidRPr="00ED6C4D">
        <w:rPr>
          <w:rFonts w:asciiTheme="majorHAnsi" w:hAnsiTheme="majorHAnsi" w:cstheme="majorHAnsi"/>
        </w:rPr>
        <w:fldChar w:fldCharType="end"/>
      </w:r>
      <w:r w:rsidRPr="00ED6C4D">
        <w:rPr>
          <w:rFonts w:asciiTheme="majorHAnsi" w:hAnsiTheme="majorHAnsi" w:cstheme="majorHAnsi"/>
        </w:rPr>
        <w:t xml:space="preserve">. In this study, we measure trade diversity using the </w:t>
      </w:r>
      <w:proofErr w:type="spellStart"/>
      <w:r w:rsidRPr="00ED6C4D">
        <w:rPr>
          <w:rFonts w:asciiTheme="majorHAnsi" w:hAnsiTheme="majorHAnsi" w:cstheme="majorHAnsi"/>
        </w:rPr>
        <w:t>Herfindahl</w:t>
      </w:r>
      <w:proofErr w:type="spellEnd"/>
      <w:r w:rsidRPr="00ED6C4D">
        <w:rPr>
          <w:rFonts w:asciiTheme="majorHAnsi" w:hAnsiTheme="majorHAnsi" w:cstheme="majorHAnsi"/>
        </w:rPr>
        <w:t>-Hirschman Index (HHI). The HHI measures both the diversity and market concentration of a given portfolio. The index is given by the follo</w:t>
      </w:r>
      <w:r w:rsidR="00374B1F" w:rsidRPr="00ED6C4D">
        <w:rPr>
          <w:rFonts w:asciiTheme="majorHAnsi" w:hAnsiTheme="majorHAnsi" w:cstheme="majorHAnsi"/>
        </w:rPr>
        <w:t>wing formula:</w:t>
      </w:r>
    </w:p>
    <w:p w14:paraId="3083B7DE" w14:textId="77777777" w:rsidR="00D01EAF" w:rsidRPr="00ED6C4D" w:rsidRDefault="00D01EAF" w:rsidP="00D01EAF">
      <w:pPr>
        <w:spacing w:line="360" w:lineRule="auto"/>
        <w:rPr>
          <w:rFonts w:asciiTheme="majorHAnsi" w:hAnsiTheme="majorHAnsi" w:cstheme="majorHAnsi"/>
          <w:bCs/>
        </w:rPr>
      </w:pPr>
      <m:oMathPara>
        <m:oMath>
          <m:r>
            <w:rPr>
              <w:rFonts w:ascii="Cambria Math" w:hAnsi="Cambria Math" w:cstheme="majorHAnsi"/>
            </w:rPr>
            <m:t>HH</m:t>
          </m:r>
          <m:sSub>
            <m:sSubPr>
              <m:ctrlPr>
                <w:rPr>
                  <w:rFonts w:ascii="Cambria Math" w:hAnsi="Cambria Math" w:cstheme="majorHAnsi"/>
                  <w:bCs/>
                  <w:i/>
                </w:rPr>
              </m:ctrlPr>
            </m:sSubPr>
            <m:e>
              <m:r>
                <w:rPr>
                  <w:rFonts w:ascii="Cambria Math" w:hAnsi="Cambria Math" w:cstheme="majorHAnsi"/>
                </w:rPr>
                <m:t>I</m:t>
              </m:r>
            </m:e>
            <m:sub>
              <m:r>
                <w:rPr>
                  <w:rFonts w:ascii="Cambria Math" w:hAnsi="Cambria Math" w:cstheme="majorHAnsi"/>
                </w:rPr>
                <m:t>ei</m:t>
              </m:r>
            </m:sub>
          </m:sSub>
          <m:r>
            <w:rPr>
              <w:rFonts w:ascii="Cambria Math" w:hAnsi="Cambria Math" w:cstheme="majorHAnsi"/>
            </w:rPr>
            <m:t>=</m:t>
          </m:r>
          <m:nary>
            <m:naryPr>
              <m:chr m:val="∑"/>
              <m:limLoc m:val="subSup"/>
              <m:supHide m:val="1"/>
              <m:ctrlPr>
                <w:rPr>
                  <w:rFonts w:ascii="Cambria Math" w:hAnsi="Cambria Math" w:cstheme="majorHAnsi"/>
                  <w:bCs/>
                  <w:i/>
                </w:rPr>
              </m:ctrlPr>
            </m:naryPr>
            <m:sub>
              <m:r>
                <w:rPr>
                  <w:rFonts w:ascii="Cambria Math" w:hAnsi="Cambria Math" w:cstheme="majorHAnsi"/>
                </w:rPr>
                <m:t>j</m:t>
              </m:r>
            </m:sub>
            <m:sup/>
            <m:e>
              <m:sSubSup>
                <m:sSubSupPr>
                  <m:ctrlPr>
                    <w:rPr>
                      <w:rFonts w:ascii="Cambria Math" w:hAnsi="Cambria Math" w:cstheme="majorHAnsi"/>
                      <w:bCs/>
                      <w:i/>
                    </w:rPr>
                  </m:ctrlPr>
                </m:sSubSupPr>
                <m:e>
                  <m:r>
                    <w:rPr>
                      <w:rFonts w:ascii="Cambria Math" w:hAnsi="Cambria Math" w:cstheme="majorHAnsi"/>
                    </w:rPr>
                    <m:t>s</m:t>
                  </m:r>
                </m:e>
                <m:sub>
                  <m:r>
                    <w:rPr>
                      <w:rFonts w:ascii="Cambria Math" w:hAnsi="Cambria Math" w:cstheme="majorHAnsi"/>
                    </w:rPr>
                    <m:t>ej</m:t>
                  </m:r>
                </m:sub>
                <m:sup>
                  <m:r>
                    <w:rPr>
                      <w:rFonts w:ascii="Cambria Math" w:hAnsi="Cambria Math" w:cstheme="majorHAnsi"/>
                    </w:rPr>
                    <m:t>2</m:t>
                  </m:r>
                </m:sup>
              </m:sSubSup>
            </m:e>
          </m:nary>
        </m:oMath>
      </m:oMathPara>
    </w:p>
    <w:p w14:paraId="25D4ADFB" w14:textId="4224CF41" w:rsidR="00D01EAF" w:rsidRPr="00ED6C4D" w:rsidRDefault="00D01EAF" w:rsidP="00092F0C">
      <w:pPr>
        <w:spacing w:line="360" w:lineRule="auto"/>
        <w:ind w:firstLine="720"/>
        <w:rPr>
          <w:rFonts w:asciiTheme="majorHAnsi" w:hAnsiTheme="majorHAnsi" w:cstheme="majorHAnsi"/>
          <w:bCs/>
        </w:rPr>
      </w:pPr>
      <w:r w:rsidRPr="00ED6C4D">
        <w:rPr>
          <w:rFonts w:asciiTheme="majorHAnsi" w:hAnsiTheme="majorHAnsi" w:cstheme="majorHAnsi"/>
          <w:bCs/>
        </w:rPr>
        <w:t xml:space="preserve">When estimating the HHI of the energy </w:t>
      </w:r>
      <w:r w:rsidRPr="00ED6C4D">
        <w:rPr>
          <w:rFonts w:asciiTheme="majorHAnsi" w:hAnsiTheme="majorHAnsi" w:cstheme="majorHAnsi"/>
          <w:bCs/>
          <w:i/>
          <w:iCs/>
        </w:rPr>
        <w:t>exporter</w:t>
      </w:r>
      <w:r w:rsidRPr="00ED6C4D">
        <w:rPr>
          <w:rFonts w:asciiTheme="majorHAnsi" w:hAnsiTheme="majorHAnsi" w:cstheme="majorHAnsi"/>
          <w:bCs/>
        </w:rPr>
        <w:t xml:space="preserve">,  </w:t>
      </w:r>
      <m:oMath>
        <m:sSubSup>
          <m:sSubSupPr>
            <m:ctrlPr>
              <w:rPr>
                <w:rFonts w:ascii="Cambria Math" w:hAnsi="Cambria Math" w:cstheme="majorHAnsi"/>
                <w:bCs/>
                <w:i/>
              </w:rPr>
            </m:ctrlPr>
          </m:sSubSupPr>
          <m:e>
            <m:r>
              <w:rPr>
                <w:rFonts w:ascii="Cambria Math" w:hAnsi="Cambria Math" w:cstheme="majorHAnsi"/>
              </w:rPr>
              <m:t>s</m:t>
            </m:r>
          </m:e>
          <m:sub>
            <m:r>
              <w:rPr>
                <w:rFonts w:ascii="Cambria Math" w:hAnsi="Cambria Math" w:cstheme="majorHAnsi"/>
              </w:rPr>
              <m:t>ej</m:t>
            </m:r>
          </m:sub>
          <m:sup>
            <m:r>
              <w:rPr>
                <w:rFonts w:ascii="Cambria Math" w:hAnsi="Cambria Math" w:cstheme="majorHAnsi"/>
              </w:rPr>
              <m:t>2</m:t>
            </m:r>
          </m:sup>
        </m:sSubSup>
      </m:oMath>
      <w:r w:rsidRPr="00ED6C4D">
        <w:rPr>
          <w:rFonts w:asciiTheme="majorHAnsi" w:hAnsiTheme="majorHAnsi" w:cstheme="majorHAnsi"/>
          <w:bCs/>
        </w:rPr>
        <w:t xml:space="preserve"> represents the squared share of exports in fuel </w:t>
      </w:r>
      <m:oMath>
        <m:r>
          <w:rPr>
            <w:rFonts w:ascii="Cambria Math" w:hAnsi="Cambria Math" w:cstheme="majorHAnsi"/>
          </w:rPr>
          <m:t>e</m:t>
        </m:r>
      </m:oMath>
      <w:r w:rsidRPr="00ED6C4D">
        <w:rPr>
          <w:rFonts w:asciiTheme="majorHAnsi" w:hAnsiTheme="majorHAnsi" w:cstheme="majorHAnsi"/>
          <w:bCs/>
        </w:rPr>
        <w:t xml:space="preserve"> going from region </w:t>
      </w:r>
      <m:oMath>
        <m:r>
          <w:rPr>
            <w:rFonts w:ascii="Cambria Math" w:hAnsi="Cambria Math" w:cstheme="majorHAnsi"/>
          </w:rPr>
          <m:t>i</m:t>
        </m:r>
      </m:oMath>
      <w:r w:rsidRPr="00ED6C4D">
        <w:rPr>
          <w:rFonts w:asciiTheme="majorHAnsi" w:hAnsiTheme="majorHAnsi" w:cstheme="majorHAnsi"/>
          <w:bCs/>
        </w:rPr>
        <w:t xml:space="preserve"> to </w:t>
      </w:r>
      <w:proofErr w:type="gramStart"/>
      <w:r w:rsidRPr="00ED6C4D">
        <w:rPr>
          <w:rFonts w:asciiTheme="majorHAnsi" w:hAnsiTheme="majorHAnsi" w:cstheme="majorHAnsi"/>
          <w:bCs/>
        </w:rPr>
        <w:t xml:space="preserve">region </w:t>
      </w:r>
      <w:proofErr w:type="gramEnd"/>
      <m:oMath>
        <m:r>
          <w:rPr>
            <w:rFonts w:ascii="Cambria Math" w:hAnsi="Cambria Math" w:cstheme="majorHAnsi"/>
          </w:rPr>
          <m:t>j</m:t>
        </m:r>
      </m:oMath>
      <w:r w:rsidRPr="00ED6C4D">
        <w:rPr>
          <w:rFonts w:asciiTheme="majorHAnsi" w:hAnsiTheme="majorHAnsi" w:cstheme="majorHAnsi"/>
          <w:bCs/>
        </w:rPr>
        <w:t xml:space="preserve">. When estimating the HHI of the energy </w:t>
      </w:r>
      <w:r w:rsidRPr="00ED6C4D">
        <w:rPr>
          <w:rFonts w:asciiTheme="majorHAnsi" w:hAnsiTheme="majorHAnsi" w:cstheme="majorHAnsi"/>
          <w:bCs/>
          <w:i/>
          <w:iCs/>
        </w:rPr>
        <w:t>importer</w:t>
      </w:r>
      <w:r w:rsidRPr="00ED6C4D">
        <w:rPr>
          <w:rFonts w:asciiTheme="majorHAnsi" w:hAnsiTheme="majorHAnsi" w:cstheme="majorHAnsi"/>
          <w:bCs/>
        </w:rPr>
        <w:t xml:space="preserve">,  </w:t>
      </w:r>
      <m:oMath>
        <m:sSubSup>
          <m:sSubSupPr>
            <m:ctrlPr>
              <w:rPr>
                <w:rFonts w:ascii="Cambria Math" w:hAnsi="Cambria Math" w:cstheme="majorHAnsi"/>
                <w:bCs/>
                <w:i/>
              </w:rPr>
            </m:ctrlPr>
          </m:sSubSupPr>
          <m:e>
            <m:r>
              <w:rPr>
                <w:rFonts w:ascii="Cambria Math" w:hAnsi="Cambria Math" w:cstheme="majorHAnsi"/>
              </w:rPr>
              <m:t>s</m:t>
            </m:r>
          </m:e>
          <m:sub>
            <m:r>
              <w:rPr>
                <w:rFonts w:ascii="Cambria Math" w:hAnsi="Cambria Math" w:cstheme="majorHAnsi"/>
              </w:rPr>
              <m:t>ej</m:t>
            </m:r>
          </m:sub>
          <m:sup>
            <m:r>
              <w:rPr>
                <w:rFonts w:ascii="Cambria Math" w:hAnsi="Cambria Math" w:cstheme="majorHAnsi"/>
              </w:rPr>
              <m:t>2</m:t>
            </m:r>
          </m:sup>
        </m:sSubSup>
      </m:oMath>
      <w:r w:rsidRPr="00ED6C4D">
        <w:rPr>
          <w:rFonts w:asciiTheme="majorHAnsi" w:hAnsiTheme="majorHAnsi" w:cstheme="majorHAnsi"/>
          <w:bCs/>
        </w:rPr>
        <w:t xml:space="preserve"> represents the squared share of imports in fuel </w:t>
      </w:r>
      <m:oMath>
        <m:r>
          <w:rPr>
            <w:rFonts w:ascii="Cambria Math" w:hAnsi="Cambria Math" w:cstheme="majorHAnsi"/>
          </w:rPr>
          <m:t>e</m:t>
        </m:r>
      </m:oMath>
      <w:r w:rsidRPr="00ED6C4D">
        <w:rPr>
          <w:rFonts w:asciiTheme="majorHAnsi" w:hAnsiTheme="majorHAnsi" w:cstheme="majorHAnsi"/>
          <w:bCs/>
        </w:rPr>
        <w:t xml:space="preserve"> going to region </w:t>
      </w:r>
      <m:oMath>
        <m:r>
          <w:rPr>
            <w:rFonts w:ascii="Cambria Math" w:hAnsi="Cambria Math" w:cstheme="majorHAnsi"/>
          </w:rPr>
          <m:t>i</m:t>
        </m:r>
      </m:oMath>
      <w:r w:rsidRPr="00ED6C4D">
        <w:rPr>
          <w:rFonts w:asciiTheme="majorHAnsi" w:hAnsiTheme="majorHAnsi" w:cstheme="majorHAnsi"/>
          <w:bCs/>
        </w:rPr>
        <w:t xml:space="preserve"> from </w:t>
      </w:r>
      <w:proofErr w:type="gramStart"/>
      <w:r w:rsidRPr="00ED6C4D">
        <w:rPr>
          <w:rFonts w:asciiTheme="majorHAnsi" w:hAnsiTheme="majorHAnsi" w:cstheme="majorHAnsi"/>
          <w:bCs/>
        </w:rPr>
        <w:t xml:space="preserve">region </w:t>
      </w:r>
      <w:proofErr w:type="gramEnd"/>
      <m:oMath>
        <m:r>
          <w:rPr>
            <w:rFonts w:ascii="Cambria Math" w:hAnsi="Cambria Math" w:cstheme="majorHAnsi"/>
          </w:rPr>
          <m:t>j</m:t>
        </m:r>
      </m:oMath>
      <w:r w:rsidRPr="00ED6C4D">
        <w:rPr>
          <w:rFonts w:asciiTheme="majorHAnsi" w:hAnsiTheme="majorHAnsi" w:cstheme="majorHAnsi"/>
          <w:bCs/>
        </w:rPr>
        <w:t xml:space="preserve">. The HHI ranges between </w:t>
      </w:r>
      <w:r w:rsidRPr="00ED6C4D">
        <w:rPr>
          <w:rFonts w:asciiTheme="majorHAnsi" w:hAnsiTheme="majorHAnsi" w:cstheme="majorHAnsi"/>
          <w:bCs/>
        </w:rPr>
        <w:lastRenderedPageBreak/>
        <w:t>app</w:t>
      </w:r>
      <w:proofErr w:type="spellStart"/>
      <w:r w:rsidRPr="00ED6C4D">
        <w:rPr>
          <w:rFonts w:asciiTheme="majorHAnsi" w:hAnsiTheme="majorHAnsi" w:cstheme="majorHAnsi"/>
          <w:bCs/>
        </w:rPr>
        <w:t>roximately</w:t>
      </w:r>
      <w:proofErr w:type="spellEnd"/>
      <w:r w:rsidRPr="00ED6C4D">
        <w:rPr>
          <w:rFonts w:asciiTheme="majorHAnsi" w:hAnsiTheme="majorHAnsi" w:cstheme="majorHAnsi"/>
          <w:bCs/>
        </w:rPr>
        <w:t xml:space="preserve"> 770 and 10,000</w:t>
      </w:r>
      <w:r w:rsidR="00710653" w:rsidRPr="00ED6C4D">
        <w:rPr>
          <w:rFonts w:asciiTheme="majorHAnsi" w:hAnsiTheme="majorHAnsi" w:cstheme="majorHAnsi"/>
          <w:bCs/>
        </w:rPr>
        <w:t>.</w:t>
      </w:r>
      <w:r w:rsidRPr="00ED6C4D">
        <w:rPr>
          <w:rStyle w:val="FootnoteReference"/>
          <w:rFonts w:asciiTheme="majorHAnsi" w:hAnsiTheme="majorHAnsi" w:cstheme="majorHAnsi"/>
          <w:bCs/>
        </w:rPr>
        <w:footnoteReference w:id="6"/>
      </w:r>
      <w:r w:rsidRPr="00ED6C4D">
        <w:rPr>
          <w:rFonts w:asciiTheme="majorHAnsi" w:hAnsiTheme="majorHAnsi" w:cstheme="majorHAnsi"/>
          <w:bCs/>
        </w:rPr>
        <w:t xml:space="preserve"> A higher HHI suggests a more concentrated portfolio, whereas a lower HHI suggests a more diverse and balanced portfolio. </w:t>
      </w:r>
    </w:p>
    <w:p w14:paraId="049F31CB" w14:textId="77777777" w:rsidR="00C771A2" w:rsidRPr="00ED6C4D" w:rsidRDefault="00C771A2" w:rsidP="00D01EAF">
      <w:pPr>
        <w:spacing w:line="360" w:lineRule="auto"/>
        <w:rPr>
          <w:rFonts w:asciiTheme="majorHAnsi" w:hAnsiTheme="majorHAnsi" w:cstheme="majorHAnsi"/>
        </w:rPr>
      </w:pPr>
    </w:p>
    <w:p w14:paraId="4240CAC0" w14:textId="77777777" w:rsidR="00EA5256" w:rsidRPr="00ED6C4D" w:rsidRDefault="00EA5256" w:rsidP="00EA5256">
      <w:pPr>
        <w:pStyle w:val="Heading2"/>
        <w:rPr>
          <w:rFonts w:cstheme="majorHAnsi"/>
          <w:color w:val="auto"/>
        </w:rPr>
      </w:pPr>
      <w:bookmarkStart w:id="0" w:name="_Toc20722950"/>
      <w:r w:rsidRPr="00ED6C4D">
        <w:rPr>
          <w:rFonts w:cstheme="majorHAnsi"/>
          <w:color w:val="auto"/>
        </w:rPr>
        <w:t>2</w:t>
      </w:r>
      <w:r w:rsidR="00783F0D" w:rsidRPr="00ED6C4D">
        <w:rPr>
          <w:rFonts w:cstheme="majorHAnsi"/>
          <w:color w:val="auto"/>
        </w:rPr>
        <w:t>.5</w:t>
      </w:r>
      <w:r w:rsidRPr="00ED6C4D">
        <w:rPr>
          <w:rFonts w:cstheme="majorHAnsi"/>
          <w:color w:val="auto"/>
        </w:rPr>
        <w:tab/>
        <w:t>Limitations of this study</w:t>
      </w:r>
      <w:bookmarkEnd w:id="0"/>
    </w:p>
    <w:p w14:paraId="53128261" w14:textId="77777777" w:rsidR="00EA5256" w:rsidRPr="00ED6C4D" w:rsidRDefault="00EA5256" w:rsidP="00EA5256">
      <w:pPr>
        <w:spacing w:line="360" w:lineRule="auto"/>
        <w:rPr>
          <w:rFonts w:asciiTheme="majorHAnsi" w:hAnsiTheme="majorHAnsi" w:cstheme="majorHAnsi"/>
        </w:rPr>
      </w:pPr>
    </w:p>
    <w:p w14:paraId="5B8CBDAB" w14:textId="21469E9B" w:rsidR="00EA5256"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The main limitations of this study stem from underlying assumptions for policy scenarios. The first assumption we make is that tariff rates are increased and reduced concurrently across all regions. In reality, one region may increase a tariff, which leads another to raise their tariff rates, and so on. The same holds for a global emissions tax; perhaps one region applies a tax first, which affects another region’s decision to impose a tax. Here, we assume a global carbon emission tax. Thus, we do not capture any temporal or spatial heterogeneity in this scenario setup for the application of policies in this regard. </w:t>
      </w:r>
    </w:p>
    <w:p w14:paraId="4E19E07F" w14:textId="638E805F" w:rsidR="00EA5256" w:rsidRPr="00ED6C4D" w:rsidRDefault="00EA5256" w:rsidP="00EA5256">
      <w:pPr>
        <w:spacing w:line="360" w:lineRule="auto"/>
        <w:ind w:firstLine="720"/>
        <w:rPr>
          <w:rFonts w:asciiTheme="majorHAnsi" w:hAnsiTheme="majorHAnsi" w:cstheme="majorHAnsi"/>
        </w:rPr>
      </w:pPr>
      <w:r w:rsidRPr="00ED6C4D">
        <w:rPr>
          <w:rFonts w:asciiTheme="majorHAnsi" w:hAnsiTheme="majorHAnsi" w:cstheme="majorHAnsi"/>
        </w:rPr>
        <w:t xml:space="preserve">We also assume in our underlying country-level data that all trade between countries is shipped by sea, along the shortest shipping routes. This affects our calculation of the marginal effect of distance on trade costs. We believe that this assumption is not unrealistic, however. Firstly, 90% of </w:t>
      </w:r>
      <w:r w:rsidR="00AD56A8" w:rsidRPr="00ED6C4D">
        <w:rPr>
          <w:rFonts w:asciiTheme="majorHAnsi" w:hAnsiTheme="majorHAnsi" w:cstheme="majorHAnsi"/>
        </w:rPr>
        <w:t xml:space="preserve">total </w:t>
      </w:r>
      <w:r w:rsidRPr="00ED6C4D">
        <w:rPr>
          <w:rFonts w:asciiTheme="majorHAnsi" w:hAnsiTheme="majorHAnsi" w:cstheme="majorHAnsi"/>
        </w:rPr>
        <w:t xml:space="preserve">trade is conducted along maritime routes </w:t>
      </w:r>
      <w:r w:rsidRPr="00ED6C4D">
        <w:rPr>
          <w:rFonts w:asciiTheme="majorHAnsi" w:hAnsiTheme="majorHAnsi" w:cstheme="majorHAnsi"/>
        </w:rPr>
        <w:fldChar w:fldCharType="begin" w:fldLock="1"/>
      </w:r>
      <w:r w:rsidR="006141C7">
        <w:rPr>
          <w:rFonts w:asciiTheme="majorHAnsi" w:hAnsiTheme="majorHAnsi" w:cstheme="majorHAnsi"/>
        </w:rPr>
        <w:instrText>ADDIN CSL_CITATION {"citationItems":[{"id":"ITEM-1","itemData":{"DOI":"10.4324/9781315618159","ISBN":"9781317210108","abstract":"This second edition offers new topics and approaches that have emerged as critical issues in contemporary transport systems, including security, energy, supply chain management and GIS-T.","author":[{"dropping-particle":"","family":"Rodrigue","given":"Jean Paul","non-dropping-particle":"","parse-names":false,"suffix":""},{"dropping-particle":"","family":"Comtois","given":"Claude","non-dropping-particle":"","parse-names":false,"suffix":""},{"dropping-particle":"","family":"Slack","given":"Brian","non-dropping-particle":"","parse-names":false,"suffix":""}],"container-title":"The Geography of Transport Systems","id":"ITEM-1","issued":{"date-parts":[["2016"]]},"title":"The geography of transport systems","type":"book"},"uris":["http://www.mendeley.com/documents/?uuid=452aec93-440c-4527-84d1-f2b8f74a608b"]}],"mendeley":{"formattedCitation":"[34]","plainTextFormattedCitation":"[34]","previouslyFormattedCitation":"[34]"},"properties":{"noteIndex":0},"schema":"https://github.com/citation-style-language/schema/raw/master/csl-citation.json"}</w:instrText>
      </w:r>
      <w:r w:rsidRPr="00ED6C4D">
        <w:rPr>
          <w:rFonts w:asciiTheme="majorHAnsi" w:hAnsiTheme="majorHAnsi" w:cstheme="majorHAnsi"/>
        </w:rPr>
        <w:fldChar w:fldCharType="separate"/>
      </w:r>
      <w:r w:rsidR="001E46D7" w:rsidRPr="001E46D7">
        <w:rPr>
          <w:rFonts w:asciiTheme="majorHAnsi" w:hAnsiTheme="majorHAnsi" w:cstheme="majorHAnsi"/>
          <w:noProof/>
        </w:rPr>
        <w:t>[34]</w:t>
      </w:r>
      <w:r w:rsidRPr="00ED6C4D">
        <w:rPr>
          <w:rFonts w:asciiTheme="majorHAnsi" w:hAnsiTheme="majorHAnsi" w:cstheme="majorHAnsi"/>
        </w:rPr>
        <w:fldChar w:fldCharType="end"/>
      </w:r>
      <w:r w:rsidRPr="00ED6C4D">
        <w:rPr>
          <w:rFonts w:asciiTheme="majorHAnsi" w:hAnsiTheme="majorHAnsi" w:cstheme="majorHAnsi"/>
        </w:rPr>
        <w:t>. Secondly because of shipping costs (e.g. fuel costs, insurance), most shipping companies will aim to take the shortest route to transport commodities.</w:t>
      </w:r>
    </w:p>
    <w:p w14:paraId="62486C05" w14:textId="25310DA3" w:rsidR="00D03CE7" w:rsidRPr="00ED6C4D" w:rsidRDefault="7D0E00F7" w:rsidP="007F1C2B">
      <w:pPr>
        <w:spacing w:line="360" w:lineRule="auto"/>
        <w:ind w:firstLine="720"/>
        <w:rPr>
          <w:rFonts w:asciiTheme="majorHAnsi" w:hAnsiTheme="majorHAnsi" w:cstheme="majorHAnsi"/>
        </w:rPr>
      </w:pPr>
      <w:r w:rsidRPr="00ED6C4D">
        <w:rPr>
          <w:rFonts w:asciiTheme="majorHAnsi" w:hAnsiTheme="majorHAnsi" w:cstheme="majorHAnsi"/>
        </w:rPr>
        <w:t xml:space="preserve">A limitation of the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global energy model is its spatial aggregation. Currently, the world is represented through 14 regions. However, there are country-level (and even sub-national level) trends that influences the structure of global energy markets. We are not able to capture this heterogeneity in this study. Furthermore, some regions combine countries that have very different energy systems; for instance, Pacific OECD includes Japan (a major energy importer) and Australia (a major energy exporter).</w:t>
      </w:r>
      <w:r w:rsidR="001E46D7">
        <w:rPr>
          <w:rFonts w:asciiTheme="majorHAnsi" w:hAnsiTheme="majorHAnsi" w:cstheme="majorHAnsi"/>
        </w:rPr>
        <w:t xml:space="preserve"> </w:t>
      </w:r>
      <w:r w:rsidR="001E46D7" w:rsidRPr="001E46D7">
        <w:rPr>
          <w:rFonts w:asciiTheme="majorHAnsi" w:hAnsiTheme="majorHAnsi" w:cstheme="majorHAnsi"/>
        </w:rPr>
        <w:t xml:space="preserve">Note, however, that </w:t>
      </w:r>
      <w:proofErr w:type="spellStart"/>
      <w:r w:rsidR="001E46D7" w:rsidRPr="001E46D7">
        <w:rPr>
          <w:rFonts w:asciiTheme="majorHAnsi" w:hAnsiTheme="majorHAnsi" w:cstheme="majorHAnsi"/>
        </w:rPr>
        <w:t>MESSAGE</w:t>
      </w:r>
      <w:r w:rsidR="001E46D7">
        <w:rPr>
          <w:rFonts w:asciiTheme="majorHAnsi" w:hAnsiTheme="majorHAnsi" w:cstheme="majorHAnsi"/>
        </w:rPr>
        <w:t>ix</w:t>
      </w:r>
      <w:proofErr w:type="spellEnd"/>
      <w:r w:rsidR="001E46D7" w:rsidRPr="001E46D7">
        <w:rPr>
          <w:rFonts w:asciiTheme="majorHAnsi" w:hAnsiTheme="majorHAnsi" w:cstheme="majorHAnsi"/>
        </w:rPr>
        <w:t xml:space="preserve"> includes constraints to restrict Japan from tapping into the abundant energy resources available in Australia. In other words, the model setup ensures that Japan and Australian energy systems operate separately at the sub-regional level.</w:t>
      </w:r>
    </w:p>
    <w:p w14:paraId="4101652C" w14:textId="1A387B47" w:rsidR="006E67B0" w:rsidRPr="00ED6C4D" w:rsidRDefault="006E67B0" w:rsidP="006E67B0">
      <w:pPr>
        <w:rPr>
          <w:rFonts w:asciiTheme="majorHAnsi" w:hAnsiTheme="majorHAnsi" w:cstheme="majorHAnsi"/>
        </w:rPr>
      </w:pPr>
    </w:p>
    <w:p w14:paraId="03DE0646" w14:textId="1697B165" w:rsidR="00710653" w:rsidRPr="00ED6C4D" w:rsidRDefault="00710653" w:rsidP="006E67B0">
      <w:pPr>
        <w:rPr>
          <w:rFonts w:asciiTheme="majorHAnsi" w:hAnsiTheme="majorHAnsi" w:cstheme="majorHAnsi"/>
        </w:rPr>
      </w:pPr>
    </w:p>
    <w:p w14:paraId="547D3D3E" w14:textId="77777777" w:rsidR="00710653" w:rsidRPr="00ED6C4D" w:rsidRDefault="00710653" w:rsidP="006E67B0">
      <w:pPr>
        <w:rPr>
          <w:rFonts w:asciiTheme="majorHAnsi" w:hAnsiTheme="majorHAnsi" w:cstheme="majorHAnsi"/>
        </w:rPr>
      </w:pPr>
    </w:p>
    <w:p w14:paraId="7D973075" w14:textId="77777777" w:rsidR="006E67B0" w:rsidRPr="00ED6C4D" w:rsidRDefault="00167661" w:rsidP="006E67B0">
      <w:pPr>
        <w:pStyle w:val="Heading1"/>
        <w:rPr>
          <w:rFonts w:cstheme="majorHAnsi"/>
          <w:color w:val="auto"/>
        </w:rPr>
      </w:pPr>
      <w:r w:rsidRPr="00ED6C4D">
        <w:rPr>
          <w:rFonts w:cstheme="majorHAnsi"/>
          <w:color w:val="auto"/>
        </w:rPr>
        <w:lastRenderedPageBreak/>
        <w:t>3</w:t>
      </w:r>
      <w:r w:rsidR="006E67B0" w:rsidRPr="00ED6C4D">
        <w:rPr>
          <w:rFonts w:cstheme="majorHAnsi"/>
          <w:color w:val="auto"/>
        </w:rPr>
        <w:tab/>
        <w:t>Results</w:t>
      </w:r>
      <w:r w:rsidR="00EA5256" w:rsidRPr="00ED6C4D">
        <w:rPr>
          <w:rFonts w:cstheme="majorHAnsi"/>
          <w:color w:val="auto"/>
        </w:rPr>
        <w:t xml:space="preserve"> and discussion</w:t>
      </w:r>
    </w:p>
    <w:p w14:paraId="4B99056E" w14:textId="77777777" w:rsidR="00D01EAF" w:rsidRPr="00ED6C4D" w:rsidRDefault="00D01EAF" w:rsidP="00D01EAF">
      <w:pPr>
        <w:rPr>
          <w:rFonts w:asciiTheme="majorHAnsi" w:hAnsiTheme="majorHAnsi" w:cstheme="majorHAnsi"/>
        </w:rPr>
      </w:pPr>
    </w:p>
    <w:p w14:paraId="668F86DA" w14:textId="77777777" w:rsidR="00D01EAF" w:rsidRPr="00ED6C4D" w:rsidRDefault="00167661" w:rsidP="00AF4B61">
      <w:pPr>
        <w:pStyle w:val="Heading2"/>
        <w:rPr>
          <w:rFonts w:cstheme="majorHAnsi"/>
          <w:color w:val="auto"/>
        </w:rPr>
      </w:pPr>
      <w:r w:rsidRPr="00ED6C4D">
        <w:rPr>
          <w:rFonts w:cstheme="majorHAnsi"/>
          <w:color w:val="auto"/>
        </w:rPr>
        <w:t>3</w:t>
      </w:r>
      <w:r w:rsidR="00D01EAF" w:rsidRPr="00ED6C4D">
        <w:rPr>
          <w:rFonts w:cstheme="majorHAnsi"/>
          <w:color w:val="auto"/>
        </w:rPr>
        <w:t>.1</w:t>
      </w:r>
      <w:r w:rsidR="00D01EAF" w:rsidRPr="00ED6C4D">
        <w:rPr>
          <w:rFonts w:cstheme="majorHAnsi"/>
          <w:color w:val="auto"/>
        </w:rPr>
        <w:tab/>
      </w:r>
      <w:r w:rsidR="001714E6" w:rsidRPr="00ED6C4D">
        <w:rPr>
          <w:rFonts w:cstheme="majorHAnsi"/>
          <w:color w:val="auto"/>
        </w:rPr>
        <w:t>Effects on network size and composition</w:t>
      </w:r>
    </w:p>
    <w:p w14:paraId="1299C43A" w14:textId="77777777" w:rsidR="00D01EAF" w:rsidRPr="00ED6C4D" w:rsidRDefault="00D01EAF" w:rsidP="00D01EAF">
      <w:pPr>
        <w:rPr>
          <w:rFonts w:asciiTheme="majorHAnsi" w:hAnsiTheme="majorHAnsi" w:cstheme="majorHAnsi"/>
        </w:rPr>
      </w:pPr>
    </w:p>
    <w:p w14:paraId="10542383" w14:textId="4FCC424C" w:rsidR="00F4642B"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Results suggest that tariff policies do not have a significant effect on the composition or size of the global energy trade network. We find that the only effect that the tariff policies have is on global </w:t>
      </w:r>
      <w:r w:rsidR="00710653" w:rsidRPr="00ED6C4D">
        <w:rPr>
          <w:rFonts w:asciiTheme="majorHAnsi" w:hAnsiTheme="majorHAnsi" w:cstheme="majorHAnsi"/>
        </w:rPr>
        <w:t xml:space="preserve">and regional </w:t>
      </w:r>
      <w:r w:rsidRPr="00ED6C4D">
        <w:rPr>
          <w:rFonts w:asciiTheme="majorHAnsi" w:hAnsiTheme="majorHAnsi" w:cstheme="majorHAnsi"/>
        </w:rPr>
        <w:t xml:space="preserve">energy system costs. A high tariff scenario increases the total system cost while the low tariff scenario </w:t>
      </w:r>
      <w:r w:rsidR="00710653" w:rsidRPr="00ED6C4D">
        <w:rPr>
          <w:rFonts w:asciiTheme="majorHAnsi" w:hAnsiTheme="majorHAnsi" w:cstheme="majorHAnsi"/>
        </w:rPr>
        <w:t>reduces these costs.</w:t>
      </w:r>
      <w:r w:rsidR="00525F0E" w:rsidRPr="00ED6C4D">
        <w:rPr>
          <w:rStyle w:val="FootnoteReference"/>
          <w:rFonts w:asciiTheme="majorHAnsi" w:hAnsiTheme="majorHAnsi" w:cstheme="majorHAnsi"/>
        </w:rPr>
        <w:footnoteReference w:id="7"/>
      </w:r>
    </w:p>
    <w:p w14:paraId="5E6D8A7F" w14:textId="20E5586A" w:rsidR="00D01EAF" w:rsidRDefault="00F4642B" w:rsidP="00D01EAF">
      <w:pPr>
        <w:spacing w:line="360" w:lineRule="auto"/>
        <w:ind w:firstLine="720"/>
        <w:rPr>
          <w:rFonts w:asciiTheme="majorHAnsi" w:hAnsiTheme="majorHAnsi" w:cstheme="majorHAnsi"/>
        </w:rPr>
      </w:pPr>
      <w:r w:rsidRPr="00ED6C4D">
        <w:rPr>
          <w:rFonts w:asciiTheme="majorHAnsi" w:hAnsiTheme="majorHAnsi" w:cstheme="majorHAnsi"/>
        </w:rPr>
        <w:t>Conversely</w:t>
      </w:r>
      <w:r w:rsidR="00136BB2" w:rsidRPr="00ED6C4D">
        <w:rPr>
          <w:rFonts w:asciiTheme="majorHAnsi" w:hAnsiTheme="majorHAnsi" w:cstheme="majorHAnsi"/>
        </w:rPr>
        <w:t xml:space="preserve">, we find that </w:t>
      </w:r>
      <w:r w:rsidR="00D01EAF" w:rsidRPr="00ED6C4D">
        <w:rPr>
          <w:rFonts w:asciiTheme="majorHAnsi" w:hAnsiTheme="majorHAnsi" w:cstheme="majorHAnsi"/>
        </w:rPr>
        <w:t xml:space="preserve">emissions taxes significantly alter the structure and size of </w:t>
      </w:r>
      <w:r w:rsidR="00136BB2" w:rsidRPr="00ED6C4D">
        <w:rPr>
          <w:rFonts w:asciiTheme="majorHAnsi" w:hAnsiTheme="majorHAnsi" w:cstheme="majorHAnsi"/>
        </w:rPr>
        <w:t>the network</w:t>
      </w:r>
      <w:r w:rsidR="00D01EAF" w:rsidRPr="00ED6C4D">
        <w:rPr>
          <w:rFonts w:asciiTheme="majorHAnsi" w:hAnsiTheme="majorHAnsi" w:cstheme="majorHAnsi"/>
        </w:rPr>
        <w:t xml:space="preserve">. Under an emissions tax, the </w:t>
      </w:r>
      <w:r w:rsidR="00AF72E4" w:rsidRPr="00ED6C4D">
        <w:rPr>
          <w:rFonts w:asciiTheme="majorHAnsi" w:hAnsiTheme="majorHAnsi" w:cstheme="majorHAnsi"/>
        </w:rPr>
        <w:t>energy</w:t>
      </w:r>
      <w:r w:rsidR="00D01EAF" w:rsidRPr="00ED6C4D">
        <w:rPr>
          <w:rFonts w:asciiTheme="majorHAnsi" w:hAnsiTheme="majorHAnsi" w:cstheme="majorHAnsi"/>
        </w:rPr>
        <w:t xml:space="preserve"> network contracts by nearly </w:t>
      </w:r>
      <w:r w:rsidR="00E142E1" w:rsidRPr="00ED6C4D">
        <w:rPr>
          <w:rFonts w:asciiTheme="majorHAnsi" w:hAnsiTheme="majorHAnsi" w:cstheme="majorHAnsi"/>
        </w:rPr>
        <w:t>50%</w:t>
      </w:r>
      <w:r w:rsidR="00791320" w:rsidRPr="00ED6C4D">
        <w:rPr>
          <w:rFonts w:asciiTheme="majorHAnsi" w:hAnsiTheme="majorHAnsi" w:cstheme="majorHAnsi"/>
        </w:rPr>
        <w:t xml:space="preserve">. </w:t>
      </w:r>
      <w:r w:rsidR="00D01EAF" w:rsidRPr="00ED6C4D">
        <w:rPr>
          <w:rFonts w:asciiTheme="majorHAnsi" w:hAnsiTheme="majorHAnsi" w:cstheme="majorHAnsi"/>
        </w:rPr>
        <w:t xml:space="preserve">The network also becomes more complex; there are more than </w:t>
      </w:r>
      <w:r w:rsidR="00791320" w:rsidRPr="00ED6C4D">
        <w:rPr>
          <w:rFonts w:asciiTheme="majorHAnsi" w:hAnsiTheme="majorHAnsi" w:cstheme="majorHAnsi"/>
        </w:rPr>
        <w:t>72</w:t>
      </w:r>
      <w:r w:rsidR="00D01EAF" w:rsidRPr="00ED6C4D">
        <w:rPr>
          <w:rFonts w:asciiTheme="majorHAnsi" w:hAnsiTheme="majorHAnsi" w:cstheme="majorHAnsi"/>
        </w:rPr>
        <w:t xml:space="preserve"> trade linkages in the emissions tax scenario that were not in the baseline scenario, an increase of roughly </w:t>
      </w:r>
      <w:r w:rsidR="00791320" w:rsidRPr="00ED6C4D">
        <w:rPr>
          <w:rFonts w:asciiTheme="majorHAnsi" w:hAnsiTheme="majorHAnsi" w:cstheme="majorHAnsi"/>
        </w:rPr>
        <w:t>65</w:t>
      </w:r>
      <w:r w:rsidR="00D01EAF" w:rsidRPr="00ED6C4D">
        <w:rPr>
          <w:rFonts w:asciiTheme="majorHAnsi" w:hAnsiTheme="majorHAnsi" w:cstheme="majorHAnsi"/>
        </w:rPr>
        <w:t xml:space="preserve">%. We illustrate this increased complexity through chord diagrams in Figure </w:t>
      </w:r>
      <w:r w:rsidR="00ED6C4D">
        <w:rPr>
          <w:rFonts w:asciiTheme="majorHAnsi" w:hAnsiTheme="majorHAnsi" w:cstheme="majorHAnsi"/>
        </w:rPr>
        <w:t>2</w:t>
      </w:r>
      <w:r w:rsidR="00D01EAF" w:rsidRPr="00ED6C4D">
        <w:rPr>
          <w:rFonts w:asciiTheme="majorHAnsi" w:hAnsiTheme="majorHAnsi" w:cstheme="majorHAnsi"/>
        </w:rPr>
        <w:t xml:space="preserve">(a)-(b) and Figure </w:t>
      </w:r>
      <w:r w:rsidR="00ED6C4D">
        <w:rPr>
          <w:rFonts w:asciiTheme="majorHAnsi" w:hAnsiTheme="majorHAnsi" w:cstheme="majorHAnsi"/>
        </w:rPr>
        <w:t>3</w:t>
      </w:r>
      <w:r w:rsidR="00D01EAF" w:rsidRPr="00ED6C4D">
        <w:rPr>
          <w:rFonts w:asciiTheme="majorHAnsi" w:hAnsiTheme="majorHAnsi" w:cstheme="majorHAnsi"/>
        </w:rPr>
        <w:t>(a)-(</w:t>
      </w:r>
      <w:r w:rsidR="00ED6C4D">
        <w:rPr>
          <w:rFonts w:asciiTheme="majorHAnsi" w:hAnsiTheme="majorHAnsi" w:cstheme="majorHAnsi"/>
        </w:rPr>
        <w:t>l</w:t>
      </w:r>
      <w:r w:rsidR="00D01EAF" w:rsidRPr="00ED6C4D">
        <w:rPr>
          <w:rFonts w:asciiTheme="majorHAnsi" w:hAnsiTheme="majorHAnsi" w:cstheme="majorHAnsi"/>
        </w:rPr>
        <w:t xml:space="preserve">). </w:t>
      </w:r>
      <w:r w:rsidR="00F377C3" w:rsidRPr="00ED6C4D">
        <w:rPr>
          <w:rFonts w:asciiTheme="majorHAnsi" w:hAnsiTheme="majorHAnsi" w:cstheme="majorHAnsi"/>
        </w:rPr>
        <w:t>We have also included a table of all results in the Supplementary Material.</w:t>
      </w:r>
      <w:r w:rsidR="004E780C" w:rsidRPr="00ED6C4D">
        <w:rPr>
          <w:rFonts w:asciiTheme="majorHAnsi" w:hAnsiTheme="majorHAnsi" w:cstheme="majorHAnsi"/>
        </w:rPr>
        <w:t xml:space="preserve"> </w:t>
      </w:r>
    </w:p>
    <w:p w14:paraId="197D9E19" w14:textId="0326D26B" w:rsidR="00F34F7E" w:rsidRDefault="00F34F7E" w:rsidP="00D01EAF">
      <w:pPr>
        <w:spacing w:line="360" w:lineRule="auto"/>
        <w:ind w:firstLine="720"/>
        <w:rPr>
          <w:rFonts w:asciiTheme="majorHAnsi" w:hAnsiTheme="majorHAnsi" w:cstheme="majorHAnsi"/>
        </w:rPr>
      </w:pPr>
    </w:p>
    <w:p w14:paraId="0363023B" w14:textId="77777777" w:rsidR="00F34F7E" w:rsidRPr="00ED6C4D" w:rsidRDefault="00F34F7E" w:rsidP="00D01EAF">
      <w:pPr>
        <w:spacing w:line="360" w:lineRule="auto"/>
        <w:ind w:firstLine="720"/>
        <w:rPr>
          <w:rFonts w:asciiTheme="majorHAnsi" w:hAnsiTheme="majorHAnsi" w:cstheme="majorHAnsi"/>
        </w:rPr>
      </w:pPr>
    </w:p>
    <w:p w14:paraId="4DDBEF00" w14:textId="77777777" w:rsidR="00D01EAF" w:rsidRPr="00ED6C4D" w:rsidRDefault="00D01EAF" w:rsidP="00D01EAF">
      <w:pPr>
        <w:spacing w:line="360" w:lineRule="auto"/>
        <w:rPr>
          <w:rFonts w:asciiTheme="majorHAnsi" w:hAnsiTheme="majorHAnsi" w:cstheme="majorHAnsi"/>
        </w:rPr>
      </w:pPr>
    </w:p>
    <w:p w14:paraId="3461D779" w14:textId="77777777" w:rsidR="00D01EAF" w:rsidRPr="00ED6C4D" w:rsidRDefault="00510EDD" w:rsidP="00D01EAF">
      <w:pPr>
        <w:keepNext/>
        <w:spacing w:line="360" w:lineRule="auto"/>
        <w:jc w:val="center"/>
        <w:rPr>
          <w:rFonts w:asciiTheme="majorHAnsi" w:hAnsiTheme="majorHAnsi" w:cstheme="majorHAnsi"/>
        </w:rPr>
      </w:pPr>
      <w:r w:rsidRPr="00ED6C4D">
        <w:rPr>
          <w:rFonts w:asciiTheme="majorHAnsi" w:hAnsiTheme="majorHAnsi" w:cstheme="majorHAnsi"/>
          <w:noProof/>
        </w:rPr>
        <w:lastRenderedPageBreak/>
        <w:drawing>
          <wp:inline distT="0" distB="0" distL="0" distR="0" wp14:anchorId="4B7DCE3F" wp14:editId="4778CD6A">
            <wp:extent cx="59436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5100"/>
                    </a:xfrm>
                    <a:prstGeom prst="rect">
                      <a:avLst/>
                    </a:prstGeom>
                  </pic:spPr>
                </pic:pic>
              </a:graphicData>
            </a:graphic>
          </wp:inline>
        </w:drawing>
      </w:r>
    </w:p>
    <w:p w14:paraId="57F4A04F" w14:textId="55CE2BC2" w:rsidR="00D01EAF" w:rsidRPr="00ED6C4D" w:rsidRDefault="7D0E00F7" w:rsidP="7D0E00F7">
      <w:pPr>
        <w:pStyle w:val="Caption"/>
        <w:jc w:val="both"/>
        <w:rPr>
          <w:rFonts w:asciiTheme="majorHAnsi" w:hAnsiTheme="majorHAnsi" w:cstheme="majorHAnsi"/>
          <w:i w:val="0"/>
          <w:iCs w:val="0"/>
          <w:color w:val="auto"/>
        </w:rPr>
      </w:pPr>
      <w:r w:rsidRPr="00ED6C4D">
        <w:rPr>
          <w:rFonts w:asciiTheme="majorHAnsi" w:hAnsiTheme="majorHAnsi" w:cstheme="majorHAnsi"/>
          <w:b/>
          <w:bCs/>
          <w:i w:val="0"/>
          <w:iCs w:val="0"/>
          <w:color w:val="auto"/>
        </w:rPr>
        <w:t xml:space="preserve">Fig. </w:t>
      </w:r>
      <w:r w:rsidR="00ED6C4D">
        <w:rPr>
          <w:rFonts w:asciiTheme="majorHAnsi" w:hAnsiTheme="majorHAnsi" w:cstheme="majorHAnsi"/>
          <w:b/>
          <w:bCs/>
          <w:i w:val="0"/>
          <w:iCs w:val="0"/>
          <w:color w:val="auto"/>
        </w:rPr>
        <w:t>2</w:t>
      </w:r>
      <w:r w:rsidRPr="00ED6C4D">
        <w:rPr>
          <w:rFonts w:asciiTheme="majorHAnsi" w:hAnsiTheme="majorHAnsi" w:cstheme="majorHAnsi"/>
          <w:b/>
          <w:bCs/>
          <w:i w:val="0"/>
          <w:iCs w:val="0"/>
          <w:color w:val="auto"/>
        </w:rPr>
        <w:t>.</w:t>
      </w:r>
      <w:r w:rsidRPr="00ED6C4D">
        <w:rPr>
          <w:rFonts w:asciiTheme="majorHAnsi" w:hAnsiTheme="majorHAnsi" w:cstheme="majorHAnsi"/>
          <w:i w:val="0"/>
          <w:iCs w:val="0"/>
          <w:color w:val="auto"/>
        </w:rPr>
        <w:t xml:space="preserve"> </w:t>
      </w:r>
      <w:r w:rsidRPr="00ED6C4D">
        <w:rPr>
          <w:rFonts w:asciiTheme="majorHAnsi" w:hAnsiTheme="majorHAnsi" w:cstheme="majorHAnsi"/>
          <w:b/>
          <w:i w:val="0"/>
          <w:iCs w:val="0"/>
          <w:color w:val="auto"/>
        </w:rPr>
        <w:t>The energy trade network in 2050 under the baseline scenario (a) and under an emissions tax scenario (b</w:t>
      </w:r>
      <w:r w:rsidRPr="00ED6C4D">
        <w:rPr>
          <w:rFonts w:asciiTheme="majorHAnsi" w:hAnsiTheme="majorHAnsi" w:cstheme="majorHAnsi"/>
          <w:i w:val="0"/>
          <w:iCs w:val="0"/>
          <w:color w:val="auto"/>
        </w:rPr>
        <w:t>). This figure illustrates the network across energy commodities</w:t>
      </w:r>
      <w:r w:rsidR="004E780C" w:rsidRPr="00ED6C4D">
        <w:rPr>
          <w:rFonts w:asciiTheme="majorHAnsi" w:hAnsiTheme="majorHAnsi" w:cstheme="majorHAnsi"/>
          <w:i w:val="0"/>
          <w:iCs w:val="0"/>
          <w:color w:val="auto"/>
        </w:rPr>
        <w:t>, (i.e. it is the sum of coal, crude oil, ethanol, fuel oil, light oil, LNG, methanol, and liquid hydrogen)</w:t>
      </w:r>
      <w:r w:rsidRPr="00ED6C4D">
        <w:rPr>
          <w:rFonts w:asciiTheme="majorHAnsi" w:hAnsiTheme="majorHAnsi" w:cstheme="majorHAnsi"/>
          <w:i w:val="0"/>
          <w:iCs w:val="0"/>
          <w:color w:val="auto"/>
        </w:rPr>
        <w:t>.</w:t>
      </w:r>
      <w:r w:rsidR="004E780C" w:rsidRPr="00ED6C4D">
        <w:rPr>
          <w:rFonts w:asciiTheme="majorHAnsi" w:hAnsiTheme="majorHAnsi" w:cstheme="majorHAnsi"/>
          <w:i w:val="0"/>
          <w:iCs w:val="0"/>
          <w:color w:val="auto"/>
        </w:rPr>
        <w:t xml:space="preserve"> Each chord represents the </w:t>
      </w:r>
      <w:r w:rsidR="004E780C" w:rsidRPr="00ED6C4D">
        <w:rPr>
          <w:rFonts w:asciiTheme="majorHAnsi" w:hAnsiTheme="majorHAnsi" w:cstheme="majorHAnsi"/>
          <w:iCs w:val="0"/>
          <w:color w:val="auto"/>
        </w:rPr>
        <w:t>net export flow</w:t>
      </w:r>
      <w:r w:rsidR="004E780C" w:rsidRPr="00ED6C4D">
        <w:rPr>
          <w:rFonts w:asciiTheme="majorHAnsi" w:hAnsiTheme="majorHAnsi" w:cstheme="majorHAnsi"/>
          <w:i w:val="0"/>
          <w:iCs w:val="0"/>
          <w:color w:val="auto"/>
        </w:rPr>
        <w:t>.</w:t>
      </w:r>
      <w:r w:rsidRPr="00ED6C4D">
        <w:rPr>
          <w:rFonts w:asciiTheme="majorHAnsi" w:hAnsiTheme="majorHAnsi" w:cstheme="majorHAnsi"/>
          <w:i w:val="0"/>
          <w:iCs w:val="0"/>
          <w:color w:val="auto"/>
        </w:rPr>
        <w:t xml:space="preserve"> The units of </w:t>
      </w:r>
      <w:r w:rsidR="00263072" w:rsidRPr="00ED6C4D">
        <w:rPr>
          <w:rFonts w:asciiTheme="majorHAnsi" w:hAnsiTheme="majorHAnsi" w:cstheme="majorHAnsi"/>
          <w:i w:val="0"/>
          <w:iCs w:val="0"/>
          <w:color w:val="auto"/>
        </w:rPr>
        <w:t xml:space="preserve">these chord diagrams are in EJ. Regions </w:t>
      </w:r>
      <w:r w:rsidRPr="00ED6C4D">
        <w:rPr>
          <w:rFonts w:asciiTheme="majorHAnsi" w:hAnsiTheme="majorHAnsi" w:cstheme="majorHAnsi"/>
          <w:i w:val="0"/>
          <w:iCs w:val="0"/>
          <w:color w:val="auto"/>
        </w:rPr>
        <w:t>are represented as follows: AFR = Africa, CPA = Centrally Planned Asia, EEU = Eastern Europe, LAM = Latin America, MEA = Middle East and North Africa, NAM = North America, PAO = Pacific OECD, PAS = Pacific Asia, RUS = Russia, SAS = South Asia, WEU = Western Europe. The color of the traded volume is identical to the exporter region.</w:t>
      </w:r>
    </w:p>
    <w:p w14:paraId="3CF2D8B6" w14:textId="77777777" w:rsidR="00D01EAF" w:rsidRPr="00ED6C4D" w:rsidRDefault="00D01EAF" w:rsidP="00D01EAF">
      <w:pPr>
        <w:rPr>
          <w:rFonts w:asciiTheme="majorHAnsi" w:hAnsiTheme="majorHAnsi" w:cstheme="majorHAnsi"/>
        </w:rPr>
      </w:pPr>
    </w:p>
    <w:p w14:paraId="7EC2DECE" w14:textId="5785A619" w:rsidR="004E780C" w:rsidRPr="00ED6C4D" w:rsidRDefault="004E780C" w:rsidP="009A2CAF">
      <w:pPr>
        <w:spacing w:line="360" w:lineRule="auto"/>
        <w:ind w:firstLine="720"/>
        <w:rPr>
          <w:rFonts w:asciiTheme="majorHAnsi" w:hAnsiTheme="majorHAnsi" w:cstheme="majorHAnsi"/>
        </w:rPr>
      </w:pPr>
      <w:r w:rsidRPr="00ED6C4D">
        <w:rPr>
          <w:rFonts w:asciiTheme="majorHAnsi" w:hAnsiTheme="majorHAnsi" w:cstheme="majorHAnsi"/>
        </w:rPr>
        <w:t xml:space="preserve">Figure </w:t>
      </w:r>
      <w:r w:rsidR="00ED6C4D">
        <w:rPr>
          <w:rFonts w:asciiTheme="majorHAnsi" w:hAnsiTheme="majorHAnsi" w:cstheme="majorHAnsi"/>
        </w:rPr>
        <w:t>2</w:t>
      </w:r>
      <w:r w:rsidRPr="00ED6C4D">
        <w:rPr>
          <w:rFonts w:asciiTheme="majorHAnsi" w:hAnsiTheme="majorHAnsi" w:cstheme="majorHAnsi"/>
        </w:rPr>
        <w:t xml:space="preserve"> illustrates the total energy trade network. Each chord is colored by the exporting region and represents the </w:t>
      </w:r>
      <w:r w:rsidRPr="00ED6C4D">
        <w:rPr>
          <w:rFonts w:asciiTheme="majorHAnsi" w:hAnsiTheme="majorHAnsi" w:cstheme="majorHAnsi"/>
          <w:i/>
        </w:rPr>
        <w:t>net export flow</w:t>
      </w:r>
      <w:r w:rsidRPr="00ED6C4D">
        <w:rPr>
          <w:rFonts w:asciiTheme="majorHAnsi" w:hAnsiTheme="majorHAnsi" w:cstheme="majorHAnsi"/>
        </w:rPr>
        <w:t>. In other words, if the Middle East (MEA) exports more LNG to North America (NAM) than it imports from NAM, the difference between the MEA</w:t>
      </w:r>
      <w:r w:rsidRPr="00ED6C4D">
        <w:rPr>
          <w:rFonts w:asciiTheme="majorHAnsi" w:hAnsiTheme="majorHAnsi" w:cstheme="majorHAnsi"/>
        </w:rPr>
        <w:sym w:font="Wingdings" w:char="F0E0"/>
      </w:r>
      <w:r w:rsidRPr="00ED6C4D">
        <w:rPr>
          <w:rFonts w:asciiTheme="majorHAnsi" w:hAnsiTheme="majorHAnsi" w:cstheme="majorHAnsi"/>
        </w:rPr>
        <w:t>NAM flow and NAM</w:t>
      </w:r>
      <w:r w:rsidRPr="00ED6C4D">
        <w:rPr>
          <w:rFonts w:asciiTheme="majorHAnsi" w:hAnsiTheme="majorHAnsi" w:cstheme="majorHAnsi"/>
        </w:rPr>
        <w:sym w:font="Wingdings" w:char="F0E0"/>
      </w:r>
      <w:r w:rsidRPr="00ED6C4D">
        <w:rPr>
          <w:rFonts w:asciiTheme="majorHAnsi" w:hAnsiTheme="majorHAnsi" w:cstheme="majorHAnsi"/>
        </w:rPr>
        <w:t>MEA flow will be mapped (i.e. only the remaining MEA</w:t>
      </w:r>
      <w:r w:rsidRPr="00ED6C4D">
        <w:rPr>
          <w:rFonts w:asciiTheme="majorHAnsi" w:hAnsiTheme="majorHAnsi" w:cstheme="majorHAnsi"/>
        </w:rPr>
        <w:sym w:font="Wingdings" w:char="F0E0"/>
      </w:r>
      <w:r w:rsidRPr="00ED6C4D">
        <w:rPr>
          <w:rFonts w:asciiTheme="majorHAnsi" w:hAnsiTheme="majorHAnsi" w:cstheme="majorHAnsi"/>
        </w:rPr>
        <w:t>NAM flow is illustrated). The network represents the total energy trade network, so the chords represent the sum of exports across energy commodities.</w:t>
      </w:r>
    </w:p>
    <w:p w14:paraId="2FB37235" w14:textId="31C6CA02" w:rsidR="009A2CAF" w:rsidRPr="00ED6C4D" w:rsidRDefault="004E780C" w:rsidP="009A2CAF">
      <w:pPr>
        <w:spacing w:line="360" w:lineRule="auto"/>
        <w:ind w:firstLine="720"/>
        <w:rPr>
          <w:rFonts w:asciiTheme="majorHAnsi" w:hAnsiTheme="majorHAnsi" w:cstheme="majorHAnsi"/>
        </w:rPr>
      </w:pPr>
      <w:r w:rsidRPr="00ED6C4D">
        <w:rPr>
          <w:rFonts w:asciiTheme="majorHAnsi" w:hAnsiTheme="majorHAnsi" w:cstheme="majorHAnsi"/>
          <w:i/>
        </w:rPr>
        <w:t xml:space="preserve"> </w:t>
      </w:r>
      <w:r w:rsidR="009A2CAF" w:rsidRPr="00ED6C4D">
        <w:rPr>
          <w:rFonts w:asciiTheme="majorHAnsi" w:hAnsiTheme="majorHAnsi" w:cstheme="majorHAnsi"/>
        </w:rPr>
        <w:t xml:space="preserve">Figure </w:t>
      </w:r>
      <w:r w:rsidR="00ED6C4D">
        <w:rPr>
          <w:rFonts w:asciiTheme="majorHAnsi" w:hAnsiTheme="majorHAnsi" w:cstheme="majorHAnsi"/>
        </w:rPr>
        <w:t>2</w:t>
      </w:r>
      <w:r w:rsidR="009A2CAF" w:rsidRPr="00ED6C4D">
        <w:rPr>
          <w:rFonts w:asciiTheme="majorHAnsi" w:hAnsiTheme="majorHAnsi" w:cstheme="majorHAnsi"/>
        </w:rPr>
        <w:t xml:space="preserve"> suggests that the weight of the global energy trade network shifts from the Middle East to Latin America under an emission</w:t>
      </w:r>
      <w:r w:rsidR="009732DE" w:rsidRPr="00ED6C4D">
        <w:rPr>
          <w:rFonts w:asciiTheme="majorHAnsi" w:hAnsiTheme="majorHAnsi" w:cstheme="majorHAnsi"/>
        </w:rPr>
        <w:t>s</w:t>
      </w:r>
      <w:r w:rsidR="009A2CAF" w:rsidRPr="00ED6C4D">
        <w:rPr>
          <w:rFonts w:asciiTheme="majorHAnsi" w:hAnsiTheme="majorHAnsi" w:cstheme="majorHAnsi"/>
        </w:rPr>
        <w:t xml:space="preserve"> tax. The figure also shows that there is increased complexity under the tax, suggesting that previously dominant flows get spliced into more (and more diverse) linkages. Commodity-specific results presented in Figure </w:t>
      </w:r>
      <w:r w:rsidR="00ED6C4D">
        <w:rPr>
          <w:rFonts w:asciiTheme="majorHAnsi" w:hAnsiTheme="majorHAnsi" w:cstheme="majorHAnsi"/>
        </w:rPr>
        <w:t>3</w:t>
      </w:r>
      <w:r w:rsidR="009A2CAF" w:rsidRPr="00ED6C4D">
        <w:rPr>
          <w:rFonts w:asciiTheme="majorHAnsi" w:hAnsiTheme="majorHAnsi" w:cstheme="majorHAnsi"/>
        </w:rPr>
        <w:t xml:space="preserve"> support this result and suggest that the driving mechanism for the regional shift in energy exports is driven by a shift in demand from crude oil to light oil. In other words, a reduction in the amount of crude oil traded under an emissions tax scenario is largely made up for by an increase in light oil trade. We discuss the mechanisms underlying energy-specific results below. </w:t>
      </w:r>
    </w:p>
    <w:p w14:paraId="0FB78278" w14:textId="67ED9BF6" w:rsidR="00D01EAF" w:rsidRPr="00ED6C4D" w:rsidRDefault="009D696D" w:rsidP="00515904">
      <w:pPr>
        <w:keepNext/>
        <w:spacing w:line="360" w:lineRule="auto"/>
        <w:ind w:hanging="720"/>
        <w:jc w:val="center"/>
        <w:rPr>
          <w:rFonts w:asciiTheme="majorHAnsi" w:hAnsiTheme="majorHAnsi" w:cstheme="majorHAnsi"/>
        </w:rPr>
      </w:pPr>
      <w:r w:rsidRPr="00ED6C4D">
        <w:rPr>
          <w:rFonts w:asciiTheme="majorHAnsi" w:hAnsiTheme="majorHAnsi" w:cstheme="majorHAnsi"/>
          <w:noProof/>
        </w:rPr>
        <w:lastRenderedPageBreak/>
        <w:drawing>
          <wp:inline distT="0" distB="0" distL="0" distR="0" wp14:anchorId="218512F2" wp14:editId="7CE1156F">
            <wp:extent cx="5641268" cy="7034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4711" cy="7039003"/>
                    </a:xfrm>
                    <a:prstGeom prst="rect">
                      <a:avLst/>
                    </a:prstGeom>
                  </pic:spPr>
                </pic:pic>
              </a:graphicData>
            </a:graphic>
          </wp:inline>
        </w:drawing>
      </w:r>
    </w:p>
    <w:p w14:paraId="6B00E379" w14:textId="6FA48147" w:rsidR="00D01EAF" w:rsidRPr="00ED6C4D" w:rsidRDefault="00D01EAF" w:rsidP="009732DE">
      <w:pPr>
        <w:pStyle w:val="Caption"/>
        <w:jc w:val="both"/>
        <w:rPr>
          <w:rFonts w:asciiTheme="majorHAnsi" w:hAnsiTheme="majorHAnsi" w:cstheme="majorHAnsi"/>
          <w:i w:val="0"/>
          <w:iCs w:val="0"/>
          <w:color w:val="auto"/>
        </w:rPr>
      </w:pPr>
      <w:r w:rsidRPr="00ED6C4D">
        <w:rPr>
          <w:rFonts w:asciiTheme="majorHAnsi" w:hAnsiTheme="majorHAnsi" w:cstheme="majorHAnsi"/>
          <w:b/>
          <w:bCs/>
          <w:i w:val="0"/>
          <w:iCs w:val="0"/>
          <w:color w:val="auto"/>
        </w:rPr>
        <w:t>Fig.</w:t>
      </w:r>
      <w:r w:rsidR="00DD7115" w:rsidRPr="00ED6C4D">
        <w:rPr>
          <w:rFonts w:asciiTheme="majorHAnsi" w:hAnsiTheme="majorHAnsi" w:cstheme="majorHAnsi"/>
          <w:b/>
          <w:bCs/>
          <w:i w:val="0"/>
          <w:iCs w:val="0"/>
          <w:color w:val="auto"/>
        </w:rPr>
        <w:t xml:space="preserve"> </w:t>
      </w:r>
      <w:r w:rsidR="00ED6C4D">
        <w:rPr>
          <w:rFonts w:asciiTheme="majorHAnsi" w:hAnsiTheme="majorHAnsi" w:cstheme="majorHAnsi"/>
          <w:b/>
          <w:bCs/>
          <w:i w:val="0"/>
          <w:iCs w:val="0"/>
          <w:color w:val="auto"/>
        </w:rPr>
        <w:t>3</w:t>
      </w:r>
      <w:r w:rsidRPr="00ED6C4D">
        <w:rPr>
          <w:rFonts w:asciiTheme="majorHAnsi" w:hAnsiTheme="majorHAnsi" w:cstheme="majorHAnsi"/>
          <w:b/>
          <w:bCs/>
          <w:i w:val="0"/>
          <w:iCs w:val="0"/>
          <w:color w:val="auto"/>
        </w:rPr>
        <w:t>.</w:t>
      </w:r>
      <w:r w:rsidRPr="00ED6C4D">
        <w:rPr>
          <w:rFonts w:asciiTheme="majorHAnsi" w:hAnsiTheme="majorHAnsi" w:cstheme="majorHAnsi"/>
          <w:i w:val="0"/>
          <w:iCs w:val="0"/>
          <w:color w:val="auto"/>
        </w:rPr>
        <w:t xml:space="preserve"> </w:t>
      </w:r>
      <w:r w:rsidRPr="00ED6C4D">
        <w:rPr>
          <w:rFonts w:asciiTheme="majorHAnsi" w:hAnsiTheme="majorHAnsi" w:cstheme="majorHAnsi"/>
          <w:b/>
          <w:i w:val="0"/>
          <w:iCs w:val="0"/>
          <w:color w:val="auto"/>
        </w:rPr>
        <w:t>Trade networks in 2050 under the baseline scenario (left column) and emissions tax scenario (right column).</w:t>
      </w:r>
      <w:r w:rsidRPr="00ED6C4D">
        <w:rPr>
          <w:rFonts w:asciiTheme="majorHAnsi" w:hAnsiTheme="majorHAnsi" w:cstheme="majorHAnsi"/>
          <w:i w:val="0"/>
          <w:iCs w:val="0"/>
          <w:color w:val="auto"/>
        </w:rPr>
        <w:t xml:space="preserve"> (a) </w:t>
      </w:r>
      <w:proofErr w:type="gramStart"/>
      <w:r w:rsidRPr="00ED6C4D">
        <w:rPr>
          <w:rFonts w:asciiTheme="majorHAnsi" w:hAnsiTheme="majorHAnsi" w:cstheme="majorHAnsi"/>
          <w:i w:val="0"/>
          <w:iCs w:val="0"/>
          <w:color w:val="auto"/>
        </w:rPr>
        <w:t>and</w:t>
      </w:r>
      <w:proofErr w:type="gramEnd"/>
      <w:r w:rsidRPr="00ED6C4D">
        <w:rPr>
          <w:rFonts w:asciiTheme="majorHAnsi" w:hAnsiTheme="majorHAnsi" w:cstheme="majorHAnsi"/>
          <w:i w:val="0"/>
          <w:iCs w:val="0"/>
          <w:color w:val="auto"/>
        </w:rPr>
        <w:t xml:space="preserve"> (b) represent coal trade, (c) and (d) represent crude oil trade, (e) and (f) represent </w:t>
      </w:r>
      <w:r w:rsidR="007927B3" w:rsidRPr="00ED6C4D">
        <w:rPr>
          <w:rFonts w:asciiTheme="majorHAnsi" w:hAnsiTheme="majorHAnsi" w:cstheme="majorHAnsi"/>
          <w:i w:val="0"/>
          <w:iCs w:val="0"/>
          <w:color w:val="auto"/>
        </w:rPr>
        <w:t>ethanol</w:t>
      </w:r>
      <w:r w:rsidRPr="00ED6C4D">
        <w:rPr>
          <w:rFonts w:asciiTheme="majorHAnsi" w:hAnsiTheme="majorHAnsi" w:cstheme="majorHAnsi"/>
          <w:i w:val="0"/>
          <w:iCs w:val="0"/>
          <w:color w:val="auto"/>
        </w:rPr>
        <w:t xml:space="preserve"> trade, (g) and (h) represent </w:t>
      </w:r>
      <w:r w:rsidR="007927B3" w:rsidRPr="00ED6C4D">
        <w:rPr>
          <w:rFonts w:asciiTheme="majorHAnsi" w:hAnsiTheme="majorHAnsi" w:cstheme="majorHAnsi"/>
          <w:i w:val="0"/>
          <w:iCs w:val="0"/>
          <w:color w:val="auto"/>
        </w:rPr>
        <w:t>fuel</w:t>
      </w:r>
      <w:r w:rsidRPr="00ED6C4D">
        <w:rPr>
          <w:rFonts w:asciiTheme="majorHAnsi" w:hAnsiTheme="majorHAnsi" w:cstheme="majorHAnsi"/>
          <w:i w:val="0"/>
          <w:iCs w:val="0"/>
          <w:color w:val="auto"/>
        </w:rPr>
        <w:t xml:space="preserve"> oil trade, (</w:t>
      </w:r>
      <w:proofErr w:type="spellStart"/>
      <w:r w:rsidRPr="00ED6C4D">
        <w:rPr>
          <w:rFonts w:asciiTheme="majorHAnsi" w:hAnsiTheme="majorHAnsi" w:cstheme="majorHAnsi"/>
          <w:i w:val="0"/>
          <w:iCs w:val="0"/>
          <w:color w:val="auto"/>
        </w:rPr>
        <w:t>i</w:t>
      </w:r>
      <w:proofErr w:type="spellEnd"/>
      <w:r w:rsidRPr="00ED6C4D">
        <w:rPr>
          <w:rFonts w:asciiTheme="majorHAnsi" w:hAnsiTheme="majorHAnsi" w:cstheme="majorHAnsi"/>
          <w:i w:val="0"/>
          <w:iCs w:val="0"/>
          <w:color w:val="auto"/>
        </w:rPr>
        <w:t xml:space="preserve">) and (j) represent </w:t>
      </w:r>
      <w:r w:rsidR="007927B3" w:rsidRPr="00ED6C4D">
        <w:rPr>
          <w:rFonts w:asciiTheme="majorHAnsi" w:hAnsiTheme="majorHAnsi" w:cstheme="majorHAnsi"/>
          <w:i w:val="0"/>
          <w:iCs w:val="0"/>
          <w:color w:val="auto"/>
        </w:rPr>
        <w:t>light oil</w:t>
      </w:r>
      <w:r w:rsidRPr="00ED6C4D">
        <w:rPr>
          <w:rFonts w:asciiTheme="majorHAnsi" w:hAnsiTheme="majorHAnsi" w:cstheme="majorHAnsi"/>
          <w:i w:val="0"/>
          <w:iCs w:val="0"/>
          <w:color w:val="auto"/>
        </w:rPr>
        <w:t xml:space="preserve"> trade</w:t>
      </w:r>
      <w:r w:rsidR="007927B3" w:rsidRPr="00ED6C4D">
        <w:rPr>
          <w:rFonts w:asciiTheme="majorHAnsi" w:hAnsiTheme="majorHAnsi" w:cstheme="majorHAnsi"/>
          <w:i w:val="0"/>
          <w:iCs w:val="0"/>
          <w:color w:val="auto"/>
        </w:rPr>
        <w:t>, and (k) and (l) represent LNG trade</w:t>
      </w:r>
      <w:r w:rsidRPr="00ED6C4D">
        <w:rPr>
          <w:rFonts w:asciiTheme="majorHAnsi" w:hAnsiTheme="majorHAnsi" w:cstheme="majorHAnsi"/>
          <w:i w:val="0"/>
          <w:iCs w:val="0"/>
          <w:color w:val="auto"/>
        </w:rPr>
        <w:t>. Total trade for the given energy commodity is given in the corresponding box in EJ.</w:t>
      </w:r>
      <w:r w:rsidR="009D696D" w:rsidRPr="00ED6C4D">
        <w:rPr>
          <w:rFonts w:asciiTheme="majorHAnsi" w:hAnsiTheme="majorHAnsi" w:cstheme="majorHAnsi"/>
          <w:i w:val="0"/>
          <w:iCs w:val="0"/>
          <w:color w:val="auto"/>
        </w:rPr>
        <w:t xml:space="preserve"> (m) </w:t>
      </w:r>
      <w:proofErr w:type="gramStart"/>
      <w:r w:rsidR="009D696D" w:rsidRPr="00ED6C4D">
        <w:rPr>
          <w:rFonts w:asciiTheme="majorHAnsi" w:hAnsiTheme="majorHAnsi" w:cstheme="majorHAnsi"/>
          <w:i w:val="0"/>
          <w:iCs w:val="0"/>
          <w:color w:val="auto"/>
        </w:rPr>
        <w:t>illustrates</w:t>
      </w:r>
      <w:proofErr w:type="gramEnd"/>
      <w:r w:rsidR="009D696D" w:rsidRPr="00ED6C4D">
        <w:rPr>
          <w:rFonts w:asciiTheme="majorHAnsi" w:hAnsiTheme="majorHAnsi" w:cstheme="majorHAnsi"/>
          <w:i w:val="0"/>
          <w:iCs w:val="0"/>
          <w:color w:val="auto"/>
        </w:rPr>
        <w:t xml:space="preserve"> the comparison between the two scenarios in terms of total trade size, by energy commodity. </w:t>
      </w:r>
    </w:p>
    <w:p w14:paraId="1FC39945" w14:textId="77777777" w:rsidR="00DD7115" w:rsidRPr="00ED6C4D" w:rsidRDefault="00DD7115" w:rsidP="00DD7115">
      <w:pPr>
        <w:rPr>
          <w:rFonts w:asciiTheme="majorHAnsi" w:hAnsiTheme="majorHAnsi" w:cstheme="majorHAnsi"/>
          <w:lang w:eastAsia="en-US"/>
        </w:rPr>
      </w:pPr>
    </w:p>
    <w:p w14:paraId="27C11939" w14:textId="134DA2A0" w:rsidR="00D432CC" w:rsidRPr="00ED6C4D" w:rsidRDefault="00792B6B" w:rsidP="00D01EAF">
      <w:pPr>
        <w:spacing w:line="360" w:lineRule="auto"/>
        <w:ind w:firstLine="720"/>
        <w:rPr>
          <w:rFonts w:asciiTheme="majorHAnsi" w:hAnsiTheme="majorHAnsi" w:cstheme="majorHAnsi"/>
        </w:rPr>
      </w:pPr>
      <w:r w:rsidRPr="00ED6C4D">
        <w:rPr>
          <w:rFonts w:asciiTheme="majorHAnsi" w:hAnsiTheme="majorHAnsi" w:cstheme="majorHAnsi"/>
        </w:rPr>
        <w:lastRenderedPageBreak/>
        <w:t xml:space="preserve">For coal, we observe a stark reduction in the size of the global energy trade network. This is an </w:t>
      </w:r>
      <w:r w:rsidR="00AB15DC" w:rsidRPr="00ED6C4D">
        <w:rPr>
          <w:rFonts w:asciiTheme="majorHAnsi" w:hAnsiTheme="majorHAnsi" w:cstheme="majorHAnsi"/>
        </w:rPr>
        <w:t>intuitive</w:t>
      </w:r>
      <w:r w:rsidRPr="00ED6C4D">
        <w:rPr>
          <w:rFonts w:asciiTheme="majorHAnsi" w:hAnsiTheme="majorHAnsi" w:cstheme="majorHAnsi"/>
        </w:rPr>
        <w:t xml:space="preserve"> result; under an emissions tax, a lot less coal moves through international trade because it becomes more expensive to use </w:t>
      </w:r>
      <w:r w:rsidR="00AB15DC" w:rsidRPr="00ED6C4D">
        <w:rPr>
          <w:rFonts w:asciiTheme="majorHAnsi" w:hAnsiTheme="majorHAnsi" w:cstheme="majorHAnsi"/>
        </w:rPr>
        <w:t>(</w:t>
      </w:r>
      <w:r w:rsidRPr="00ED6C4D">
        <w:rPr>
          <w:rFonts w:asciiTheme="majorHAnsi" w:hAnsiTheme="majorHAnsi" w:cstheme="majorHAnsi"/>
        </w:rPr>
        <w:t xml:space="preserve">importers are assigned the emissions associated with the </w:t>
      </w:r>
      <w:r w:rsidR="00710653" w:rsidRPr="00ED6C4D">
        <w:rPr>
          <w:rFonts w:asciiTheme="majorHAnsi" w:hAnsiTheme="majorHAnsi" w:cstheme="majorHAnsi"/>
        </w:rPr>
        <w:t xml:space="preserve">trade of each </w:t>
      </w:r>
      <w:r w:rsidRPr="00ED6C4D">
        <w:rPr>
          <w:rFonts w:asciiTheme="majorHAnsi" w:hAnsiTheme="majorHAnsi" w:cstheme="majorHAnsi"/>
        </w:rPr>
        <w:t xml:space="preserve">energy commodity). However, in addition to reducing the amount of coal traded, an emissions tax has a secondary effect of making the network far more complex. Under the baseline scenario, there are </w:t>
      </w:r>
      <w:r w:rsidR="004159B2" w:rsidRPr="00ED6C4D">
        <w:rPr>
          <w:rFonts w:asciiTheme="majorHAnsi" w:hAnsiTheme="majorHAnsi" w:cstheme="majorHAnsi"/>
        </w:rPr>
        <w:t>10</w:t>
      </w:r>
      <w:r w:rsidRPr="00ED6C4D">
        <w:rPr>
          <w:rFonts w:asciiTheme="majorHAnsi" w:hAnsiTheme="majorHAnsi" w:cstheme="majorHAnsi"/>
        </w:rPr>
        <w:t xml:space="preserve"> trade linkages. The linkages are dominated by flows from </w:t>
      </w:r>
      <w:r w:rsidR="00D432CC" w:rsidRPr="00ED6C4D">
        <w:rPr>
          <w:rFonts w:asciiTheme="majorHAnsi" w:hAnsiTheme="majorHAnsi" w:cstheme="majorHAnsi"/>
        </w:rPr>
        <w:t>Centrally Planned Asia</w:t>
      </w:r>
      <w:r w:rsidRPr="00ED6C4D">
        <w:rPr>
          <w:rFonts w:asciiTheme="majorHAnsi" w:hAnsiTheme="majorHAnsi" w:cstheme="majorHAnsi"/>
        </w:rPr>
        <w:t xml:space="preserve"> and Pacific OECD (i.e. Australia) to Pacific Asia, and from Russia to Western Europe. Under an emission</w:t>
      </w:r>
      <w:r w:rsidR="009732DE" w:rsidRPr="00ED6C4D">
        <w:rPr>
          <w:rFonts w:asciiTheme="majorHAnsi" w:hAnsiTheme="majorHAnsi" w:cstheme="majorHAnsi"/>
        </w:rPr>
        <w:t>s</w:t>
      </w:r>
      <w:r w:rsidRPr="00ED6C4D">
        <w:rPr>
          <w:rFonts w:asciiTheme="majorHAnsi" w:hAnsiTheme="majorHAnsi" w:cstheme="majorHAnsi"/>
        </w:rPr>
        <w:t xml:space="preserve"> tax, there are </w:t>
      </w:r>
      <w:r w:rsidR="004159B2" w:rsidRPr="00ED6C4D">
        <w:rPr>
          <w:rFonts w:asciiTheme="majorHAnsi" w:hAnsiTheme="majorHAnsi" w:cstheme="majorHAnsi"/>
        </w:rPr>
        <w:t>33</w:t>
      </w:r>
      <w:r w:rsidRPr="00ED6C4D">
        <w:rPr>
          <w:rFonts w:asciiTheme="majorHAnsi" w:hAnsiTheme="majorHAnsi" w:cstheme="majorHAnsi"/>
        </w:rPr>
        <w:t xml:space="preserve"> trade linkages. With the exception of a large flow from Pacific OECD from Western Europe, there are no dominating linkages in the network. Of course, the size of the flow here is also relative; the Pacific OECD-Western Europe flow under an emission</w:t>
      </w:r>
      <w:r w:rsidR="009732DE" w:rsidRPr="00ED6C4D">
        <w:rPr>
          <w:rFonts w:asciiTheme="majorHAnsi" w:hAnsiTheme="majorHAnsi" w:cstheme="majorHAnsi"/>
        </w:rPr>
        <w:t>s</w:t>
      </w:r>
      <w:r w:rsidRPr="00ED6C4D">
        <w:rPr>
          <w:rFonts w:asciiTheme="majorHAnsi" w:hAnsiTheme="majorHAnsi" w:cstheme="majorHAnsi"/>
        </w:rPr>
        <w:t xml:space="preserve"> tax is </w:t>
      </w:r>
      <w:r w:rsidR="004159B2" w:rsidRPr="00ED6C4D">
        <w:rPr>
          <w:rFonts w:asciiTheme="majorHAnsi" w:hAnsiTheme="majorHAnsi" w:cstheme="majorHAnsi"/>
        </w:rPr>
        <w:t>1.05</w:t>
      </w:r>
      <w:r w:rsidRPr="00ED6C4D">
        <w:rPr>
          <w:rFonts w:asciiTheme="majorHAnsi" w:hAnsiTheme="majorHAnsi" w:cstheme="majorHAnsi"/>
        </w:rPr>
        <w:t xml:space="preserve">EJ while the Pacific OECD-Pacific Asia flow, the largest under the baseline scenario, is </w:t>
      </w:r>
      <w:r w:rsidR="004159B2" w:rsidRPr="00ED6C4D">
        <w:rPr>
          <w:rFonts w:asciiTheme="majorHAnsi" w:hAnsiTheme="majorHAnsi" w:cstheme="majorHAnsi"/>
        </w:rPr>
        <w:t>6.57</w:t>
      </w:r>
      <w:r w:rsidRPr="00ED6C4D">
        <w:rPr>
          <w:rFonts w:asciiTheme="majorHAnsi" w:hAnsiTheme="majorHAnsi" w:cstheme="majorHAnsi"/>
        </w:rPr>
        <w:t xml:space="preserve">EJ. </w:t>
      </w:r>
      <w:r w:rsidR="00F76C72" w:rsidRPr="00ED6C4D">
        <w:rPr>
          <w:rFonts w:asciiTheme="majorHAnsi" w:hAnsiTheme="majorHAnsi" w:cstheme="majorHAnsi"/>
        </w:rPr>
        <w:t xml:space="preserve">We find that this occurs because </w:t>
      </w:r>
      <w:r w:rsidR="00D432CC" w:rsidRPr="00ED6C4D">
        <w:rPr>
          <w:rFonts w:asciiTheme="majorHAnsi" w:hAnsiTheme="majorHAnsi" w:cstheme="majorHAnsi"/>
        </w:rPr>
        <w:t xml:space="preserve">major coal producing regions </w:t>
      </w:r>
      <w:r w:rsidR="000E3035" w:rsidRPr="00ED6C4D">
        <w:rPr>
          <w:rFonts w:asciiTheme="majorHAnsi" w:hAnsiTheme="majorHAnsi" w:cstheme="majorHAnsi"/>
        </w:rPr>
        <w:t>reduce extraction activities</w:t>
      </w:r>
      <w:r w:rsidR="003E04C6" w:rsidRPr="00ED6C4D">
        <w:rPr>
          <w:rFonts w:asciiTheme="majorHAnsi" w:hAnsiTheme="majorHAnsi" w:cstheme="majorHAnsi"/>
        </w:rPr>
        <w:t xml:space="preserve"> gradually through 2050. This is because the tax rate increases over time. </w:t>
      </w:r>
      <w:r w:rsidR="00D432CC" w:rsidRPr="00ED6C4D">
        <w:rPr>
          <w:rFonts w:asciiTheme="majorHAnsi" w:hAnsiTheme="majorHAnsi" w:cstheme="majorHAnsi"/>
        </w:rPr>
        <w:t>By 2050,</w:t>
      </w:r>
      <w:r w:rsidR="003E04C6" w:rsidRPr="00ED6C4D">
        <w:rPr>
          <w:rFonts w:asciiTheme="majorHAnsi" w:hAnsiTheme="majorHAnsi" w:cstheme="majorHAnsi"/>
        </w:rPr>
        <w:t xml:space="preserve"> there is virtually no coal production across regions and exports are based entirely on stocks from previous years.</w:t>
      </w:r>
      <w:r w:rsidR="00D432CC" w:rsidRPr="00ED6C4D">
        <w:rPr>
          <w:rFonts w:asciiTheme="majorHAnsi" w:hAnsiTheme="majorHAnsi" w:cstheme="majorHAnsi"/>
        </w:rPr>
        <w:t xml:space="preserve">   </w:t>
      </w:r>
    </w:p>
    <w:p w14:paraId="7B521725" w14:textId="68A37801" w:rsidR="003E04C6" w:rsidRPr="00ED6C4D" w:rsidRDefault="003E04C6" w:rsidP="00D01EAF">
      <w:pPr>
        <w:spacing w:line="360" w:lineRule="auto"/>
        <w:ind w:firstLine="720"/>
        <w:rPr>
          <w:rFonts w:asciiTheme="majorHAnsi" w:hAnsiTheme="majorHAnsi" w:cstheme="majorHAnsi"/>
        </w:rPr>
      </w:pPr>
      <w:r w:rsidRPr="00ED6C4D">
        <w:rPr>
          <w:rFonts w:asciiTheme="majorHAnsi" w:hAnsiTheme="majorHAnsi" w:cstheme="majorHAnsi"/>
        </w:rPr>
        <w:t xml:space="preserve">The shift away from crude oil is coupled with a dramatic increase </w:t>
      </w:r>
      <w:r w:rsidR="00A4666A" w:rsidRPr="00ED6C4D">
        <w:rPr>
          <w:rFonts w:asciiTheme="majorHAnsi" w:hAnsiTheme="majorHAnsi" w:cstheme="majorHAnsi"/>
        </w:rPr>
        <w:t>the global light oil trade network</w:t>
      </w:r>
      <w:r w:rsidRPr="00ED6C4D">
        <w:rPr>
          <w:rFonts w:asciiTheme="majorHAnsi" w:hAnsiTheme="majorHAnsi" w:cstheme="majorHAnsi"/>
        </w:rPr>
        <w:t xml:space="preserve">. Light oil is a low-density </w:t>
      </w:r>
      <w:r w:rsidR="00D15230" w:rsidRPr="00ED6C4D">
        <w:rPr>
          <w:rFonts w:asciiTheme="majorHAnsi" w:hAnsiTheme="majorHAnsi" w:cstheme="majorHAnsi"/>
        </w:rPr>
        <w:t>product of crude oil refining</w:t>
      </w:r>
      <w:r w:rsidR="00AB15DC" w:rsidRPr="00ED6C4D">
        <w:rPr>
          <w:rFonts w:asciiTheme="majorHAnsi" w:hAnsiTheme="majorHAnsi" w:cstheme="majorHAnsi"/>
        </w:rPr>
        <w:t xml:space="preserve"> or </w:t>
      </w:r>
      <w:r w:rsidR="00D15230" w:rsidRPr="00ED6C4D">
        <w:rPr>
          <w:rFonts w:asciiTheme="majorHAnsi" w:hAnsiTheme="majorHAnsi" w:cstheme="majorHAnsi"/>
        </w:rPr>
        <w:t xml:space="preserve">coal </w:t>
      </w:r>
      <w:proofErr w:type="spellStart"/>
      <w:r w:rsidR="00D15230" w:rsidRPr="00ED6C4D">
        <w:rPr>
          <w:rFonts w:asciiTheme="majorHAnsi" w:hAnsiTheme="majorHAnsi" w:cstheme="majorHAnsi"/>
        </w:rPr>
        <w:t>liquefication</w:t>
      </w:r>
      <w:proofErr w:type="spellEnd"/>
      <w:r w:rsidR="00D15230" w:rsidRPr="00ED6C4D">
        <w:rPr>
          <w:rFonts w:asciiTheme="majorHAnsi" w:hAnsiTheme="majorHAnsi" w:cstheme="majorHAnsi"/>
        </w:rPr>
        <w:t xml:space="preserve">. </w:t>
      </w:r>
      <w:r w:rsidR="00A4666A" w:rsidRPr="00ED6C4D">
        <w:rPr>
          <w:rFonts w:asciiTheme="majorHAnsi" w:hAnsiTheme="majorHAnsi" w:cstheme="majorHAnsi"/>
        </w:rPr>
        <w:t xml:space="preserve">As an importer, it is more strategic to import light oil over crude oil, even </w:t>
      </w:r>
      <w:r w:rsidR="00710653" w:rsidRPr="00ED6C4D">
        <w:rPr>
          <w:rFonts w:asciiTheme="majorHAnsi" w:hAnsiTheme="majorHAnsi" w:cstheme="majorHAnsi"/>
        </w:rPr>
        <w:t>when</w:t>
      </w:r>
      <w:r w:rsidR="00A4666A" w:rsidRPr="00ED6C4D">
        <w:rPr>
          <w:rFonts w:asciiTheme="majorHAnsi" w:hAnsiTheme="majorHAnsi" w:cstheme="majorHAnsi"/>
        </w:rPr>
        <w:t xml:space="preserve"> light oil is</w:t>
      </w:r>
      <w:r w:rsidR="00AB15DC" w:rsidRPr="00ED6C4D">
        <w:rPr>
          <w:rFonts w:asciiTheme="majorHAnsi" w:hAnsiTheme="majorHAnsi" w:cstheme="majorHAnsi"/>
        </w:rPr>
        <w:t xml:space="preserve"> simply</w:t>
      </w:r>
      <w:r w:rsidR="00A4666A" w:rsidRPr="00ED6C4D">
        <w:rPr>
          <w:rFonts w:asciiTheme="majorHAnsi" w:hAnsiTheme="majorHAnsi" w:cstheme="majorHAnsi"/>
        </w:rPr>
        <w:t xml:space="preserve"> a secondary product of crude, because </w:t>
      </w:r>
      <w:r w:rsidR="00D451AE" w:rsidRPr="00ED6C4D">
        <w:rPr>
          <w:rFonts w:asciiTheme="majorHAnsi" w:hAnsiTheme="majorHAnsi" w:cstheme="majorHAnsi"/>
        </w:rPr>
        <w:t xml:space="preserve">the emissions factor is significantly lower. </w:t>
      </w:r>
      <w:r w:rsidR="00B62618" w:rsidRPr="00ED6C4D">
        <w:rPr>
          <w:rFonts w:asciiTheme="majorHAnsi" w:hAnsiTheme="majorHAnsi" w:cstheme="majorHAnsi"/>
        </w:rPr>
        <w:t>Our results indicate that the under the emission</w:t>
      </w:r>
      <w:r w:rsidR="009732DE" w:rsidRPr="00ED6C4D">
        <w:rPr>
          <w:rFonts w:asciiTheme="majorHAnsi" w:hAnsiTheme="majorHAnsi" w:cstheme="majorHAnsi"/>
        </w:rPr>
        <w:t>s</w:t>
      </w:r>
      <w:r w:rsidR="00B62618" w:rsidRPr="00ED6C4D">
        <w:rPr>
          <w:rFonts w:asciiTheme="majorHAnsi" w:hAnsiTheme="majorHAnsi" w:cstheme="majorHAnsi"/>
        </w:rPr>
        <w:t xml:space="preserve"> tax scenario, the Middle East increases its light oil production dramatically</w:t>
      </w:r>
      <w:r w:rsidR="00D451AE" w:rsidRPr="00ED6C4D">
        <w:rPr>
          <w:rFonts w:asciiTheme="majorHAnsi" w:hAnsiTheme="majorHAnsi" w:cstheme="majorHAnsi"/>
        </w:rPr>
        <w:t xml:space="preserve"> using low-yield existing refineries to</w:t>
      </w:r>
      <w:r w:rsidR="00B62618" w:rsidRPr="00ED6C4D">
        <w:rPr>
          <w:rFonts w:asciiTheme="majorHAnsi" w:hAnsiTheme="majorHAnsi" w:cstheme="majorHAnsi"/>
        </w:rPr>
        <w:t xml:space="preserve"> compensate for the reduction in crude oil demand overseas.</w:t>
      </w:r>
      <w:r w:rsidR="00D451AE" w:rsidRPr="00ED6C4D">
        <w:rPr>
          <w:rFonts w:asciiTheme="majorHAnsi" w:hAnsiTheme="majorHAnsi" w:cstheme="majorHAnsi"/>
        </w:rPr>
        <w:t xml:space="preserve"> </w:t>
      </w:r>
      <w:r w:rsidR="00274BC5" w:rsidRPr="00ED6C4D">
        <w:rPr>
          <w:rFonts w:asciiTheme="majorHAnsi" w:hAnsiTheme="majorHAnsi" w:cstheme="majorHAnsi"/>
        </w:rPr>
        <w:t xml:space="preserve">This is combined with a dramatic increase in the use of light oil synthesis with carbon capture and sequestration (CCS). </w:t>
      </w:r>
      <w:r w:rsidR="00B62618" w:rsidRPr="00ED6C4D">
        <w:rPr>
          <w:rFonts w:asciiTheme="majorHAnsi" w:hAnsiTheme="majorHAnsi" w:cstheme="majorHAnsi"/>
        </w:rPr>
        <w:t>On the other hand, Latin America gradually increases its light oil production</w:t>
      </w:r>
      <w:r w:rsidR="00D451AE" w:rsidRPr="00ED6C4D">
        <w:rPr>
          <w:rFonts w:asciiTheme="majorHAnsi" w:hAnsiTheme="majorHAnsi" w:cstheme="majorHAnsi"/>
        </w:rPr>
        <w:t xml:space="preserve"> by increasingly investing in </w:t>
      </w:r>
      <w:r w:rsidR="00AB15DC" w:rsidRPr="00ED6C4D">
        <w:rPr>
          <w:rFonts w:asciiTheme="majorHAnsi" w:hAnsiTheme="majorHAnsi" w:cstheme="majorHAnsi"/>
        </w:rPr>
        <w:t xml:space="preserve">new </w:t>
      </w:r>
      <w:r w:rsidR="00D451AE" w:rsidRPr="00ED6C4D">
        <w:rPr>
          <w:rFonts w:asciiTheme="majorHAnsi" w:hAnsiTheme="majorHAnsi" w:cstheme="majorHAnsi"/>
        </w:rPr>
        <w:t>higher-yield refineries</w:t>
      </w:r>
      <w:r w:rsidR="00274BC5" w:rsidRPr="00ED6C4D">
        <w:rPr>
          <w:rFonts w:asciiTheme="majorHAnsi" w:hAnsiTheme="majorHAnsi" w:cstheme="majorHAnsi"/>
        </w:rPr>
        <w:t xml:space="preserve"> and CCS</w:t>
      </w:r>
      <w:r w:rsidR="00B62618" w:rsidRPr="00ED6C4D">
        <w:rPr>
          <w:rFonts w:asciiTheme="majorHAnsi" w:hAnsiTheme="majorHAnsi" w:cstheme="majorHAnsi"/>
        </w:rPr>
        <w:t>.</w:t>
      </w:r>
      <w:r w:rsidR="00D451AE" w:rsidRPr="00ED6C4D">
        <w:rPr>
          <w:rFonts w:asciiTheme="majorHAnsi" w:hAnsiTheme="majorHAnsi" w:cstheme="majorHAnsi"/>
        </w:rPr>
        <w:t xml:space="preserve"> In </w:t>
      </w:r>
      <w:proofErr w:type="spellStart"/>
      <w:r w:rsidR="00D451AE" w:rsidRPr="00ED6C4D">
        <w:rPr>
          <w:rFonts w:asciiTheme="majorHAnsi" w:hAnsiTheme="majorHAnsi" w:cstheme="majorHAnsi"/>
        </w:rPr>
        <w:t>MESSAGEix</w:t>
      </w:r>
      <w:proofErr w:type="spellEnd"/>
      <w:r w:rsidR="00D451AE" w:rsidRPr="00ED6C4D">
        <w:rPr>
          <w:rFonts w:asciiTheme="majorHAnsi" w:hAnsiTheme="majorHAnsi" w:cstheme="majorHAnsi"/>
        </w:rPr>
        <w:t xml:space="preserve">, these higher-yield refineries are modeled to have a light oil yield that is 50% greater than that of existing refinery technologies. </w:t>
      </w:r>
      <w:r w:rsidR="00B62618" w:rsidRPr="00ED6C4D">
        <w:rPr>
          <w:rFonts w:asciiTheme="majorHAnsi" w:hAnsiTheme="majorHAnsi" w:cstheme="majorHAnsi"/>
        </w:rPr>
        <w:t xml:space="preserve">Over time, </w:t>
      </w:r>
      <w:r w:rsidR="00A82468" w:rsidRPr="00ED6C4D">
        <w:rPr>
          <w:rFonts w:asciiTheme="majorHAnsi" w:hAnsiTheme="majorHAnsi" w:cstheme="majorHAnsi"/>
        </w:rPr>
        <w:t>Latin America eclipses the Middle East as the dominant light oil exporting region</w:t>
      </w:r>
      <w:r w:rsidR="00B62618" w:rsidRPr="00ED6C4D">
        <w:rPr>
          <w:rFonts w:asciiTheme="majorHAnsi" w:hAnsiTheme="majorHAnsi" w:cstheme="majorHAnsi"/>
        </w:rPr>
        <w:t xml:space="preserve">. </w:t>
      </w:r>
    </w:p>
    <w:p w14:paraId="77AEA517" w14:textId="77777777" w:rsidR="00EA5256" w:rsidRPr="00ED6C4D" w:rsidRDefault="00A82468" w:rsidP="001714E6">
      <w:pPr>
        <w:spacing w:line="360" w:lineRule="auto"/>
        <w:ind w:firstLine="720"/>
        <w:rPr>
          <w:rFonts w:asciiTheme="majorHAnsi" w:hAnsiTheme="majorHAnsi" w:cstheme="majorHAnsi"/>
        </w:rPr>
      </w:pPr>
      <w:r w:rsidRPr="00ED6C4D">
        <w:rPr>
          <w:rFonts w:asciiTheme="majorHAnsi" w:hAnsiTheme="majorHAnsi" w:cstheme="majorHAnsi"/>
        </w:rPr>
        <w:t xml:space="preserve">The size of the LNG trade network contracts significantly under the emissions tax scenario. At the same time, the major exporters shift from Russia and the Middle East to North America and Latin America. </w:t>
      </w:r>
      <w:r w:rsidR="001714E6" w:rsidRPr="00ED6C4D">
        <w:rPr>
          <w:rFonts w:asciiTheme="majorHAnsi" w:hAnsiTheme="majorHAnsi" w:cstheme="majorHAnsi"/>
        </w:rPr>
        <w:t xml:space="preserve">Unlike crude oil, which exhibits a marked reduction in trade, LNG simply does not “take off” under an emissions tax scenario. Its import demand, while increasing slightly in the short term, remains relatively low. The demand for ethanol imports increases slightly over time under the emissions tax scenario, while the demand for fuel oil declines. </w:t>
      </w:r>
    </w:p>
    <w:p w14:paraId="06A96067" w14:textId="322631BA" w:rsidR="00EA5256" w:rsidRPr="00ED6C4D" w:rsidRDefault="001714E6" w:rsidP="00EA5256">
      <w:pPr>
        <w:spacing w:line="360" w:lineRule="auto"/>
        <w:ind w:firstLine="720"/>
        <w:rPr>
          <w:rFonts w:asciiTheme="majorHAnsi" w:hAnsiTheme="majorHAnsi" w:cstheme="majorHAnsi"/>
        </w:rPr>
      </w:pPr>
      <w:r w:rsidRPr="00ED6C4D">
        <w:rPr>
          <w:rFonts w:asciiTheme="majorHAnsi" w:hAnsiTheme="majorHAnsi" w:cstheme="majorHAnsi"/>
        </w:rPr>
        <w:lastRenderedPageBreak/>
        <w:t>For all energy commodities, the trade network becomes more complex under an emissions tax scenario</w:t>
      </w:r>
      <w:r w:rsidR="00EA5256" w:rsidRPr="00ED6C4D">
        <w:rPr>
          <w:rFonts w:asciiTheme="majorHAnsi" w:hAnsiTheme="majorHAnsi" w:cstheme="majorHAnsi"/>
        </w:rPr>
        <w:t xml:space="preserve">. This is largely driven by the direction and magnitude of the policy effect. An emissions tax impacts all parts of the energy supply chain but has a particularly large effect on upstream activities (i.e. production and extraction). This effect moves down the supply chain. A tariff scenario, however, impacts the supply chain </w:t>
      </w:r>
      <w:r w:rsidR="00AB15DC" w:rsidRPr="00ED6C4D">
        <w:rPr>
          <w:rFonts w:asciiTheme="majorHAnsi" w:hAnsiTheme="majorHAnsi" w:cstheme="majorHAnsi"/>
        </w:rPr>
        <w:t>at the</w:t>
      </w:r>
      <w:r w:rsidR="00EA5256" w:rsidRPr="00ED6C4D">
        <w:rPr>
          <w:rFonts w:asciiTheme="majorHAnsi" w:hAnsiTheme="majorHAnsi" w:cstheme="majorHAnsi"/>
        </w:rPr>
        <w:t xml:space="preserve"> downstream</w:t>
      </w:r>
      <w:r w:rsidR="00710653" w:rsidRPr="00ED6C4D">
        <w:rPr>
          <w:rFonts w:asciiTheme="majorHAnsi" w:hAnsiTheme="majorHAnsi" w:cstheme="majorHAnsi"/>
        </w:rPr>
        <w:t xml:space="preserve"> (i.e. distribution)</w:t>
      </w:r>
      <w:r w:rsidR="00EA5256" w:rsidRPr="00ED6C4D">
        <w:rPr>
          <w:rFonts w:asciiTheme="majorHAnsi" w:hAnsiTheme="majorHAnsi" w:cstheme="majorHAnsi"/>
        </w:rPr>
        <w:t>. We find that the policy effect moves down the supply chain more than it moves up. This is best illustrated in the case of the Middle East. In an emissions tax scenario, it becomes prohibitively expensive to extract crude oil in the region because of the high emissions intensity of this upstream activity. This in turn impacts the amount that the Middle East exports, thus influencing the structure of the energy trade network. On the other hand, in the high</w:t>
      </w:r>
      <w:r w:rsidR="00DD7115" w:rsidRPr="00ED6C4D">
        <w:rPr>
          <w:rFonts w:asciiTheme="majorHAnsi" w:hAnsiTheme="majorHAnsi" w:cstheme="majorHAnsi"/>
        </w:rPr>
        <w:t xml:space="preserve"> tariff</w:t>
      </w:r>
      <w:r w:rsidR="00EA5256" w:rsidRPr="00ED6C4D">
        <w:rPr>
          <w:rFonts w:asciiTheme="majorHAnsi" w:hAnsiTheme="majorHAnsi" w:cstheme="majorHAnsi"/>
        </w:rPr>
        <w:t xml:space="preserve"> scenario, the effect of the policy begins with the trade network but does not extend back up to the upstream activity. We find that the extraction of oil in the high</w:t>
      </w:r>
      <w:r w:rsidR="00DD7115" w:rsidRPr="00ED6C4D">
        <w:rPr>
          <w:rFonts w:asciiTheme="majorHAnsi" w:hAnsiTheme="majorHAnsi" w:cstheme="majorHAnsi"/>
        </w:rPr>
        <w:t xml:space="preserve"> </w:t>
      </w:r>
      <w:r w:rsidR="00EA5256" w:rsidRPr="00ED6C4D">
        <w:rPr>
          <w:rFonts w:asciiTheme="majorHAnsi" w:hAnsiTheme="majorHAnsi" w:cstheme="majorHAnsi"/>
        </w:rPr>
        <w:t>tariff scenario (</w:t>
      </w:r>
      <w:r w:rsidR="0004605C" w:rsidRPr="00ED6C4D">
        <w:rPr>
          <w:rFonts w:asciiTheme="majorHAnsi" w:hAnsiTheme="majorHAnsi" w:cstheme="majorHAnsi"/>
        </w:rPr>
        <w:t>76</w:t>
      </w:r>
      <w:r w:rsidR="00EA5256" w:rsidRPr="00ED6C4D">
        <w:rPr>
          <w:rFonts w:asciiTheme="majorHAnsi" w:hAnsiTheme="majorHAnsi" w:cstheme="majorHAnsi"/>
        </w:rPr>
        <w:t>.</w:t>
      </w:r>
      <w:r w:rsidR="0004605C" w:rsidRPr="00ED6C4D">
        <w:rPr>
          <w:rFonts w:asciiTheme="majorHAnsi" w:hAnsiTheme="majorHAnsi" w:cstheme="majorHAnsi"/>
        </w:rPr>
        <w:t>2</w:t>
      </w:r>
      <w:r w:rsidR="00EA5256" w:rsidRPr="00ED6C4D">
        <w:rPr>
          <w:rFonts w:asciiTheme="majorHAnsi" w:hAnsiTheme="majorHAnsi" w:cstheme="majorHAnsi"/>
        </w:rPr>
        <w:t>EJ) is not substantially different from the level of extraction in the baseline (</w:t>
      </w:r>
      <w:r w:rsidR="0004605C" w:rsidRPr="00ED6C4D">
        <w:rPr>
          <w:rFonts w:asciiTheme="majorHAnsi" w:hAnsiTheme="majorHAnsi" w:cstheme="majorHAnsi"/>
        </w:rPr>
        <w:t>76</w:t>
      </w:r>
      <w:r w:rsidR="00EA5256" w:rsidRPr="00ED6C4D">
        <w:rPr>
          <w:rFonts w:asciiTheme="majorHAnsi" w:hAnsiTheme="majorHAnsi" w:cstheme="majorHAnsi"/>
        </w:rPr>
        <w:t>.</w:t>
      </w:r>
      <w:r w:rsidR="0004605C" w:rsidRPr="00ED6C4D">
        <w:rPr>
          <w:rFonts w:asciiTheme="majorHAnsi" w:hAnsiTheme="majorHAnsi" w:cstheme="majorHAnsi"/>
        </w:rPr>
        <w:t>7</w:t>
      </w:r>
      <w:r w:rsidR="00EA5256" w:rsidRPr="00ED6C4D">
        <w:rPr>
          <w:rFonts w:asciiTheme="majorHAnsi" w:hAnsiTheme="majorHAnsi" w:cstheme="majorHAnsi"/>
        </w:rPr>
        <w:t xml:space="preserve">EJ). </w:t>
      </w:r>
    </w:p>
    <w:p w14:paraId="04797D4F" w14:textId="668F1AC7" w:rsidR="00710653"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The implications of these results are significant for the international climate policy discourse. It effectively illustrates that ambitious climate policies, such as a global emissions tax, require more </w:t>
      </w:r>
      <w:r w:rsidR="004E780C" w:rsidRPr="00ED6C4D">
        <w:rPr>
          <w:rFonts w:asciiTheme="majorHAnsi" w:hAnsiTheme="majorHAnsi" w:cstheme="majorHAnsi"/>
        </w:rPr>
        <w:t xml:space="preserve">interactions among trading regions. </w:t>
      </w:r>
      <w:r w:rsidR="00844D60" w:rsidRPr="00ED6C4D">
        <w:rPr>
          <w:rFonts w:asciiTheme="majorHAnsi" w:hAnsiTheme="majorHAnsi" w:cstheme="majorHAnsi"/>
        </w:rPr>
        <w:t xml:space="preserve">To minimize the cost of the global energy system, cooperation (i.e. reduced trade friction) will be needed. </w:t>
      </w:r>
      <w:r w:rsidRPr="00ED6C4D">
        <w:rPr>
          <w:rFonts w:asciiTheme="majorHAnsi" w:hAnsiTheme="majorHAnsi" w:cstheme="majorHAnsi"/>
        </w:rPr>
        <w:t xml:space="preserve">Say we use a tariff policy as a </w:t>
      </w:r>
      <w:r w:rsidR="005F2992">
        <w:rPr>
          <w:rFonts w:asciiTheme="majorHAnsi" w:hAnsiTheme="majorHAnsi" w:cstheme="majorHAnsi"/>
        </w:rPr>
        <w:t xml:space="preserve">proxy for trade “friendliness” and </w:t>
      </w:r>
      <w:r w:rsidRPr="00ED6C4D">
        <w:rPr>
          <w:rFonts w:asciiTheme="majorHAnsi" w:hAnsiTheme="majorHAnsi" w:cstheme="majorHAnsi"/>
        </w:rPr>
        <w:t>sustained high tariffs lead to a</w:t>
      </w:r>
      <w:r w:rsidR="005F2992">
        <w:rPr>
          <w:rFonts w:asciiTheme="majorHAnsi" w:hAnsiTheme="majorHAnsi" w:cstheme="majorHAnsi"/>
        </w:rPr>
        <w:t>n unfriendly trade environment.</w:t>
      </w:r>
      <w:r w:rsidRPr="00ED6C4D">
        <w:rPr>
          <w:rFonts w:asciiTheme="majorHAnsi" w:hAnsiTheme="majorHAnsi" w:cstheme="majorHAnsi"/>
        </w:rPr>
        <w:t xml:space="preserve"> Under an emissions tax, the trade network will alter regardless of the friendliness of the trade environment; however, the cost of global</w:t>
      </w:r>
      <w:r w:rsidR="00710653" w:rsidRPr="00ED6C4D">
        <w:rPr>
          <w:rFonts w:asciiTheme="majorHAnsi" w:hAnsiTheme="majorHAnsi" w:cstheme="majorHAnsi"/>
        </w:rPr>
        <w:t xml:space="preserve"> and regional</w:t>
      </w:r>
      <w:r w:rsidRPr="00ED6C4D">
        <w:rPr>
          <w:rFonts w:asciiTheme="majorHAnsi" w:hAnsiTheme="majorHAnsi" w:cstheme="majorHAnsi"/>
        </w:rPr>
        <w:t xml:space="preserve"> energy system</w:t>
      </w:r>
      <w:r w:rsidR="00710653" w:rsidRPr="00ED6C4D">
        <w:rPr>
          <w:rFonts w:asciiTheme="majorHAnsi" w:hAnsiTheme="majorHAnsi" w:cstheme="majorHAnsi"/>
        </w:rPr>
        <w:t>s</w:t>
      </w:r>
      <w:r w:rsidRPr="00ED6C4D">
        <w:rPr>
          <w:rFonts w:asciiTheme="majorHAnsi" w:hAnsiTheme="majorHAnsi" w:cstheme="majorHAnsi"/>
        </w:rPr>
        <w:t xml:space="preserve"> will increase. If ambitious climate policy is undertaken, the optimal (in this case, cost-minimizing) way to prepare the trade network for such drastic shifts is to remove frictions to trade. </w:t>
      </w:r>
    </w:p>
    <w:p w14:paraId="246E68E1" w14:textId="48CD3BBC" w:rsidR="00EA5256" w:rsidRPr="00ED6C4D" w:rsidRDefault="00844D60" w:rsidP="7D0E00F7">
      <w:pPr>
        <w:spacing w:line="360" w:lineRule="auto"/>
        <w:ind w:firstLine="720"/>
        <w:rPr>
          <w:rFonts w:asciiTheme="majorHAnsi" w:hAnsiTheme="majorHAnsi" w:cstheme="majorHAnsi"/>
        </w:rPr>
      </w:pPr>
      <w:r w:rsidRPr="00ED6C4D">
        <w:rPr>
          <w:rFonts w:asciiTheme="majorHAnsi" w:hAnsiTheme="majorHAnsi" w:cstheme="majorHAnsi"/>
        </w:rPr>
        <w:t xml:space="preserve">We </w:t>
      </w:r>
      <w:r w:rsidR="00FE508B" w:rsidRPr="00ED6C4D">
        <w:rPr>
          <w:rFonts w:asciiTheme="majorHAnsi" w:hAnsiTheme="majorHAnsi" w:cstheme="majorHAnsi"/>
        </w:rPr>
        <w:t>validate this argument by illustrating the difference in regional energy system costs (compared to the baseline) when tariff policies are applied or removed after a carbon emissions tax is applied. We illustrate these marginal differences for major energy exporting regions (Latin America, Middle East, and Russia), major energy importing regions (Pacific Asia, South Asia, and Centrally Planned Asia), and across all regions.</w:t>
      </w:r>
    </w:p>
    <w:p w14:paraId="5055120F" w14:textId="6515E3E8" w:rsidR="00F2007A" w:rsidRPr="00ED6C4D" w:rsidRDefault="00F2007A" w:rsidP="00F2007A">
      <w:pPr>
        <w:spacing w:line="360" w:lineRule="auto"/>
        <w:jc w:val="center"/>
        <w:rPr>
          <w:rFonts w:asciiTheme="majorHAnsi" w:hAnsiTheme="majorHAnsi" w:cstheme="majorHAnsi"/>
        </w:rPr>
      </w:pPr>
      <w:r w:rsidRPr="00ED6C4D">
        <w:rPr>
          <w:rFonts w:asciiTheme="majorHAnsi" w:hAnsiTheme="majorHAnsi" w:cstheme="majorHAnsi"/>
          <w:noProof/>
        </w:rPr>
        <w:lastRenderedPageBreak/>
        <w:drawing>
          <wp:inline distT="0" distB="0" distL="0" distR="0" wp14:anchorId="5FDA19C6" wp14:editId="006204D2">
            <wp:extent cx="4943475" cy="365267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8196" cy="3656167"/>
                    </a:xfrm>
                    <a:prstGeom prst="rect">
                      <a:avLst/>
                    </a:prstGeom>
                  </pic:spPr>
                </pic:pic>
              </a:graphicData>
            </a:graphic>
          </wp:inline>
        </w:drawing>
      </w:r>
    </w:p>
    <w:p w14:paraId="7FB65181" w14:textId="4DD4DA3B" w:rsidR="00F2007A" w:rsidRPr="00ED6C4D" w:rsidRDefault="00F2007A" w:rsidP="00F2007A">
      <w:pPr>
        <w:pStyle w:val="Caption"/>
        <w:jc w:val="both"/>
        <w:rPr>
          <w:rFonts w:asciiTheme="majorHAnsi" w:hAnsiTheme="majorHAnsi" w:cstheme="majorHAnsi"/>
          <w:i w:val="0"/>
          <w:iCs w:val="0"/>
          <w:color w:val="auto"/>
        </w:rPr>
      </w:pPr>
      <w:r w:rsidRPr="00ED6C4D">
        <w:rPr>
          <w:rFonts w:asciiTheme="majorHAnsi" w:hAnsiTheme="majorHAnsi" w:cstheme="majorHAnsi"/>
          <w:b/>
          <w:bCs/>
          <w:i w:val="0"/>
          <w:iCs w:val="0"/>
          <w:color w:val="auto"/>
        </w:rPr>
        <w:t xml:space="preserve">Fig. </w:t>
      </w:r>
      <w:r w:rsidR="00ED6C4D">
        <w:rPr>
          <w:rFonts w:asciiTheme="majorHAnsi" w:hAnsiTheme="majorHAnsi" w:cstheme="majorHAnsi"/>
          <w:b/>
          <w:bCs/>
          <w:i w:val="0"/>
          <w:iCs w:val="0"/>
          <w:color w:val="auto"/>
        </w:rPr>
        <w:t>4</w:t>
      </w:r>
      <w:r w:rsidRPr="00ED6C4D">
        <w:rPr>
          <w:rFonts w:asciiTheme="majorHAnsi" w:hAnsiTheme="majorHAnsi" w:cstheme="majorHAnsi"/>
          <w:b/>
          <w:bCs/>
          <w:i w:val="0"/>
          <w:iCs w:val="0"/>
          <w:color w:val="auto"/>
        </w:rPr>
        <w:t>.</w:t>
      </w:r>
      <w:r w:rsidRPr="00ED6C4D">
        <w:rPr>
          <w:rFonts w:asciiTheme="majorHAnsi" w:hAnsiTheme="majorHAnsi" w:cstheme="majorHAnsi"/>
          <w:b/>
          <w:i w:val="0"/>
          <w:iCs w:val="0"/>
          <w:color w:val="auto"/>
        </w:rPr>
        <w:t xml:space="preserve"> Average regional energy system costs (2020-2050). </w:t>
      </w:r>
      <w:r w:rsidRPr="00ED6C4D">
        <w:rPr>
          <w:rFonts w:asciiTheme="majorHAnsi" w:hAnsiTheme="majorHAnsi" w:cstheme="majorHAnsi"/>
          <w:i w:val="0"/>
          <w:iCs w:val="0"/>
          <w:color w:val="auto"/>
        </w:rPr>
        <w:t>Major exporting regions include Latin America, Middle East, and Russia. Major importing regions include Pacific Asia, South Asia, and Centrally Planned Asia. All regions include these regions and the remaining 8 regions represented in MESSAGE. Blue lines represent regional costs under an emissions tax and high tariffs, while red lines represent regional costs under an emissions tax and reduced/no tariffs.</w:t>
      </w:r>
    </w:p>
    <w:p w14:paraId="13D53544" w14:textId="77777777" w:rsidR="00F2007A" w:rsidRPr="00ED6C4D" w:rsidRDefault="00F2007A" w:rsidP="00F2007A">
      <w:pPr>
        <w:spacing w:line="360" w:lineRule="auto"/>
        <w:jc w:val="center"/>
        <w:rPr>
          <w:rFonts w:asciiTheme="majorHAnsi" w:hAnsiTheme="majorHAnsi" w:cstheme="majorHAnsi"/>
        </w:rPr>
      </w:pPr>
    </w:p>
    <w:p w14:paraId="0A6A4EC5" w14:textId="1147267E" w:rsidR="00FE508B" w:rsidRPr="00ED6C4D" w:rsidRDefault="00FE508B" w:rsidP="00F2007A">
      <w:pPr>
        <w:spacing w:line="360" w:lineRule="auto"/>
        <w:ind w:firstLine="720"/>
        <w:rPr>
          <w:rFonts w:asciiTheme="majorHAnsi" w:hAnsiTheme="majorHAnsi" w:cstheme="majorHAnsi"/>
        </w:rPr>
      </w:pPr>
      <w:r w:rsidRPr="00ED6C4D">
        <w:rPr>
          <w:rFonts w:asciiTheme="majorHAnsi" w:hAnsiTheme="majorHAnsi" w:cstheme="majorHAnsi"/>
        </w:rPr>
        <w:t xml:space="preserve">Figure </w:t>
      </w:r>
      <w:r w:rsidR="00ED6C4D">
        <w:rPr>
          <w:rFonts w:asciiTheme="majorHAnsi" w:hAnsiTheme="majorHAnsi" w:cstheme="majorHAnsi"/>
        </w:rPr>
        <w:t>4</w:t>
      </w:r>
      <w:r w:rsidRPr="00ED6C4D">
        <w:rPr>
          <w:rFonts w:asciiTheme="majorHAnsi" w:hAnsiTheme="majorHAnsi" w:cstheme="majorHAnsi"/>
        </w:rPr>
        <w:t xml:space="preserve"> suggests that when a sustained tariff policy is applied (i.e. the trade environment is less friendly), the regional energy system costs for importing regions goes up dramatically. For energy exporting regions, the energy system costs </w:t>
      </w:r>
      <w:r w:rsidR="00710653" w:rsidRPr="00ED6C4D">
        <w:rPr>
          <w:rFonts w:asciiTheme="majorHAnsi" w:hAnsiTheme="majorHAnsi" w:cstheme="majorHAnsi"/>
        </w:rPr>
        <w:t>go</w:t>
      </w:r>
      <w:r w:rsidRPr="00ED6C4D">
        <w:rPr>
          <w:rFonts w:asciiTheme="majorHAnsi" w:hAnsiTheme="majorHAnsi" w:cstheme="majorHAnsi"/>
        </w:rPr>
        <w:t xml:space="preserve"> down</w:t>
      </w:r>
      <w:r w:rsidR="00710653" w:rsidRPr="00ED6C4D">
        <w:rPr>
          <w:rFonts w:asciiTheme="majorHAnsi" w:hAnsiTheme="majorHAnsi" w:cstheme="majorHAnsi"/>
        </w:rPr>
        <w:t xml:space="preserve"> initially</w:t>
      </w:r>
      <w:r w:rsidRPr="00ED6C4D">
        <w:rPr>
          <w:rFonts w:asciiTheme="majorHAnsi" w:hAnsiTheme="majorHAnsi" w:cstheme="majorHAnsi"/>
        </w:rPr>
        <w:t xml:space="preserve"> but increase in 2050. </w:t>
      </w:r>
      <w:r w:rsidR="00710653" w:rsidRPr="00ED6C4D">
        <w:rPr>
          <w:rFonts w:asciiTheme="majorHAnsi" w:hAnsiTheme="majorHAnsi" w:cstheme="majorHAnsi"/>
        </w:rPr>
        <w:t>Overall, t</w:t>
      </w:r>
      <w:r w:rsidRPr="00ED6C4D">
        <w:rPr>
          <w:rFonts w:asciiTheme="majorHAnsi" w:hAnsiTheme="majorHAnsi" w:cstheme="majorHAnsi"/>
        </w:rPr>
        <w:t>he average system cost</w:t>
      </w:r>
      <w:r w:rsidR="00710653" w:rsidRPr="00ED6C4D">
        <w:rPr>
          <w:rFonts w:asciiTheme="majorHAnsi" w:hAnsiTheme="majorHAnsi" w:cstheme="majorHAnsi"/>
        </w:rPr>
        <w:t xml:space="preserve"> increases across all regions</w:t>
      </w:r>
      <w:r w:rsidRPr="00ED6C4D">
        <w:rPr>
          <w:rFonts w:asciiTheme="majorHAnsi" w:hAnsiTheme="majorHAnsi" w:cstheme="majorHAnsi"/>
        </w:rPr>
        <w:t>. Conversely, when energy tariffs are removed, regional energy system costs generally decline, with the except</w:t>
      </w:r>
      <w:r w:rsidR="00710653" w:rsidRPr="00ED6C4D">
        <w:rPr>
          <w:rFonts w:asciiTheme="majorHAnsi" w:hAnsiTheme="majorHAnsi" w:cstheme="majorHAnsi"/>
        </w:rPr>
        <w:t>ion of energy exporting regions</w:t>
      </w:r>
      <w:r w:rsidRPr="00ED6C4D">
        <w:rPr>
          <w:rFonts w:asciiTheme="majorHAnsi" w:hAnsiTheme="majorHAnsi" w:cstheme="majorHAnsi"/>
        </w:rPr>
        <w:t xml:space="preserve"> which exhibit a slight increase in costs. </w:t>
      </w:r>
      <w:r w:rsidR="003806AA" w:rsidRPr="00ED6C4D">
        <w:rPr>
          <w:rFonts w:asciiTheme="majorHAnsi" w:hAnsiTheme="majorHAnsi" w:cstheme="majorHAnsi"/>
        </w:rPr>
        <w:t>Ultimately</w:t>
      </w:r>
      <w:r w:rsidRPr="00ED6C4D">
        <w:rPr>
          <w:rFonts w:asciiTheme="majorHAnsi" w:hAnsiTheme="majorHAnsi" w:cstheme="majorHAnsi"/>
        </w:rPr>
        <w:t xml:space="preserve">, the effect of additional energy tariff policies in the presence of an emissions tax </w:t>
      </w:r>
      <w:r w:rsidR="00710653" w:rsidRPr="00ED6C4D">
        <w:rPr>
          <w:rFonts w:asciiTheme="majorHAnsi" w:hAnsiTheme="majorHAnsi" w:cstheme="majorHAnsi"/>
        </w:rPr>
        <w:t>is much larger for</w:t>
      </w:r>
      <w:r w:rsidRPr="00ED6C4D">
        <w:rPr>
          <w:rFonts w:asciiTheme="majorHAnsi" w:hAnsiTheme="majorHAnsi" w:cstheme="majorHAnsi"/>
        </w:rPr>
        <w:t xml:space="preserve"> energy importing regions than they </w:t>
      </w:r>
      <w:r w:rsidR="00710653" w:rsidRPr="00ED6C4D">
        <w:rPr>
          <w:rFonts w:asciiTheme="majorHAnsi" w:hAnsiTheme="majorHAnsi" w:cstheme="majorHAnsi"/>
        </w:rPr>
        <w:t xml:space="preserve">are for </w:t>
      </w:r>
      <w:r w:rsidRPr="00ED6C4D">
        <w:rPr>
          <w:rFonts w:asciiTheme="majorHAnsi" w:hAnsiTheme="majorHAnsi" w:cstheme="majorHAnsi"/>
        </w:rPr>
        <w:t>energy exporting regions</w:t>
      </w:r>
      <w:r w:rsidR="00F2007A" w:rsidRPr="00ED6C4D">
        <w:rPr>
          <w:rFonts w:asciiTheme="majorHAnsi" w:hAnsiTheme="majorHAnsi" w:cstheme="majorHAnsi"/>
        </w:rPr>
        <w:t>. This is</w:t>
      </w:r>
      <w:r w:rsidRPr="00ED6C4D">
        <w:rPr>
          <w:rFonts w:asciiTheme="majorHAnsi" w:hAnsiTheme="majorHAnsi" w:cstheme="majorHAnsi"/>
        </w:rPr>
        <w:t xml:space="preserve"> because energy tariffs are applied to the importer. However, </w:t>
      </w:r>
      <w:r w:rsidR="00F2007A" w:rsidRPr="00ED6C4D">
        <w:rPr>
          <w:rFonts w:asciiTheme="majorHAnsi" w:hAnsiTheme="majorHAnsi" w:cstheme="majorHAnsi"/>
        </w:rPr>
        <w:t>the</w:t>
      </w:r>
      <w:r w:rsidRPr="00ED6C4D">
        <w:rPr>
          <w:rFonts w:asciiTheme="majorHAnsi" w:hAnsiTheme="majorHAnsi" w:cstheme="majorHAnsi"/>
        </w:rPr>
        <w:t xml:space="preserve"> effects to importers are large enough that they dictate the direction of average regional energy system costs.</w:t>
      </w:r>
    </w:p>
    <w:p w14:paraId="0562CB0E" w14:textId="56007836" w:rsidR="001714E6" w:rsidRPr="00ED6C4D" w:rsidRDefault="001714E6" w:rsidP="00A82468">
      <w:pPr>
        <w:spacing w:line="360" w:lineRule="auto"/>
        <w:ind w:firstLine="720"/>
        <w:rPr>
          <w:rFonts w:asciiTheme="majorHAnsi" w:hAnsiTheme="majorHAnsi" w:cstheme="majorHAnsi"/>
        </w:rPr>
      </w:pPr>
    </w:p>
    <w:p w14:paraId="6B109119" w14:textId="77777777" w:rsidR="00710653" w:rsidRPr="00ED6C4D" w:rsidRDefault="00710653" w:rsidP="00A82468">
      <w:pPr>
        <w:spacing w:line="360" w:lineRule="auto"/>
        <w:ind w:firstLine="720"/>
        <w:rPr>
          <w:rFonts w:asciiTheme="majorHAnsi" w:hAnsiTheme="majorHAnsi" w:cstheme="majorHAnsi"/>
        </w:rPr>
      </w:pPr>
    </w:p>
    <w:p w14:paraId="089A3835" w14:textId="77777777" w:rsidR="006E67B0" w:rsidRPr="00ED6C4D" w:rsidRDefault="00167661" w:rsidP="00AF4B61">
      <w:pPr>
        <w:pStyle w:val="Heading2"/>
        <w:rPr>
          <w:rFonts w:cstheme="majorHAnsi"/>
          <w:color w:val="auto"/>
        </w:rPr>
      </w:pPr>
      <w:r w:rsidRPr="00ED6C4D">
        <w:rPr>
          <w:rFonts w:cstheme="majorHAnsi"/>
          <w:color w:val="auto"/>
        </w:rPr>
        <w:lastRenderedPageBreak/>
        <w:t>3</w:t>
      </w:r>
      <w:r w:rsidR="006E67B0" w:rsidRPr="00ED6C4D">
        <w:rPr>
          <w:rFonts w:cstheme="majorHAnsi"/>
          <w:color w:val="auto"/>
        </w:rPr>
        <w:t>.2</w:t>
      </w:r>
      <w:r w:rsidR="006E67B0" w:rsidRPr="00ED6C4D">
        <w:rPr>
          <w:rFonts w:cstheme="majorHAnsi"/>
          <w:color w:val="auto"/>
        </w:rPr>
        <w:tab/>
        <w:t>Effects on global emissions</w:t>
      </w:r>
    </w:p>
    <w:p w14:paraId="34CE0A41" w14:textId="77777777" w:rsidR="006E67B0" w:rsidRPr="00ED6C4D" w:rsidRDefault="006E67B0" w:rsidP="00AF4B61">
      <w:pPr>
        <w:rPr>
          <w:rFonts w:asciiTheme="majorHAnsi" w:hAnsiTheme="majorHAnsi" w:cstheme="majorHAnsi"/>
        </w:rPr>
      </w:pPr>
    </w:p>
    <w:p w14:paraId="2A8EA0CF" w14:textId="7FF4852B" w:rsidR="006E67B0"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For the purposes of this study, we present emissions in two ways. The first </w:t>
      </w:r>
      <w:proofErr w:type="gramStart"/>
      <w:r w:rsidRPr="00ED6C4D">
        <w:rPr>
          <w:rFonts w:asciiTheme="majorHAnsi" w:hAnsiTheme="majorHAnsi" w:cstheme="majorHAnsi"/>
        </w:rPr>
        <w:t>presents</w:t>
      </w:r>
      <w:proofErr w:type="gramEnd"/>
      <w:r w:rsidRPr="00ED6C4D">
        <w:rPr>
          <w:rFonts w:asciiTheme="majorHAnsi" w:hAnsiTheme="majorHAnsi" w:cstheme="majorHAnsi"/>
        </w:rPr>
        <w:t xml:space="preserve"> emissions associated with energy imports. These emissions are based on the amount and emissions factors linked to each energy commodity. In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when a region exports energy, it is also exporting the emissions </w:t>
      </w:r>
      <w:r w:rsidR="00E22665" w:rsidRPr="00ED6C4D">
        <w:rPr>
          <w:rFonts w:asciiTheme="majorHAnsi" w:hAnsiTheme="majorHAnsi" w:cstheme="majorHAnsi"/>
        </w:rPr>
        <w:t>related to the trade of these commodities</w:t>
      </w:r>
      <w:r w:rsidRPr="00ED6C4D">
        <w:rPr>
          <w:rFonts w:asciiTheme="majorHAnsi" w:hAnsiTheme="majorHAnsi" w:cstheme="majorHAnsi"/>
        </w:rPr>
        <w:t xml:space="preserve">. Therefore, energy exports lead to a reduction in emissions while energy imports lead to an increase in emissions. This allows for a consumption-based accounting of regional emissions. The second presents overall emissions across all energy-related activities. It is important that we present effects on both formats of emissions because a policy that affects trade-related emissions may have minimal (or even opposite) effects on non-trade-related emissions. </w:t>
      </w:r>
    </w:p>
    <w:p w14:paraId="1D6BE261" w14:textId="1938421E" w:rsidR="00C771A2" w:rsidRPr="00ED6C4D" w:rsidRDefault="005F2992" w:rsidP="7D0E00F7">
      <w:pPr>
        <w:spacing w:line="360" w:lineRule="auto"/>
        <w:ind w:firstLine="720"/>
        <w:rPr>
          <w:rFonts w:asciiTheme="majorHAnsi" w:hAnsiTheme="majorHAnsi" w:cstheme="majorHAnsi"/>
        </w:rPr>
      </w:pPr>
      <w:r>
        <w:rPr>
          <w:rFonts w:asciiTheme="majorHAnsi" w:hAnsiTheme="majorHAnsi" w:cstheme="majorHAnsi"/>
        </w:rPr>
        <w:t>Figure 5</w:t>
      </w:r>
      <w:r w:rsidR="7D0E00F7" w:rsidRPr="00ED6C4D">
        <w:rPr>
          <w:rFonts w:asciiTheme="majorHAnsi" w:hAnsiTheme="majorHAnsi" w:cstheme="majorHAnsi"/>
        </w:rPr>
        <w:t>(a) presents t</w:t>
      </w:r>
      <w:r w:rsidR="00E22665" w:rsidRPr="00ED6C4D">
        <w:rPr>
          <w:rFonts w:asciiTheme="majorHAnsi" w:hAnsiTheme="majorHAnsi" w:cstheme="majorHAnsi"/>
        </w:rPr>
        <w:t>rajectories of emissions from fuel imports, w</w:t>
      </w:r>
      <w:r w:rsidR="7D0E00F7" w:rsidRPr="00ED6C4D">
        <w:rPr>
          <w:rFonts w:asciiTheme="majorHAnsi" w:hAnsiTheme="majorHAnsi" w:cstheme="majorHAnsi"/>
        </w:rPr>
        <w:t xml:space="preserve">hile Figure </w:t>
      </w:r>
      <w:r>
        <w:rPr>
          <w:rFonts w:asciiTheme="majorHAnsi" w:hAnsiTheme="majorHAnsi" w:cstheme="majorHAnsi"/>
        </w:rPr>
        <w:t>5</w:t>
      </w:r>
      <w:r w:rsidR="7D0E00F7" w:rsidRPr="00ED6C4D">
        <w:rPr>
          <w:rFonts w:asciiTheme="majorHAnsi" w:hAnsiTheme="majorHAnsi" w:cstheme="majorHAnsi"/>
        </w:rPr>
        <w:t>(b) presents global emissions trajectories. E</w:t>
      </w:r>
      <w:r w:rsidR="00E22665" w:rsidRPr="00ED6C4D">
        <w:rPr>
          <w:rFonts w:asciiTheme="majorHAnsi" w:hAnsiTheme="majorHAnsi" w:cstheme="majorHAnsi"/>
        </w:rPr>
        <w:t xml:space="preserve">missions from fuel imports </w:t>
      </w:r>
      <w:r w:rsidR="006238BD" w:rsidRPr="00ED6C4D">
        <w:rPr>
          <w:rFonts w:asciiTheme="majorHAnsi" w:hAnsiTheme="majorHAnsi" w:cstheme="majorHAnsi"/>
        </w:rPr>
        <w:t>are the emissions associated with import activity. E</w:t>
      </w:r>
      <w:r w:rsidR="7D0E00F7" w:rsidRPr="00ED6C4D">
        <w:rPr>
          <w:rFonts w:asciiTheme="majorHAnsi" w:hAnsiTheme="majorHAnsi" w:cstheme="majorHAnsi"/>
        </w:rPr>
        <w:t>ach line is colored by scenario.</w:t>
      </w:r>
    </w:p>
    <w:p w14:paraId="62EBF3C5" w14:textId="77777777" w:rsidR="00C771A2" w:rsidRPr="00ED6C4D" w:rsidRDefault="00AF1572" w:rsidP="00C771A2">
      <w:pPr>
        <w:keepNext/>
        <w:spacing w:line="360" w:lineRule="auto"/>
        <w:ind w:hanging="540"/>
        <w:rPr>
          <w:rFonts w:asciiTheme="majorHAnsi" w:hAnsiTheme="majorHAnsi" w:cstheme="majorHAnsi"/>
        </w:rPr>
      </w:pPr>
      <w:r w:rsidRPr="00ED6C4D">
        <w:rPr>
          <w:rFonts w:asciiTheme="majorHAnsi" w:hAnsiTheme="majorHAnsi" w:cstheme="majorHAnsi"/>
          <w:noProof/>
        </w:rPr>
        <w:drawing>
          <wp:inline distT="0" distB="0" distL="0" distR="0" wp14:anchorId="3E82E617" wp14:editId="6D56DAB3">
            <wp:extent cx="6431380" cy="35750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5177" cy="3577161"/>
                    </a:xfrm>
                    <a:prstGeom prst="rect">
                      <a:avLst/>
                    </a:prstGeom>
                  </pic:spPr>
                </pic:pic>
              </a:graphicData>
            </a:graphic>
          </wp:inline>
        </w:drawing>
      </w:r>
    </w:p>
    <w:p w14:paraId="100D67AD" w14:textId="19644B3B" w:rsidR="00C771A2" w:rsidRPr="00ED6C4D" w:rsidRDefault="00D03CE7" w:rsidP="00C771A2">
      <w:pPr>
        <w:pStyle w:val="Caption"/>
        <w:rPr>
          <w:rFonts w:asciiTheme="majorHAnsi" w:hAnsiTheme="majorHAnsi" w:cstheme="majorHAnsi"/>
          <w:i w:val="0"/>
          <w:iCs w:val="0"/>
          <w:color w:val="auto"/>
        </w:rPr>
      </w:pPr>
      <w:r w:rsidRPr="00ED6C4D">
        <w:rPr>
          <w:rFonts w:asciiTheme="majorHAnsi" w:hAnsiTheme="majorHAnsi" w:cstheme="majorHAnsi"/>
          <w:b/>
          <w:bCs/>
          <w:i w:val="0"/>
          <w:iCs w:val="0"/>
          <w:color w:val="auto"/>
        </w:rPr>
        <w:t>Fig.</w:t>
      </w:r>
      <w:r w:rsidR="00C771A2" w:rsidRPr="00ED6C4D">
        <w:rPr>
          <w:rFonts w:asciiTheme="majorHAnsi" w:hAnsiTheme="majorHAnsi" w:cstheme="majorHAnsi"/>
          <w:b/>
          <w:bCs/>
          <w:i w:val="0"/>
          <w:iCs w:val="0"/>
          <w:color w:val="auto"/>
        </w:rPr>
        <w:t xml:space="preserve"> </w:t>
      </w:r>
      <w:r w:rsidR="00ED6C4D">
        <w:rPr>
          <w:rFonts w:asciiTheme="majorHAnsi" w:hAnsiTheme="majorHAnsi" w:cstheme="majorHAnsi"/>
          <w:b/>
          <w:bCs/>
          <w:i w:val="0"/>
          <w:iCs w:val="0"/>
          <w:color w:val="auto"/>
        </w:rPr>
        <w:t>5</w:t>
      </w:r>
      <w:r w:rsidR="00C771A2" w:rsidRPr="00ED6C4D">
        <w:rPr>
          <w:rFonts w:asciiTheme="majorHAnsi" w:hAnsiTheme="majorHAnsi" w:cstheme="majorHAnsi"/>
          <w:b/>
          <w:bCs/>
          <w:i w:val="0"/>
          <w:iCs w:val="0"/>
          <w:color w:val="auto"/>
        </w:rPr>
        <w:t>.</w:t>
      </w:r>
      <w:r w:rsidR="00C771A2" w:rsidRPr="00ED6C4D">
        <w:rPr>
          <w:rFonts w:asciiTheme="majorHAnsi" w:hAnsiTheme="majorHAnsi" w:cstheme="majorHAnsi"/>
          <w:i w:val="0"/>
          <w:iCs w:val="0"/>
          <w:color w:val="auto"/>
        </w:rPr>
        <w:t xml:space="preserve"> </w:t>
      </w:r>
      <w:r w:rsidR="00C771A2" w:rsidRPr="00ED6C4D">
        <w:rPr>
          <w:rFonts w:asciiTheme="majorHAnsi" w:hAnsiTheme="majorHAnsi" w:cstheme="majorHAnsi"/>
          <w:b/>
          <w:i w:val="0"/>
          <w:iCs w:val="0"/>
          <w:color w:val="auto"/>
        </w:rPr>
        <w:t>Changes from the baseline scenario for the global level</w:t>
      </w:r>
      <w:r w:rsidR="008F7819" w:rsidRPr="00ED6C4D">
        <w:rPr>
          <w:rFonts w:asciiTheme="majorHAnsi" w:hAnsiTheme="majorHAnsi" w:cstheme="majorHAnsi"/>
          <w:b/>
          <w:i w:val="0"/>
          <w:iCs w:val="0"/>
          <w:color w:val="auto"/>
        </w:rPr>
        <w:t xml:space="preserve">. </w:t>
      </w:r>
      <w:r w:rsidR="008F7819" w:rsidRPr="00ED6C4D">
        <w:rPr>
          <w:rFonts w:asciiTheme="majorHAnsi" w:hAnsiTheme="majorHAnsi" w:cstheme="majorHAnsi"/>
          <w:i w:val="0"/>
          <w:iCs w:val="0"/>
          <w:color w:val="auto"/>
        </w:rPr>
        <w:t>The figure is</w:t>
      </w:r>
      <w:r w:rsidR="00C771A2" w:rsidRPr="00ED6C4D">
        <w:rPr>
          <w:rFonts w:asciiTheme="majorHAnsi" w:hAnsiTheme="majorHAnsi" w:cstheme="majorHAnsi"/>
          <w:i w:val="0"/>
          <w:iCs w:val="0"/>
          <w:color w:val="auto"/>
        </w:rPr>
        <w:t xml:space="preserve"> in terms of emissions associated with fuel imports (a) and overall (b). Each line is colored by a different scenario.</w:t>
      </w:r>
    </w:p>
    <w:p w14:paraId="6D98A12B" w14:textId="77777777" w:rsidR="00C771A2" w:rsidRPr="00ED6C4D" w:rsidRDefault="00C771A2" w:rsidP="00AF4B61">
      <w:pPr>
        <w:spacing w:line="360" w:lineRule="auto"/>
        <w:ind w:firstLine="720"/>
        <w:rPr>
          <w:rFonts w:asciiTheme="majorHAnsi" w:hAnsiTheme="majorHAnsi" w:cstheme="majorHAnsi"/>
        </w:rPr>
      </w:pPr>
    </w:p>
    <w:p w14:paraId="2E7E6286" w14:textId="789D35AC" w:rsidR="006E67B0" w:rsidRPr="00ED6C4D" w:rsidRDefault="006E67B0" w:rsidP="00C771A2">
      <w:pPr>
        <w:spacing w:line="360" w:lineRule="auto"/>
        <w:ind w:firstLine="720"/>
        <w:rPr>
          <w:rFonts w:asciiTheme="majorHAnsi" w:hAnsiTheme="majorHAnsi" w:cstheme="majorHAnsi"/>
        </w:rPr>
      </w:pPr>
      <w:r w:rsidRPr="00ED6C4D">
        <w:rPr>
          <w:rFonts w:asciiTheme="majorHAnsi" w:hAnsiTheme="majorHAnsi" w:cstheme="majorHAnsi"/>
        </w:rPr>
        <w:lastRenderedPageBreak/>
        <w:t xml:space="preserve">Results suggest that sustained, high tariffs can reduce imported emissions by 11.2% in 2050. The low tariff scenario yields a </w:t>
      </w:r>
      <w:r w:rsidR="00AF1572" w:rsidRPr="00ED6C4D">
        <w:rPr>
          <w:rFonts w:asciiTheme="majorHAnsi" w:hAnsiTheme="majorHAnsi" w:cstheme="majorHAnsi"/>
        </w:rPr>
        <w:t xml:space="preserve">roughly </w:t>
      </w:r>
      <w:r w:rsidRPr="00ED6C4D">
        <w:rPr>
          <w:rFonts w:asciiTheme="majorHAnsi" w:hAnsiTheme="majorHAnsi" w:cstheme="majorHAnsi"/>
        </w:rPr>
        <w:t>5% increase in emissions associated with fuel imports. This, however, does not translate to an equivalent effect on overall emissions. We find that the effects of both high and low tariff policies on overall emissions trajectories are minimal. In other words, sustained tariff policies do not lead to lowered emissions and the removal of tariffs do not increase emissions</w:t>
      </w:r>
      <w:r w:rsidR="00E621B7" w:rsidRPr="00ED6C4D">
        <w:rPr>
          <w:rFonts w:asciiTheme="majorHAnsi" w:hAnsiTheme="majorHAnsi" w:cstheme="majorHAnsi"/>
        </w:rPr>
        <w:t xml:space="preserve"> overall</w:t>
      </w:r>
      <w:r w:rsidRPr="00ED6C4D">
        <w:rPr>
          <w:rFonts w:asciiTheme="majorHAnsi" w:hAnsiTheme="majorHAnsi" w:cstheme="majorHAnsi"/>
        </w:rPr>
        <w:t xml:space="preserve">. Our results are consistent with recent literature on the marginal effects of </w:t>
      </w:r>
      <w:r w:rsidR="00EA5256" w:rsidRPr="00ED6C4D">
        <w:rPr>
          <w:rFonts w:asciiTheme="majorHAnsi" w:hAnsiTheme="majorHAnsi" w:cstheme="majorHAnsi"/>
        </w:rPr>
        <w:t xml:space="preserve">fossil fuel </w:t>
      </w:r>
      <w:r w:rsidRPr="00ED6C4D">
        <w:rPr>
          <w:rFonts w:asciiTheme="majorHAnsi" w:hAnsiTheme="majorHAnsi" w:cstheme="majorHAnsi"/>
        </w:rPr>
        <w:t xml:space="preserve">subsidies on global emissions </w:t>
      </w:r>
      <w:r w:rsidRPr="00ED6C4D">
        <w:rPr>
          <w:rFonts w:asciiTheme="majorHAnsi" w:hAnsiTheme="majorHAnsi" w:cstheme="majorHAnsi"/>
        </w:rPr>
        <w:fldChar w:fldCharType="begin" w:fldLock="1"/>
      </w:r>
      <w:r w:rsidR="00BC67D6" w:rsidRPr="00ED6C4D">
        <w:rPr>
          <w:rFonts w:asciiTheme="majorHAnsi" w:hAnsiTheme="majorHAnsi" w:cstheme="majorHAnsi"/>
        </w:rPr>
        <w:instrText>ADDIN CSL_CITATION {"citationItems":[{"id":"ITEM-1","itemData":{"DOI":"10.1038/nature25467","ISSN":"14764687","abstract":"Many governments use subsidies for fossil fuels to reduce the cost of energy for domestic consumption. This has led to the frequent argument that removing subsidies could play an important part in mitigating climate change. Now, Jessica Jewel and colleagues show that subsidy removal would indeed substantially lower emissions in fossil-fuel-exporting countries, but would reduce global carbon dioxide emissions by only a few per cent by 2030. This small reduction would largely be due to offsetting effects from international trade and fuel substitution. The authors also find that subsidy removal would not dramatically increase the use of renewable energy, adding to the suggestion that extensive revisions of subsidy policies would not produce a major benefit for climate mitigation.","author":[{"dropping-particle":"","family":"Jewell","given":"Jessica","non-dropping-particle":"","parse-names":false,"suffix":""},{"dropping-particle":"","family":"McCollum","given":"David","non-dropping-particle":"","parse-names":false,"suffix":""},{"dropping-particle":"","family":"Emmerling","given":"Johannes","non-dropping-particle":"","parse-names":false,"suffix":""},{"dropping-particle":"","family":"Bertram","given":"Christoph","non-dropping-particle":"","parse-names":false,"suffix":""},{"dropping-particle":"","family":"Gernaat","given":"David E.H.J.","non-dropping-particle":"","parse-names":false,"suffix":""},{"dropping-particle":"","family":"Krey","given":"Volker","non-dropping-particle":"","parse-names":false,"suffix":""},{"dropping-particle":"","family":"Paroussos","given":"Leonidas","non-dropping-particle":"","parse-names":false,"suffix":""},{"dropping-particle":"","family":"Berger","given":"Loïc","non-dropping-particle":"","parse-names":false,"suffix":""},{"dropping-particle":"","family":"Fragkiadakis","given":"Kostas","non-dropping-particle":"","parse-names":false,"suffix":""},{"dropping-particle":"","family":"Keppo","given":"Ilkka","non-dropping-particle":"","parse-names":false,"suffix":""},{"dropping-particle":"","family":"Saadi","given":"Nawfal","non-dropping-particle":"","parse-names":false,"suffix":""},{"dropping-particle":"","family":"Tavoni","given":"Massimo","non-dropping-particle":"","parse-names":false,"suffix":""},{"dropping-particle":"","family":"Vuuren","given":"Detlef","non-dropping-particle":"Van","parse-names":false,"suffix":""},{"dropping-particle":"","family":"Vinichenko","given":"Vadim","non-dropping-particle":"","parse-names":false,"suffix":""},{"dropping-particle":"","family":"Riahi","given":"Keywan","non-dropping-particle":"","parse-names":false,"suffix":""}],"container-title":"Nature","id":"ITEM-1","issued":{"date-parts":[["2018"]]},"title":"Limited emission reductions from fuel subsidy removal except in energy-exporting regions","type":"article-journal"},"uris":["http://www.mendeley.com/documents/?uuid=d004fea5-df12-4bc9-b2b9-6096288bb0d6"]}],"mendeley":{"formattedCitation":"[12]","plainTextFormattedCitation":"[12]","previouslyFormattedCitation":"[12]"},"properties":{"noteIndex":0},"schema":"https://github.com/citation-style-language/schema/raw/master/csl-citation.json"}</w:instrText>
      </w:r>
      <w:r w:rsidRPr="00ED6C4D">
        <w:rPr>
          <w:rFonts w:asciiTheme="majorHAnsi" w:hAnsiTheme="majorHAnsi" w:cstheme="majorHAnsi"/>
        </w:rPr>
        <w:fldChar w:fldCharType="separate"/>
      </w:r>
      <w:r w:rsidR="005775AD" w:rsidRPr="00ED6C4D">
        <w:rPr>
          <w:rFonts w:asciiTheme="majorHAnsi" w:hAnsiTheme="majorHAnsi" w:cstheme="majorHAnsi"/>
          <w:noProof/>
        </w:rPr>
        <w:t>[12]</w:t>
      </w:r>
      <w:r w:rsidRPr="00ED6C4D">
        <w:rPr>
          <w:rFonts w:asciiTheme="majorHAnsi" w:hAnsiTheme="majorHAnsi" w:cstheme="majorHAnsi"/>
        </w:rPr>
        <w:fldChar w:fldCharType="end"/>
      </w:r>
      <w:r w:rsidR="00C771A2" w:rsidRPr="00ED6C4D">
        <w:rPr>
          <w:rFonts w:asciiTheme="majorHAnsi" w:hAnsiTheme="majorHAnsi" w:cstheme="majorHAnsi"/>
        </w:rPr>
        <w:t xml:space="preserve">. </w:t>
      </w:r>
    </w:p>
    <w:p w14:paraId="70C9158D" w14:textId="5280FF34" w:rsidR="006E67B0"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 xml:space="preserve">Unsurprisingly, all emissions tax scenarios result in a large reduction in both imported and overall emissions. Additional trade policies in the presence of an emissions tax have very marginal effects on emissions trajectories. Interestingly, the high tariff scenario (without emissions tax) induces a sizeable reduction in imported emissions. However, because the high tariff scenario only affects trade-related emissions trajectories, this effect does not translate to overall emissions. The tariff only interacts with downstream costs (i.e. trade costs) in energy supply chains. As discussed in Section 3.1, a policy’s effect will be larger if it also impacts the upstream because the effect snowballs as it moves downstream. This is evidenced by the emissions tax, which significantly impacts both upstream and downstream costs. Further, the emissions tax is levied in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based on emissions factors assigned to each activity (e.g. extraction, </w:t>
      </w:r>
      <w:proofErr w:type="spellStart"/>
      <w:r w:rsidRPr="00ED6C4D">
        <w:rPr>
          <w:rFonts w:asciiTheme="majorHAnsi" w:hAnsiTheme="majorHAnsi" w:cstheme="majorHAnsi"/>
        </w:rPr>
        <w:t>liquefication</w:t>
      </w:r>
      <w:proofErr w:type="spellEnd"/>
      <w:r w:rsidRPr="00ED6C4D">
        <w:rPr>
          <w:rFonts w:asciiTheme="majorHAnsi" w:hAnsiTheme="majorHAnsi" w:cstheme="majorHAnsi"/>
        </w:rPr>
        <w:t>, electricity generation). This means that not only is there the production-side effect of increasing extraction and distribution costs, but there is also the demand-side effect of increasing electricity generation costs. A tariff policy’s demand-side effects will only occur when energy is imported (</w:t>
      </w:r>
      <w:r w:rsidR="003806AA" w:rsidRPr="00ED6C4D">
        <w:rPr>
          <w:rFonts w:asciiTheme="majorHAnsi" w:hAnsiTheme="majorHAnsi" w:cstheme="majorHAnsi"/>
        </w:rPr>
        <w:t xml:space="preserve">i.e. </w:t>
      </w:r>
      <w:r w:rsidRPr="00ED6C4D">
        <w:rPr>
          <w:rFonts w:asciiTheme="majorHAnsi" w:hAnsiTheme="majorHAnsi" w:cstheme="majorHAnsi"/>
        </w:rPr>
        <w:t>it will cost more for importers). However, there is no additional cost once the energy has been imported for regions to use it to generate electricity.</w:t>
      </w:r>
      <w:r w:rsidR="000C2971" w:rsidRPr="00ED6C4D">
        <w:rPr>
          <w:rFonts w:asciiTheme="majorHAnsi" w:hAnsiTheme="majorHAnsi" w:cstheme="majorHAnsi"/>
        </w:rPr>
        <w:t xml:space="preserve"> A global carbon emissions tax, because it more comprehensively impacts the energy supply chain, has a greater impact on emissions reduction, network composition, and the size of the network itself.</w:t>
      </w:r>
      <w:r w:rsidRPr="00ED6C4D">
        <w:rPr>
          <w:rFonts w:asciiTheme="majorHAnsi" w:hAnsiTheme="majorHAnsi" w:cstheme="majorHAnsi"/>
        </w:rPr>
        <w:t xml:space="preserve"> </w:t>
      </w:r>
    </w:p>
    <w:p w14:paraId="2946DB82" w14:textId="77777777" w:rsidR="006E67B0" w:rsidRPr="00ED6C4D" w:rsidRDefault="006E67B0" w:rsidP="00AF4B61">
      <w:pPr>
        <w:rPr>
          <w:rFonts w:asciiTheme="majorHAnsi" w:hAnsiTheme="majorHAnsi" w:cstheme="majorHAnsi"/>
        </w:rPr>
      </w:pPr>
    </w:p>
    <w:p w14:paraId="5997CC1D" w14:textId="77777777" w:rsidR="00C771A2" w:rsidRPr="00ED6C4D" w:rsidRDefault="00C771A2" w:rsidP="00AF4B61">
      <w:pPr>
        <w:rPr>
          <w:rFonts w:asciiTheme="majorHAnsi" w:hAnsiTheme="majorHAnsi" w:cstheme="majorHAnsi"/>
        </w:rPr>
      </w:pPr>
    </w:p>
    <w:p w14:paraId="3E5D2DE6" w14:textId="77777777" w:rsidR="006E67B0" w:rsidRPr="00ED6C4D" w:rsidRDefault="00167661" w:rsidP="00AF4B61">
      <w:pPr>
        <w:pStyle w:val="Heading2"/>
        <w:rPr>
          <w:rFonts w:cstheme="majorHAnsi"/>
          <w:color w:val="auto"/>
        </w:rPr>
      </w:pPr>
      <w:r w:rsidRPr="00ED6C4D">
        <w:rPr>
          <w:rFonts w:cstheme="majorHAnsi"/>
          <w:color w:val="auto"/>
        </w:rPr>
        <w:t>3</w:t>
      </w:r>
      <w:r w:rsidR="006E67B0" w:rsidRPr="00ED6C4D">
        <w:rPr>
          <w:rFonts w:cstheme="majorHAnsi"/>
          <w:color w:val="auto"/>
        </w:rPr>
        <w:t>.3</w:t>
      </w:r>
      <w:r w:rsidR="006E67B0" w:rsidRPr="00ED6C4D">
        <w:rPr>
          <w:rFonts w:cstheme="majorHAnsi"/>
          <w:color w:val="auto"/>
        </w:rPr>
        <w:tab/>
        <w:t>Effects on energy security</w:t>
      </w:r>
    </w:p>
    <w:p w14:paraId="110FFD37" w14:textId="77777777" w:rsidR="006E67B0" w:rsidRPr="00ED6C4D" w:rsidRDefault="006E67B0" w:rsidP="006E67B0">
      <w:pPr>
        <w:rPr>
          <w:rFonts w:asciiTheme="majorHAnsi" w:hAnsiTheme="majorHAnsi" w:cstheme="majorHAnsi"/>
        </w:rPr>
      </w:pPr>
    </w:p>
    <w:p w14:paraId="6B699379" w14:textId="5F3680F2" w:rsidR="006E67B0" w:rsidRPr="00ED6C4D" w:rsidRDefault="006E67B0" w:rsidP="00ED6C4D">
      <w:pPr>
        <w:spacing w:line="360" w:lineRule="auto"/>
        <w:ind w:firstLine="720"/>
        <w:rPr>
          <w:rFonts w:asciiTheme="majorHAnsi" w:hAnsiTheme="majorHAnsi" w:cstheme="majorHAnsi"/>
        </w:rPr>
      </w:pPr>
      <w:r w:rsidRPr="00ED6C4D">
        <w:rPr>
          <w:rFonts w:asciiTheme="majorHAnsi" w:hAnsiTheme="majorHAnsi" w:cstheme="majorHAnsi"/>
        </w:rPr>
        <w:t xml:space="preserve">We measure energy security using the HHI introduced in the Methods section of this paper. </w:t>
      </w:r>
      <w:r w:rsidR="00167661" w:rsidRPr="00ED6C4D">
        <w:rPr>
          <w:rFonts w:asciiTheme="majorHAnsi" w:hAnsiTheme="majorHAnsi" w:cstheme="majorHAnsi"/>
        </w:rPr>
        <w:t xml:space="preserve">Figure </w:t>
      </w:r>
      <w:r w:rsidR="00ED6C4D">
        <w:rPr>
          <w:rFonts w:asciiTheme="majorHAnsi" w:hAnsiTheme="majorHAnsi" w:cstheme="majorHAnsi"/>
        </w:rPr>
        <w:t>6</w:t>
      </w:r>
      <w:r w:rsidR="00167661" w:rsidRPr="00ED6C4D">
        <w:rPr>
          <w:rFonts w:asciiTheme="majorHAnsi" w:hAnsiTheme="majorHAnsi" w:cstheme="majorHAnsi"/>
        </w:rPr>
        <w:t xml:space="preserve">(a)-(b) illustrates the trajectories of exporter HHI for the </w:t>
      </w:r>
      <w:r w:rsidR="003806AA" w:rsidRPr="00ED6C4D">
        <w:rPr>
          <w:rFonts w:asciiTheme="majorHAnsi" w:hAnsiTheme="majorHAnsi" w:cstheme="majorHAnsi"/>
        </w:rPr>
        <w:t>two largest</w:t>
      </w:r>
      <w:r w:rsidR="00167661" w:rsidRPr="00ED6C4D">
        <w:rPr>
          <w:rFonts w:asciiTheme="majorHAnsi" w:hAnsiTheme="majorHAnsi" w:cstheme="majorHAnsi"/>
        </w:rPr>
        <w:t xml:space="preserve"> energy exporters (Middle East and Latin America). Figure </w:t>
      </w:r>
      <w:r w:rsidR="00ED6C4D">
        <w:rPr>
          <w:rFonts w:asciiTheme="majorHAnsi" w:hAnsiTheme="majorHAnsi" w:cstheme="majorHAnsi"/>
        </w:rPr>
        <w:t>6</w:t>
      </w:r>
      <w:r w:rsidR="00167661" w:rsidRPr="00ED6C4D">
        <w:rPr>
          <w:rFonts w:asciiTheme="majorHAnsi" w:hAnsiTheme="majorHAnsi" w:cstheme="majorHAnsi"/>
        </w:rPr>
        <w:t>(c</w:t>
      </w:r>
      <w:r w:rsidRPr="00ED6C4D">
        <w:rPr>
          <w:rFonts w:asciiTheme="majorHAnsi" w:hAnsiTheme="majorHAnsi" w:cstheme="majorHAnsi"/>
        </w:rPr>
        <w:t>)-(</w:t>
      </w:r>
      <w:r w:rsidR="00167661" w:rsidRPr="00ED6C4D">
        <w:rPr>
          <w:rFonts w:asciiTheme="majorHAnsi" w:hAnsiTheme="majorHAnsi" w:cstheme="majorHAnsi"/>
        </w:rPr>
        <w:t>d</w:t>
      </w:r>
      <w:r w:rsidRPr="00ED6C4D">
        <w:rPr>
          <w:rFonts w:asciiTheme="majorHAnsi" w:hAnsiTheme="majorHAnsi" w:cstheme="majorHAnsi"/>
        </w:rPr>
        <w:t xml:space="preserve">) illustrates trajectories of the importer HHI for the </w:t>
      </w:r>
      <w:r w:rsidR="003806AA" w:rsidRPr="00ED6C4D">
        <w:rPr>
          <w:rFonts w:asciiTheme="majorHAnsi" w:hAnsiTheme="majorHAnsi" w:cstheme="majorHAnsi"/>
        </w:rPr>
        <w:t>two largest</w:t>
      </w:r>
      <w:r w:rsidRPr="00ED6C4D">
        <w:rPr>
          <w:rFonts w:asciiTheme="majorHAnsi" w:hAnsiTheme="majorHAnsi" w:cstheme="majorHAnsi"/>
        </w:rPr>
        <w:t xml:space="preserve"> energy importers in the baseline scenario (Pacific Asia and South Asia). Each color represents a different scenario. </w:t>
      </w:r>
    </w:p>
    <w:p w14:paraId="3FE9F23F" w14:textId="77777777" w:rsidR="006E67B0" w:rsidRPr="00ED6C4D" w:rsidRDefault="00AF1572" w:rsidP="00E04241">
      <w:pPr>
        <w:keepNext/>
        <w:spacing w:line="240" w:lineRule="auto"/>
        <w:ind w:hanging="360"/>
        <w:rPr>
          <w:rFonts w:asciiTheme="majorHAnsi" w:hAnsiTheme="majorHAnsi" w:cstheme="majorHAnsi"/>
        </w:rPr>
      </w:pPr>
      <w:r w:rsidRPr="00ED6C4D">
        <w:rPr>
          <w:rFonts w:asciiTheme="majorHAnsi" w:hAnsiTheme="majorHAnsi" w:cstheme="majorHAnsi"/>
          <w:noProof/>
        </w:rPr>
        <w:lastRenderedPageBreak/>
        <w:drawing>
          <wp:inline distT="0" distB="0" distL="0" distR="0" wp14:anchorId="3DE7158D" wp14:editId="78851348">
            <wp:extent cx="5943600" cy="4114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4165"/>
                    </a:xfrm>
                    <a:prstGeom prst="rect">
                      <a:avLst/>
                    </a:prstGeom>
                  </pic:spPr>
                </pic:pic>
              </a:graphicData>
            </a:graphic>
          </wp:inline>
        </w:drawing>
      </w:r>
    </w:p>
    <w:p w14:paraId="32AF74A1" w14:textId="469C4FA3" w:rsidR="006E67B0" w:rsidRPr="00ED6C4D" w:rsidRDefault="006E67B0" w:rsidP="00E04241">
      <w:pPr>
        <w:pStyle w:val="Caption"/>
        <w:rPr>
          <w:rFonts w:asciiTheme="majorHAnsi" w:hAnsiTheme="majorHAnsi" w:cstheme="majorHAnsi"/>
          <w:i w:val="0"/>
          <w:iCs w:val="0"/>
          <w:color w:val="auto"/>
        </w:rPr>
      </w:pPr>
      <w:r w:rsidRPr="00ED6C4D">
        <w:rPr>
          <w:rFonts w:asciiTheme="majorHAnsi" w:hAnsiTheme="majorHAnsi" w:cstheme="majorHAnsi"/>
          <w:b/>
          <w:bCs/>
          <w:i w:val="0"/>
          <w:iCs w:val="0"/>
          <w:color w:val="auto"/>
        </w:rPr>
        <w:t>Fig</w:t>
      </w:r>
      <w:r w:rsidR="008F7819" w:rsidRPr="00ED6C4D">
        <w:rPr>
          <w:rFonts w:asciiTheme="majorHAnsi" w:hAnsiTheme="majorHAnsi" w:cstheme="majorHAnsi"/>
          <w:b/>
          <w:bCs/>
          <w:i w:val="0"/>
          <w:iCs w:val="0"/>
          <w:color w:val="auto"/>
        </w:rPr>
        <w:t xml:space="preserve">. </w:t>
      </w:r>
      <w:r w:rsidR="00ED6C4D">
        <w:rPr>
          <w:rFonts w:asciiTheme="majorHAnsi" w:hAnsiTheme="majorHAnsi" w:cstheme="majorHAnsi"/>
          <w:b/>
          <w:bCs/>
          <w:i w:val="0"/>
          <w:iCs w:val="0"/>
          <w:color w:val="auto"/>
        </w:rPr>
        <w:t>6</w:t>
      </w:r>
      <w:r w:rsidRPr="00ED6C4D">
        <w:rPr>
          <w:rFonts w:asciiTheme="majorHAnsi" w:hAnsiTheme="majorHAnsi" w:cstheme="majorHAnsi"/>
          <w:b/>
          <w:bCs/>
          <w:i w:val="0"/>
          <w:iCs w:val="0"/>
          <w:color w:val="auto"/>
        </w:rPr>
        <w:t>.</w:t>
      </w:r>
      <w:r w:rsidRPr="00ED6C4D">
        <w:rPr>
          <w:rFonts w:asciiTheme="majorHAnsi" w:hAnsiTheme="majorHAnsi" w:cstheme="majorHAnsi"/>
          <w:i w:val="0"/>
          <w:iCs w:val="0"/>
          <w:color w:val="auto"/>
        </w:rPr>
        <w:t xml:space="preserve"> </w:t>
      </w:r>
      <w:r w:rsidRPr="00ED6C4D">
        <w:rPr>
          <w:rFonts w:asciiTheme="majorHAnsi" w:hAnsiTheme="majorHAnsi" w:cstheme="majorHAnsi"/>
          <w:b/>
          <w:i w:val="0"/>
          <w:iCs w:val="0"/>
          <w:color w:val="auto"/>
        </w:rPr>
        <w:t xml:space="preserve">Mean </w:t>
      </w:r>
      <w:proofErr w:type="spellStart"/>
      <w:r w:rsidRPr="00ED6C4D">
        <w:rPr>
          <w:rFonts w:asciiTheme="majorHAnsi" w:hAnsiTheme="majorHAnsi" w:cstheme="majorHAnsi"/>
          <w:b/>
          <w:i w:val="0"/>
          <w:iCs w:val="0"/>
          <w:color w:val="auto"/>
        </w:rPr>
        <w:t>Herfindahl</w:t>
      </w:r>
      <w:proofErr w:type="spellEnd"/>
      <w:r w:rsidRPr="00ED6C4D">
        <w:rPr>
          <w:rFonts w:asciiTheme="majorHAnsi" w:hAnsiTheme="majorHAnsi" w:cstheme="majorHAnsi"/>
          <w:b/>
          <w:i w:val="0"/>
          <w:iCs w:val="0"/>
          <w:color w:val="auto"/>
        </w:rPr>
        <w:t>-Hirschman Index (HHI) values for</w:t>
      </w:r>
      <w:r w:rsidR="008F7819" w:rsidRPr="00ED6C4D">
        <w:rPr>
          <w:rFonts w:asciiTheme="majorHAnsi" w:hAnsiTheme="majorHAnsi" w:cstheme="majorHAnsi"/>
          <w:b/>
          <w:i w:val="0"/>
          <w:iCs w:val="0"/>
          <w:color w:val="auto"/>
        </w:rPr>
        <w:t xml:space="preserve"> major importers and exporters.</w:t>
      </w:r>
      <w:r w:rsidR="008F7819" w:rsidRPr="00ED6C4D">
        <w:rPr>
          <w:rFonts w:asciiTheme="majorHAnsi" w:hAnsiTheme="majorHAnsi" w:cstheme="majorHAnsi"/>
          <w:i w:val="0"/>
          <w:iCs w:val="0"/>
          <w:color w:val="auto"/>
        </w:rPr>
        <w:t xml:space="preserve"> The figure presents</w:t>
      </w:r>
      <w:r w:rsidRPr="00ED6C4D">
        <w:rPr>
          <w:rFonts w:asciiTheme="majorHAnsi" w:hAnsiTheme="majorHAnsi" w:cstheme="majorHAnsi"/>
          <w:i w:val="0"/>
          <w:iCs w:val="0"/>
          <w:color w:val="auto"/>
        </w:rPr>
        <w:t xml:space="preserve"> the top two energy exporting regions (</w:t>
      </w:r>
      <w:proofErr w:type="gramStart"/>
      <w:r w:rsidRPr="00ED6C4D">
        <w:rPr>
          <w:rFonts w:asciiTheme="majorHAnsi" w:hAnsiTheme="majorHAnsi" w:cstheme="majorHAnsi"/>
          <w:i w:val="0"/>
          <w:iCs w:val="0"/>
          <w:color w:val="auto"/>
        </w:rPr>
        <w:t>a and</w:t>
      </w:r>
      <w:proofErr w:type="gramEnd"/>
      <w:r w:rsidRPr="00ED6C4D">
        <w:rPr>
          <w:rFonts w:asciiTheme="majorHAnsi" w:hAnsiTheme="majorHAnsi" w:cstheme="majorHAnsi"/>
          <w:i w:val="0"/>
          <w:iCs w:val="0"/>
          <w:color w:val="auto"/>
        </w:rPr>
        <w:t xml:space="preserve"> b) and top two energy importing regions (c and d). Lines are colored by scenario.</w:t>
      </w:r>
    </w:p>
    <w:p w14:paraId="1F72F646" w14:textId="77777777" w:rsidR="006E67B0" w:rsidRPr="00ED6C4D" w:rsidRDefault="006E67B0" w:rsidP="006E67B0">
      <w:pPr>
        <w:spacing w:line="360" w:lineRule="auto"/>
        <w:rPr>
          <w:rFonts w:asciiTheme="majorHAnsi" w:hAnsiTheme="majorHAnsi" w:cstheme="majorHAnsi"/>
        </w:rPr>
      </w:pPr>
    </w:p>
    <w:p w14:paraId="3F652B84" w14:textId="77777777" w:rsidR="006E67B0" w:rsidRPr="00ED6C4D" w:rsidRDefault="006E67B0" w:rsidP="000929F0">
      <w:pPr>
        <w:spacing w:line="360" w:lineRule="auto"/>
        <w:ind w:firstLine="720"/>
        <w:rPr>
          <w:rFonts w:asciiTheme="majorHAnsi" w:hAnsiTheme="majorHAnsi" w:cstheme="majorHAnsi"/>
        </w:rPr>
      </w:pPr>
      <w:r w:rsidRPr="00ED6C4D">
        <w:rPr>
          <w:rFonts w:asciiTheme="majorHAnsi" w:hAnsiTheme="majorHAnsi" w:cstheme="majorHAnsi"/>
        </w:rPr>
        <w:t>These results indicate that neither low</w:t>
      </w:r>
      <w:r w:rsidR="00DD7115" w:rsidRPr="00ED6C4D">
        <w:rPr>
          <w:rFonts w:asciiTheme="majorHAnsi" w:hAnsiTheme="majorHAnsi" w:cstheme="majorHAnsi"/>
        </w:rPr>
        <w:t xml:space="preserve"> </w:t>
      </w:r>
      <w:r w:rsidRPr="00ED6C4D">
        <w:rPr>
          <w:rFonts w:asciiTheme="majorHAnsi" w:hAnsiTheme="majorHAnsi" w:cstheme="majorHAnsi"/>
        </w:rPr>
        <w:t>tariff nor high</w:t>
      </w:r>
      <w:r w:rsidR="00DD7115" w:rsidRPr="00ED6C4D">
        <w:rPr>
          <w:rFonts w:asciiTheme="majorHAnsi" w:hAnsiTheme="majorHAnsi" w:cstheme="majorHAnsi"/>
        </w:rPr>
        <w:t xml:space="preserve"> </w:t>
      </w:r>
      <w:r w:rsidRPr="00ED6C4D">
        <w:rPr>
          <w:rFonts w:asciiTheme="majorHAnsi" w:hAnsiTheme="majorHAnsi" w:cstheme="majorHAnsi"/>
        </w:rPr>
        <w:t>tariff scenarios influence the general magnitude or direction of both export diversity and import diversity.</w:t>
      </w:r>
      <w:r w:rsidR="00826DBD" w:rsidRPr="00ED6C4D">
        <w:rPr>
          <w:rFonts w:asciiTheme="majorHAnsi" w:hAnsiTheme="majorHAnsi" w:cstheme="majorHAnsi"/>
        </w:rPr>
        <w:t xml:space="preserve"> This is with the exception of the high tariff scenario in Pacific Asia, which exhibits reduced portfolio diversity </w:t>
      </w:r>
      <w:r w:rsidR="00DD7115" w:rsidRPr="00ED6C4D">
        <w:rPr>
          <w:rFonts w:asciiTheme="majorHAnsi" w:hAnsiTheme="majorHAnsi" w:cstheme="majorHAnsi"/>
        </w:rPr>
        <w:t xml:space="preserve">over time </w:t>
      </w:r>
      <w:r w:rsidR="00826DBD" w:rsidRPr="00ED6C4D">
        <w:rPr>
          <w:rFonts w:asciiTheme="majorHAnsi" w:hAnsiTheme="majorHAnsi" w:cstheme="majorHAnsi"/>
        </w:rPr>
        <w:t>when higher tariffs are levied. In general, t</w:t>
      </w:r>
      <w:r w:rsidRPr="00ED6C4D">
        <w:rPr>
          <w:rFonts w:asciiTheme="majorHAnsi" w:hAnsiTheme="majorHAnsi" w:cstheme="majorHAnsi"/>
        </w:rPr>
        <w:t xml:space="preserve">he emissions tax </w:t>
      </w:r>
      <w:r w:rsidR="00826DBD" w:rsidRPr="00ED6C4D">
        <w:rPr>
          <w:rFonts w:asciiTheme="majorHAnsi" w:hAnsiTheme="majorHAnsi" w:cstheme="majorHAnsi"/>
        </w:rPr>
        <w:t>scenarios</w:t>
      </w:r>
      <w:r w:rsidRPr="00ED6C4D">
        <w:rPr>
          <w:rFonts w:asciiTheme="majorHAnsi" w:hAnsiTheme="majorHAnsi" w:cstheme="majorHAnsi"/>
        </w:rPr>
        <w:t xml:space="preserve"> allow regions to maintain a more diverse portfolio of importers. This is consistent with the effects of the emissions tax on the global fuel trade network, as increased complexity in the network is facilitated when each region has more trade linkages and balances its imports and/or exports among these linkages. Interestingly this effect does not translate generally to energy </w:t>
      </w:r>
      <w:r w:rsidRPr="00ED6C4D">
        <w:rPr>
          <w:rFonts w:asciiTheme="majorHAnsi" w:hAnsiTheme="majorHAnsi" w:cstheme="majorHAnsi"/>
          <w:i/>
          <w:iCs/>
        </w:rPr>
        <w:t>exporters</w:t>
      </w:r>
      <w:r w:rsidRPr="00ED6C4D">
        <w:rPr>
          <w:rFonts w:asciiTheme="majorHAnsi" w:hAnsiTheme="majorHAnsi" w:cstheme="majorHAnsi"/>
        </w:rPr>
        <w:t>; while the emissions tax allows for increased diversity in energy exports from Latin America, it actually decreases diversity in energy exports from Middle East. This is in fact a function of the dramatic reduction in crude oil demand from importing regions under the emissions tax scenario.</w:t>
      </w:r>
    </w:p>
    <w:p w14:paraId="449C1E8E" w14:textId="6520E0BD" w:rsidR="006E67B0" w:rsidRPr="00ED6C4D" w:rsidRDefault="00EA5256" w:rsidP="7D0E00F7">
      <w:pPr>
        <w:spacing w:line="360" w:lineRule="auto"/>
        <w:ind w:firstLine="720"/>
        <w:rPr>
          <w:rFonts w:asciiTheme="majorHAnsi" w:hAnsiTheme="majorHAnsi" w:cstheme="majorHAnsi"/>
        </w:rPr>
      </w:pPr>
      <w:r w:rsidRPr="00ED6C4D">
        <w:rPr>
          <w:rFonts w:asciiTheme="majorHAnsi" w:hAnsiTheme="majorHAnsi" w:cstheme="majorHAnsi"/>
        </w:rPr>
        <w:t xml:space="preserve">Our results suggest that an emissions tax can induce increased complexity in the trade network which subsequently leads to increased portfolio security. However, it is important to note here that there </w:t>
      </w:r>
      <w:r w:rsidRPr="00ED6C4D">
        <w:rPr>
          <w:rFonts w:asciiTheme="majorHAnsi" w:hAnsiTheme="majorHAnsi" w:cstheme="majorHAnsi"/>
        </w:rPr>
        <w:lastRenderedPageBreak/>
        <w:t xml:space="preserve">are also factors driving baseline trends. </w:t>
      </w:r>
      <w:r w:rsidR="7D0E00F7" w:rsidRPr="00ED6C4D">
        <w:rPr>
          <w:rFonts w:asciiTheme="majorHAnsi" w:hAnsiTheme="majorHAnsi" w:cstheme="majorHAnsi"/>
        </w:rPr>
        <w:t xml:space="preserve">This study assumes SSP2 </w:t>
      </w:r>
      <w:r w:rsidR="00400FFE" w:rsidRPr="00ED6C4D">
        <w:rPr>
          <w:rFonts w:asciiTheme="majorHAnsi" w:hAnsiTheme="majorHAnsi" w:cstheme="majorHAnsi"/>
        </w:rPr>
        <w:t xml:space="preserve">as basis for </w:t>
      </w:r>
      <w:r w:rsidR="7D0E00F7" w:rsidRPr="00ED6C4D">
        <w:rPr>
          <w:rFonts w:asciiTheme="majorHAnsi" w:hAnsiTheme="majorHAnsi" w:cstheme="majorHAnsi"/>
        </w:rPr>
        <w:t xml:space="preserve">future population and GDP growth. SSP2 is the “middle-of-the-road” pathway that </w:t>
      </w:r>
      <w:r w:rsidR="00400FFE" w:rsidRPr="00ED6C4D">
        <w:rPr>
          <w:rFonts w:asciiTheme="majorHAnsi" w:hAnsiTheme="majorHAnsi" w:cstheme="majorHAnsi"/>
        </w:rPr>
        <w:t xml:space="preserve">includes (for example) relatively </w:t>
      </w:r>
      <w:r w:rsidR="7D0E00F7" w:rsidRPr="00ED6C4D">
        <w:rPr>
          <w:rFonts w:asciiTheme="majorHAnsi" w:hAnsiTheme="majorHAnsi" w:cstheme="majorHAnsi"/>
        </w:rPr>
        <w:t>high population and GDP growth in India</w:t>
      </w:r>
      <w:r w:rsidR="000C2971" w:rsidRPr="00ED6C4D">
        <w:rPr>
          <w:rFonts w:asciiTheme="majorHAnsi" w:hAnsiTheme="majorHAnsi" w:cstheme="majorHAnsi"/>
        </w:rPr>
        <w:t xml:space="preserve"> </w:t>
      </w:r>
      <w:r w:rsidR="000C2971" w:rsidRPr="00ED6C4D">
        <w:rPr>
          <w:rFonts w:asciiTheme="majorHAnsi" w:hAnsiTheme="majorHAnsi" w:cstheme="majorHAnsi"/>
        </w:rPr>
        <w:fldChar w:fldCharType="begin" w:fldLock="1"/>
      </w:r>
      <w:r w:rsidR="006141C7">
        <w:rPr>
          <w:rFonts w:asciiTheme="majorHAnsi" w:hAnsiTheme="majorHAnsi" w:cstheme="majorHAnsi"/>
        </w:rPr>
        <w:instrText>ADDIN CSL_CITATION {"citationItems":[{"id":"ITEM-1","itemData":{"DOI":"10.1016/j.gloenvcha.2016.05.009","ISSN":"09593780","abstract":"This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400–1200 EJ in 2100, and feature vastly different land-use dynamics, ranging from a possible reduction in cropland area up to a massive expansion by more than 700 million hectares by 2100. The associated annual CO2 emissions of the baseline scenarios range from about 25 GtCO2 to more than 120 GtCO2 per year by 2100. With respect to mitigation, we find that associated costs strongly depend on three factors: (1) the policy assumptions, (2) the socio-economic narrative, and (3) the stringency of the target. The carbon price for reaching the target of 2.6 W/m2 that is consistent with a temperature change limit of 2 °C,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the new generatio…","author":[{"dropping-particle":"","family":"Riahi","given":"Keywan","non-dropping-particle":"","parse-names":false,"suffix":""},{"dropping-particle":"","family":"Vuuren","given":"Detlef P.","non-dropping-particle":"van","parse-names":false,"suffix":""},{"dropping-particle":"","family":"Kriegler","given":"Elmar","non-dropping-particle":"","parse-names":false,"suffix":""},{"dropping-particle":"","family":"Edmonds","given":"Jae","non-dropping-particle":"","parse-names":false,"suffix":""},{"dropping-particle":"","family":"O'Neill","given":"Brian C.","non-dropping-particle":"","parse-names":false,"suffix":""},{"dropping-particle":"","family":"Fujimori","given":"Shinichiro","non-dropping-particle":"","parse-names":false,"suffix":""},{"dropping-particle":"","family":"Bauer","given":"Nico","non-dropping-particle":"","parse-names":false,"suffix":""},{"dropping-particle":"","family":"Calvin","given":"Katherine","non-dropping-particle":"","parse-names":false,"suffix":""},{"dropping-particle":"","family":"Dellink","given":"Rob","non-dropping-particle":"","parse-names":false,"suffix":""},{"dropping-particle":"","family":"Fricko","given":"Oliver","non-dropping-particle":"","parse-names":false,"suffix":""},{"dropping-particle":"","family":"Lutz","given":"Wolfgang","non-dropping-particle":"","parse-names":false,"suffix":""},{"dropping-particle":"","family":"Popp","given":"Alexander","non-dropping-particle":"","parse-names":false,"suffix":""},{"dropping-particle":"","family":"Cuaresma","given":"Jesus Crespo","non-dropping-particle":"","parse-names":false,"suffix":""},{"dropping-particle":"","family":"KC","given":"Samir","non-dropping-particle":"","parse-names":false,"suffix":""},{"dropping-particle":"","family":"Leimbach","given":"Marian","non-dropping-particle":"","parse-names":false,"suffix":""},{"dropping-particle":"","family":"Jiang","given":"Leiwen","non-dropping-particle":"","parse-names":false,"suffix":""},{"dropping-particle":"","family":"Kram","given":"Tom","non-dropping-particle":"","parse-names":false,"suffix":""},{"dropping-particle":"","family":"Rao","given":"Shilpa","non-dropping-particle":"","parse-names":false,"suffix":""},{"dropping-particle":"","family":"Emmerling","given":"Johannes","non-dropping-particle":"","parse-names":false,"suffix":""},{"dropping-particle":"","family":"Ebi","given":"Kristie","non-dropping-particle":"","parse-names":false,"suffix":""},{"dropping-particle":"","family":"Hasegawa","given":"Tomoko","non-dropping-particle":"","parse-names":false,"suffix":""},{"dropping-particle":"","family":"Havlik","given":"Petr","non-dropping-particle":"","parse-names":false,"suffix":""},{"dropping-particle":"","family":"Humpenöder","given":"Florian","non-dropping-particle":"","parse-names":false,"suffix":""},{"dropping-particle":"","family":"Silva","given":"Lara Aleluia","non-dropping-particle":"Da","parse-names":false,"suffix":""},{"dropping-particle":"","family":"Smith","given":"Steve","non-dropping-particle":"","parse-names":false,"suffix":""},{"dropping-particle":"","family":"Stehfest","given":"Elke","non-dropping-particle":"","parse-names":false,"suffix":""},{"dropping-particle":"","family":"Bosetti","given":"Valentina","non-dropping-particle":"","parse-names":false,"suffix":""},{"dropping-particle":"","family":"Eom","given":"Jiyong","non-dropping-particle":"","parse-names":false,"suffix":""},{"dropping-particle":"","family":"Gernaat","given":"David","non-dropping-particle":"","parse-names":false,"suffix":""},{"dropping-particle":"","family":"Masui","given":"Toshihiko","non-dropping-particle":"","parse-names":false,"suffix":""},{"dropping-particle":"","family":"Rogelj","given":"Joeri","non-dropping-particle":"","parse-names":false,"suffix":""},{"dropping-particle":"","family":"Strefler","given":"Jessica","non-dropping-particle":"","parse-names":false,"suffix":""},{"dropping-particle":"","family":"Drouet","given":"Laurent","non-dropping-particle":"","parse-names":false,"suffix":""},{"dropping-particle":"","family":"Krey","given":"Volker","non-dropping-particle":"","parse-names":false,"suffix":""},{"dropping-particle":"","family":"Luderer","given":"Gunnar","non-dropping-particle":"","parse-names":false,"suffix":""},{"dropping-particle":"","family":"Harmsen","given":"Mathijs","non-dropping-particle":"","parse-names":false,"suffix":""},{"dropping-particle":"","family":"Takahashi","given":"Kiyoshi","non-dropping-particle":"","parse-names":false,"suffix":""},{"dropping-particle":"","family":"Baumstark","given":"Lavinia","non-dropping-particle":"","parse-names":false,"suffix":""},{"dropping-particle":"","family":"Doelman","given":"Jonathan C.","non-dropping-particle":"","parse-names":false,"suffix":""},{"dropping-particle":"","family":"Kainuma","given":"Mikiko","non-dropping-particle":"","parse-names":false,"suffix":""},{"dropping-particle":"","family":"Klimont","given":"Zbigniew","non-dropping-particle":"","parse-names":false,"suffix":""},{"dropping-particle":"","family":"Marangoni","given":"Giacomo","non-dropping-particle":"","parse-names":false,"suffix":""},{"dropping-particle":"","family":"Lotze-Campen","given":"Hermann","non-dropping-particle":"","parse-names":false,"suffix":""},{"dropping-particle":"","family":"Obersteiner","given":"Michael","non-dropping-particle":"","parse-names":false,"suffix":""},{"dropping-particle":"","family":"Tabeau","given":"Andrzej","non-dropping-particle":"","parse-names":false,"suffix":""},{"dropping-particle":"","family":"Tavoni","given":"Massimo","non-dropping-particle":"","parse-names":false,"suffix":""}],"container-title":"Global Environmental Change","id":"ITEM-1","issued":{"date-parts":[["2017"]]},"title":"The Shared Socioeconomic Pathways and their energy, land use, and greenhouse gas emissions implications: An overview","type":"article-journal"},"uris":["http://www.mendeley.com/documents/?uuid=9a696c23-c05f-4cf5-9054-3ab8b0505211"]},{"id":"ITEM-2","itemData":{"DOI":"10.1016/j.gloenvcha.2016.06.004","ISSN":"09593780","abstract":"Studies of global environmental change make extensive use of scenarios to explore how the future can evolve under a consistent set of assumptions. The recently developed Shared Socioeconomic Pathways (SSPs) create a framework for the study of climate-related scenario outcomes. Their five narratives span a wide range of worlds that vary in their challenges for climate change mitigation and adaptation. Here we provide background on the quantification that has been selected to serve as the reference, or ‘marker’, implementation for SSP2. The SSP2 narrative describes a middle-of-the-road development in the mitigation and adaptation challenges space. We explain how the narrative has been translated into quantitative assumptions in the IIASA Integrated Assessment Modelling Framework. We show that our SSP2 marker implementation occupies a central position for key metrics along the mitigation and adaptation challenge dimensions. For many dimensions the SSP2 marker implementation also reflects an extension of the historical experience, particularly in terms of carbon and energy intensity improvements in its baseline. This leads to a steady emissions increase over the 21st century, with projected end-of-century warming nearing 4 °C relative to preindustrial levels. On the other hand, SSP2 also shows that global-mean temperature increase can be limited to below 2 °C, pending stringent climate policies throughout the world. The added value of the SSP2 marker implementation for the wider scientific community is that it can serve as a starting point to further explore integrated solutions for achieving multiple societal objectives in light of the climate adaptation and mitigation challenges that society could face over the 21st century.","author":[{"dropping-particle":"","family":"Fricko","given":"Oliver","non-dropping-particle":"","parse-names":false,"suffix":""},{"dropping-particle":"","family":"Havlik","given":"Petr","non-dropping-particle":"","parse-names":false,"suffix":""},{"dropping-particle":"","family":"Rogelj","given":"Joeri","non-dropping-particle":"","parse-names":false,"suffix":""},{"dropping-particle":"","family":"Klimont","given":"Zbigniew","non-dropping-particle":"","parse-names":false,"suffix":""},{"dropping-particle":"","family":"Gusti","given":"Mykola","non-dropping-particle":"","parse-names":false,"suffix":""},{"dropping-particle":"","family":"Johnson","given":"Nils","non-dropping-particle":"","parse-names":false,"suffix":""},{"dropping-particle":"","family":"Kolp","given":"Peter","non-dropping-particle":"","parse-names":false,"suffix":""},{"dropping-particle":"","family":"Strubegger","given":"Manfred","non-dropping-particle":"","parse-names":false,"suffix":""},{"dropping-particle":"","family":"Valin","given":"Hugo","non-dropping-particle":"","parse-names":false,"suffix":""},{"dropping-particle":"","family":"Amann","given":"Markus","non-dropping-particle":"","parse-names":false,"suffix":""},{"dropping-particle":"","family":"Ermolieva","given":"Tatiana","non-dropping-particle":"","parse-names":false,"suffix":""},{"dropping-particle":"","family":"Forsell","given":"Nicklas","non-dropping-particle":"","parse-names":false,"suffix":""},{"dropping-particle":"","family":"Herrero","given":"Mario","non-dropping-particle":"","parse-names":false,"suffix":""},{"dropping-particle":"","family":"Heyes","given":"Chris","non-dropping-particle":"","parse-names":false,"suffix":""},{"dropping-particle":"","family":"Kindermann","given":"Georg","non-dropping-particle":"","parse-names":false,"suffix":""},{"dropping-particle":"","family":"Krey","given":"Volker","non-dropping-particle":"","parse-names":false,"suffix":""},{"dropping-particle":"","family":"McCollum","given":"David L.","non-dropping-particle":"","parse-names":false,"suffix":""},{"dropping-particle":"","family":"Obersteiner","given":"Michael","non-dropping-particle":"","parse-names":false,"suffix":""},{"dropping-particle":"","family":"Pachauri","given":"Shonali","non-dropping-particle":"","parse-names":false,"suffix":""},{"dropping-particle":"","family":"Rao","given":"Shilpa","non-dropping-particle":"","parse-names":false,"suffix":""},{"dropping-particle":"","family":"Schmid","given":"Erwin","non-dropping-particle":"","parse-names":false,"suffix":""},{"dropping-particle":"","family":"Schoepp","given":"Wolfgang","non-dropping-particle":"","parse-names":false,"suffix":""},{"dropping-particle":"","family":"Riahi","given":"Keywan","non-dropping-particle":"","parse-names":false,"suffix":""}],"container-title":"Global Environmental Change","id":"ITEM-2","issued":{"date-parts":[["2017"]]},"title":"The marker quantification of the Shared Socioeconomic Pathway 2: A middle-of-the-road scenario for the 21st century","type":"article-journal"},"uris":["http://www.mendeley.com/documents/?uuid=b1b68071-7886-4e83-954b-9c7757592001"]}],"mendeley":{"formattedCitation":"[35,36]","plainTextFormattedCitation":"[35,36]","previouslyFormattedCitation":"[35,36]"},"properties":{"noteIndex":0},"schema":"https://github.com/citation-style-language/schema/raw/master/csl-citation.json"}</w:instrText>
      </w:r>
      <w:r w:rsidR="000C2971" w:rsidRPr="00ED6C4D">
        <w:rPr>
          <w:rFonts w:asciiTheme="majorHAnsi" w:hAnsiTheme="majorHAnsi" w:cstheme="majorHAnsi"/>
        </w:rPr>
        <w:fldChar w:fldCharType="separate"/>
      </w:r>
      <w:r w:rsidR="001E46D7" w:rsidRPr="001E46D7">
        <w:rPr>
          <w:rFonts w:asciiTheme="majorHAnsi" w:hAnsiTheme="majorHAnsi" w:cstheme="majorHAnsi"/>
          <w:noProof/>
        </w:rPr>
        <w:t>[35,36]</w:t>
      </w:r>
      <w:r w:rsidR="000C2971" w:rsidRPr="00ED6C4D">
        <w:rPr>
          <w:rFonts w:asciiTheme="majorHAnsi" w:hAnsiTheme="majorHAnsi" w:cstheme="majorHAnsi"/>
        </w:rPr>
        <w:fldChar w:fldCharType="end"/>
      </w:r>
      <w:r w:rsidR="7D0E00F7" w:rsidRPr="00ED6C4D">
        <w:rPr>
          <w:rFonts w:asciiTheme="majorHAnsi" w:hAnsiTheme="majorHAnsi" w:cstheme="majorHAnsi"/>
        </w:rPr>
        <w:t>. We see this reflected in the energy security trajectories of this study. Figure 6 shows that, in</w:t>
      </w:r>
      <w:r w:rsidR="003806AA" w:rsidRPr="00ED6C4D">
        <w:rPr>
          <w:rFonts w:asciiTheme="majorHAnsi" w:hAnsiTheme="majorHAnsi" w:cstheme="majorHAnsi"/>
        </w:rPr>
        <w:t xml:space="preserve"> the baseline scenario, South</w:t>
      </w:r>
      <w:r w:rsidR="7D0E00F7" w:rsidRPr="00ED6C4D">
        <w:rPr>
          <w:rFonts w:asciiTheme="majorHAnsi" w:hAnsiTheme="majorHAnsi" w:cstheme="majorHAnsi"/>
        </w:rPr>
        <w:t xml:space="preserve"> Asia (</w:t>
      </w:r>
      <w:r w:rsidR="00C92547">
        <w:rPr>
          <w:rFonts w:asciiTheme="majorHAnsi" w:hAnsiTheme="majorHAnsi" w:cstheme="majorHAnsi"/>
        </w:rPr>
        <w:t>including India</w:t>
      </w:r>
      <w:r w:rsidR="7D0E00F7" w:rsidRPr="00ED6C4D">
        <w:rPr>
          <w:rFonts w:asciiTheme="majorHAnsi" w:hAnsiTheme="majorHAnsi" w:cstheme="majorHAnsi"/>
        </w:rPr>
        <w:t>) observes increased import diversity. On the other hand, the Middle East shows a decrease in export diversity. This is driven by crude and ligh</w:t>
      </w:r>
      <w:r w:rsidR="003806AA" w:rsidRPr="00ED6C4D">
        <w:rPr>
          <w:rFonts w:asciiTheme="majorHAnsi" w:hAnsiTheme="majorHAnsi" w:cstheme="majorHAnsi"/>
        </w:rPr>
        <w:t>t oil. As oil demand in South</w:t>
      </w:r>
      <w:r w:rsidR="7D0E00F7" w:rsidRPr="00ED6C4D">
        <w:rPr>
          <w:rFonts w:asciiTheme="majorHAnsi" w:hAnsiTheme="majorHAnsi" w:cstheme="majorHAnsi"/>
        </w:rPr>
        <w:t xml:space="preserve"> Asia increases (driven by GDP and population growth in India), it demands imports from more regions. These regions shi</w:t>
      </w:r>
      <w:r w:rsidR="003806AA" w:rsidRPr="00ED6C4D">
        <w:rPr>
          <w:rFonts w:asciiTheme="majorHAnsi" w:hAnsiTheme="majorHAnsi" w:cstheme="majorHAnsi"/>
        </w:rPr>
        <w:t>ft their oil exports to South</w:t>
      </w:r>
      <w:r w:rsidR="7D0E00F7" w:rsidRPr="00ED6C4D">
        <w:rPr>
          <w:rFonts w:asciiTheme="majorHAnsi" w:hAnsiTheme="majorHAnsi" w:cstheme="majorHAnsi"/>
        </w:rPr>
        <w:t xml:space="preserve"> Asia and reduce their exports to other regions. In some cases, the origi</w:t>
      </w:r>
      <w:r w:rsidR="003806AA" w:rsidRPr="00ED6C4D">
        <w:rPr>
          <w:rFonts w:asciiTheme="majorHAnsi" w:hAnsiTheme="majorHAnsi" w:cstheme="majorHAnsi"/>
        </w:rPr>
        <w:t>nal trade flow to a non-South</w:t>
      </w:r>
      <w:r w:rsidR="7D0E00F7" w:rsidRPr="00ED6C4D">
        <w:rPr>
          <w:rFonts w:asciiTheme="majorHAnsi" w:hAnsiTheme="majorHAnsi" w:cstheme="majorHAnsi"/>
        </w:rPr>
        <w:t xml:space="preserve"> Asia importer was small to begin with, so the trade flow reduces to zero. This reduces the energy exporters’ trade diversity and increases the dependence on sustained demand from India. Over time, Latin America becomes the dominant exporter of light oil. By 2050, light oil eclipses crude oil in the global energy market. Because India increases its reliance on Latin America, we observe an increase in HHI toward 2050 which is indicative of a more concentrated import portfolio. This trajectory </w:t>
      </w:r>
      <w:r w:rsidR="00C92547">
        <w:rPr>
          <w:rFonts w:asciiTheme="majorHAnsi" w:hAnsiTheme="majorHAnsi" w:cstheme="majorHAnsi"/>
        </w:rPr>
        <w:t xml:space="preserve">is </w:t>
      </w:r>
      <w:r w:rsidR="7D0E00F7" w:rsidRPr="00ED6C4D">
        <w:rPr>
          <w:rFonts w:asciiTheme="majorHAnsi" w:hAnsiTheme="majorHAnsi" w:cstheme="majorHAnsi"/>
        </w:rPr>
        <w:t xml:space="preserve">not the result of any one policy, but rather the consequence of underlying socioeconomic pathways. This has implications for energy export security in the future even without any additional policy effects. This exercise underscores the importance of including underlying socioeconomic assumptions in energy policy evaluations. </w:t>
      </w:r>
    </w:p>
    <w:p w14:paraId="08CE6F91" w14:textId="77777777" w:rsidR="00167661" w:rsidRPr="00ED6C4D" w:rsidRDefault="00167661" w:rsidP="00167661">
      <w:pPr>
        <w:spacing w:line="360" w:lineRule="auto"/>
        <w:ind w:firstLine="720"/>
        <w:rPr>
          <w:rFonts w:asciiTheme="majorHAnsi" w:hAnsiTheme="majorHAnsi" w:cstheme="majorHAnsi"/>
        </w:rPr>
      </w:pPr>
    </w:p>
    <w:p w14:paraId="0BE5D48D" w14:textId="77777777" w:rsidR="00EA5256" w:rsidRPr="00ED6C4D" w:rsidRDefault="00167661" w:rsidP="00EA5256">
      <w:pPr>
        <w:pStyle w:val="Heading2"/>
        <w:rPr>
          <w:rFonts w:cstheme="majorHAnsi"/>
          <w:color w:val="auto"/>
        </w:rPr>
      </w:pPr>
      <w:r w:rsidRPr="00ED6C4D">
        <w:rPr>
          <w:rFonts w:cstheme="majorHAnsi"/>
          <w:color w:val="auto"/>
        </w:rPr>
        <w:t>3</w:t>
      </w:r>
      <w:r w:rsidR="00EA5256" w:rsidRPr="00ED6C4D">
        <w:rPr>
          <w:rFonts w:cstheme="majorHAnsi"/>
          <w:color w:val="auto"/>
        </w:rPr>
        <w:t>.4</w:t>
      </w:r>
      <w:r w:rsidR="00EA5256" w:rsidRPr="00ED6C4D">
        <w:rPr>
          <w:rFonts w:cstheme="majorHAnsi"/>
          <w:color w:val="auto"/>
        </w:rPr>
        <w:tab/>
        <w:t>Sensitivity analysis</w:t>
      </w:r>
    </w:p>
    <w:p w14:paraId="61CDCEAD" w14:textId="77777777" w:rsidR="00EA5256" w:rsidRPr="00ED6C4D" w:rsidRDefault="00EA5256" w:rsidP="00EA5256">
      <w:pPr>
        <w:rPr>
          <w:rFonts w:asciiTheme="majorHAnsi" w:hAnsiTheme="majorHAnsi" w:cstheme="majorHAnsi"/>
        </w:rPr>
      </w:pPr>
    </w:p>
    <w:p w14:paraId="3D0336CE" w14:textId="32D831F8" w:rsidR="00EA5256" w:rsidRPr="00ED6C4D" w:rsidRDefault="00EA5256" w:rsidP="00EA5256">
      <w:pPr>
        <w:spacing w:line="360" w:lineRule="auto"/>
        <w:rPr>
          <w:rFonts w:asciiTheme="majorHAnsi" w:hAnsiTheme="majorHAnsi" w:cstheme="majorHAnsi"/>
        </w:rPr>
      </w:pPr>
      <w:r w:rsidRPr="00ED6C4D">
        <w:rPr>
          <w:rFonts w:asciiTheme="majorHAnsi" w:hAnsiTheme="majorHAnsi" w:cstheme="majorHAnsi"/>
        </w:rPr>
        <w:tab/>
        <w:t>We conduct two main sensitivity analyses on our results to check their robustness. The first is with regard to the tax rate in our emissions tax scenario. All scenarios assume a starting tax of $</w:t>
      </w:r>
      <w:r w:rsidR="00E7295E" w:rsidRPr="00ED6C4D">
        <w:rPr>
          <w:rFonts w:asciiTheme="majorHAnsi" w:hAnsiTheme="majorHAnsi" w:cstheme="majorHAnsi"/>
        </w:rPr>
        <w:t>27</w:t>
      </w:r>
      <w:r w:rsidRPr="00ED6C4D">
        <w:rPr>
          <w:rFonts w:asciiTheme="majorHAnsi" w:hAnsiTheme="majorHAnsi" w:cstheme="majorHAnsi"/>
        </w:rPr>
        <w:t>/tCO2 in 2020, increasing 5% annually thereafter. We also test a “low emission</w:t>
      </w:r>
      <w:r w:rsidR="009732DE" w:rsidRPr="00ED6C4D">
        <w:rPr>
          <w:rFonts w:asciiTheme="majorHAnsi" w:hAnsiTheme="majorHAnsi" w:cstheme="majorHAnsi"/>
        </w:rPr>
        <w:t>s</w:t>
      </w:r>
      <w:r w:rsidRPr="00ED6C4D">
        <w:rPr>
          <w:rFonts w:asciiTheme="majorHAnsi" w:hAnsiTheme="majorHAnsi" w:cstheme="majorHAnsi"/>
        </w:rPr>
        <w:t xml:space="preserve"> tax” scenario with a starting rate at $15/tCO2 and a “high emission</w:t>
      </w:r>
      <w:r w:rsidR="009732DE" w:rsidRPr="00ED6C4D">
        <w:rPr>
          <w:rFonts w:asciiTheme="majorHAnsi" w:hAnsiTheme="majorHAnsi" w:cstheme="majorHAnsi"/>
        </w:rPr>
        <w:t>s</w:t>
      </w:r>
      <w:r w:rsidRPr="00ED6C4D">
        <w:rPr>
          <w:rFonts w:asciiTheme="majorHAnsi" w:hAnsiTheme="majorHAnsi" w:cstheme="majorHAnsi"/>
        </w:rPr>
        <w:t xml:space="preserve"> tax” scenario with a starting rate of $60/tCO2. We apply the 5% annual increase in both cases. By changing the tax rate, we are testing whether the existence of a tax or the underlying tax </w:t>
      </w:r>
      <w:r w:rsidRPr="00ED6C4D">
        <w:rPr>
          <w:rFonts w:asciiTheme="majorHAnsi" w:hAnsiTheme="majorHAnsi" w:cstheme="majorHAnsi"/>
          <w:i/>
        </w:rPr>
        <w:t>rate</w:t>
      </w:r>
      <w:r w:rsidRPr="00ED6C4D">
        <w:rPr>
          <w:rFonts w:asciiTheme="majorHAnsi" w:hAnsiTheme="majorHAnsi" w:cstheme="majorHAnsi"/>
        </w:rPr>
        <w:t xml:space="preserve"> influences our results. In other words, if the $15/tCO2 scenario produces results that are very similar to those of the $</w:t>
      </w:r>
      <w:r w:rsidR="00E7295E" w:rsidRPr="00ED6C4D">
        <w:rPr>
          <w:rFonts w:asciiTheme="majorHAnsi" w:hAnsiTheme="majorHAnsi" w:cstheme="majorHAnsi"/>
        </w:rPr>
        <w:t>27</w:t>
      </w:r>
      <w:r w:rsidRPr="00ED6C4D">
        <w:rPr>
          <w:rFonts w:asciiTheme="majorHAnsi" w:hAnsiTheme="majorHAnsi" w:cstheme="majorHAnsi"/>
        </w:rPr>
        <w:t xml:space="preserve">/tCO2 scenario, it is the existence of the tax </w:t>
      </w:r>
      <w:r w:rsidR="003806AA" w:rsidRPr="00ED6C4D">
        <w:rPr>
          <w:rFonts w:asciiTheme="majorHAnsi" w:hAnsiTheme="majorHAnsi" w:cstheme="majorHAnsi"/>
        </w:rPr>
        <w:t xml:space="preserve">and not the tax rate </w:t>
      </w:r>
      <w:r w:rsidRPr="00ED6C4D">
        <w:rPr>
          <w:rFonts w:asciiTheme="majorHAnsi" w:hAnsiTheme="majorHAnsi" w:cstheme="majorHAnsi"/>
        </w:rPr>
        <w:t>that catalyzes the dramatic changes to the global energy trade network we presented.</w:t>
      </w:r>
    </w:p>
    <w:p w14:paraId="3BE000EC" w14:textId="00C810EA" w:rsidR="00167661" w:rsidRPr="00ED6C4D" w:rsidRDefault="00EA5256" w:rsidP="00EA5256">
      <w:pPr>
        <w:spacing w:line="360" w:lineRule="auto"/>
        <w:rPr>
          <w:rFonts w:asciiTheme="majorHAnsi" w:hAnsiTheme="majorHAnsi" w:cstheme="majorHAnsi"/>
        </w:rPr>
      </w:pPr>
      <w:r w:rsidRPr="00ED6C4D">
        <w:rPr>
          <w:rFonts w:asciiTheme="majorHAnsi" w:hAnsiTheme="majorHAnsi" w:cstheme="majorHAnsi"/>
        </w:rPr>
        <w:tab/>
      </w:r>
      <w:r w:rsidR="00610887" w:rsidRPr="00ED6C4D">
        <w:rPr>
          <w:rFonts w:asciiTheme="majorHAnsi" w:hAnsiTheme="majorHAnsi" w:cstheme="majorHAnsi"/>
        </w:rPr>
        <w:t>This result of this sensitivity analysis</w:t>
      </w:r>
      <w:r w:rsidRPr="00ED6C4D">
        <w:rPr>
          <w:rFonts w:asciiTheme="majorHAnsi" w:hAnsiTheme="majorHAnsi" w:cstheme="majorHAnsi"/>
        </w:rPr>
        <w:t xml:space="preserve"> indicate that our </w:t>
      </w:r>
      <w:r w:rsidR="00610887" w:rsidRPr="00ED6C4D">
        <w:rPr>
          <w:rFonts w:asciiTheme="majorHAnsi" w:hAnsiTheme="majorHAnsi" w:cstheme="majorHAnsi"/>
        </w:rPr>
        <w:t xml:space="preserve">findings </w:t>
      </w:r>
      <w:r w:rsidRPr="00ED6C4D">
        <w:rPr>
          <w:rFonts w:asciiTheme="majorHAnsi" w:hAnsiTheme="majorHAnsi" w:cstheme="majorHAnsi"/>
        </w:rPr>
        <w:t xml:space="preserve">are </w:t>
      </w:r>
      <w:r w:rsidR="00167661" w:rsidRPr="00ED6C4D">
        <w:rPr>
          <w:rFonts w:asciiTheme="majorHAnsi" w:hAnsiTheme="majorHAnsi" w:cstheme="majorHAnsi"/>
        </w:rPr>
        <w:t>robust</w:t>
      </w:r>
      <w:r w:rsidRPr="00ED6C4D">
        <w:rPr>
          <w:rFonts w:asciiTheme="majorHAnsi" w:hAnsiTheme="majorHAnsi" w:cstheme="majorHAnsi"/>
        </w:rPr>
        <w:t xml:space="preserve"> to changing tax rates, except in the case of crude oil and light oil. This is indicative of the tradeoff between the two commodities. Under the high tax scenario, crude oil trade constrains (from 39.8EJ to 27.2EJ) whereas light oil trade increases (40.5EJ to 41.5EJ). Under the low tax scenario, crude oil trade increases (to 59.1EJ) </w:t>
      </w:r>
      <w:r w:rsidRPr="00ED6C4D">
        <w:rPr>
          <w:rFonts w:asciiTheme="majorHAnsi" w:hAnsiTheme="majorHAnsi" w:cstheme="majorHAnsi"/>
        </w:rPr>
        <w:lastRenderedPageBreak/>
        <w:t xml:space="preserve">while light oil trade constrains (to 17.5EJ). This means that certain commodities are more sensitive to the emissions tax than others and that crude oil is particularly sensitive. This is consistent with the rationale presented in Section </w:t>
      </w:r>
      <w:r w:rsidR="00FA38D0" w:rsidRPr="00ED6C4D">
        <w:rPr>
          <w:rFonts w:asciiTheme="majorHAnsi" w:hAnsiTheme="majorHAnsi" w:cstheme="majorHAnsi"/>
        </w:rPr>
        <w:t>3.1</w:t>
      </w:r>
      <w:r w:rsidRPr="00ED6C4D">
        <w:rPr>
          <w:rFonts w:asciiTheme="majorHAnsi" w:hAnsiTheme="majorHAnsi" w:cstheme="majorHAnsi"/>
        </w:rPr>
        <w:t xml:space="preserve">, in which we propose that the emissions tax affects costs throughout the energy supply chain and so commodities that have particularly emissions-intensive upstream costs will be disproportionately impacted by a tax. </w:t>
      </w:r>
    </w:p>
    <w:p w14:paraId="6BB9E253" w14:textId="3E8D5977" w:rsidR="008C7340" w:rsidRPr="00ED6C4D" w:rsidRDefault="003806AA" w:rsidP="008C7340">
      <w:pPr>
        <w:spacing w:line="360" w:lineRule="auto"/>
        <w:ind w:left="-720" w:firstLine="720"/>
        <w:jc w:val="center"/>
        <w:rPr>
          <w:rFonts w:asciiTheme="majorHAnsi" w:hAnsiTheme="majorHAnsi" w:cstheme="majorHAnsi"/>
        </w:rPr>
      </w:pPr>
      <w:r w:rsidRPr="00ED6C4D">
        <w:rPr>
          <w:rFonts w:asciiTheme="majorHAnsi" w:hAnsiTheme="majorHAnsi" w:cstheme="majorHAnsi"/>
          <w:noProof/>
        </w:rPr>
        <w:drawing>
          <wp:inline distT="0" distB="0" distL="0" distR="0" wp14:anchorId="4FAE1168" wp14:editId="081E9F3A">
            <wp:extent cx="5943600" cy="2591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1435"/>
                    </a:xfrm>
                    <a:prstGeom prst="rect">
                      <a:avLst/>
                    </a:prstGeom>
                  </pic:spPr>
                </pic:pic>
              </a:graphicData>
            </a:graphic>
          </wp:inline>
        </w:drawing>
      </w:r>
      <w:r w:rsidR="004E1491" w:rsidRPr="00ED6C4D">
        <w:rPr>
          <w:rFonts w:asciiTheme="majorHAnsi" w:hAnsiTheme="majorHAnsi" w:cstheme="majorHAnsi"/>
        </w:rPr>
        <w:t xml:space="preserve"> </w:t>
      </w:r>
    </w:p>
    <w:p w14:paraId="5CAE2027" w14:textId="46CF2CAA" w:rsidR="00987DA4" w:rsidRPr="00ED6C4D" w:rsidRDefault="008F7819" w:rsidP="004E1491">
      <w:pPr>
        <w:spacing w:line="240" w:lineRule="auto"/>
        <w:jc w:val="both"/>
        <w:rPr>
          <w:rFonts w:asciiTheme="majorHAnsi" w:hAnsiTheme="majorHAnsi" w:cstheme="majorHAnsi"/>
          <w:sz w:val="18"/>
          <w:szCs w:val="18"/>
        </w:rPr>
      </w:pPr>
      <w:r w:rsidRPr="00ED6C4D">
        <w:rPr>
          <w:rFonts w:asciiTheme="majorHAnsi" w:hAnsiTheme="majorHAnsi" w:cstheme="majorHAnsi"/>
          <w:b/>
          <w:bCs/>
          <w:sz w:val="18"/>
          <w:szCs w:val="18"/>
        </w:rPr>
        <w:t xml:space="preserve">Fig. </w:t>
      </w:r>
      <w:r w:rsidR="00ED6C4D">
        <w:rPr>
          <w:rFonts w:asciiTheme="majorHAnsi" w:hAnsiTheme="majorHAnsi" w:cstheme="majorHAnsi"/>
          <w:b/>
          <w:bCs/>
          <w:sz w:val="18"/>
          <w:szCs w:val="18"/>
        </w:rPr>
        <w:t>7</w:t>
      </w:r>
      <w:r w:rsidR="7D0E00F7" w:rsidRPr="00ED6C4D">
        <w:rPr>
          <w:rFonts w:asciiTheme="majorHAnsi" w:hAnsiTheme="majorHAnsi" w:cstheme="majorHAnsi"/>
          <w:b/>
          <w:bCs/>
          <w:sz w:val="18"/>
          <w:szCs w:val="18"/>
        </w:rPr>
        <w:t>. Sensitivity analysis with varying emissions tax levels</w:t>
      </w:r>
      <w:r w:rsidR="7D0E00F7" w:rsidRPr="00ED6C4D">
        <w:rPr>
          <w:rFonts w:asciiTheme="majorHAnsi" w:hAnsiTheme="majorHAnsi" w:cstheme="majorHAnsi"/>
          <w:sz w:val="18"/>
          <w:szCs w:val="18"/>
        </w:rPr>
        <w:t xml:space="preserve">. Colors represent energy commodities, shapes represent the various emissions tax scenarios. </w:t>
      </w:r>
      <w:r w:rsidR="004E1491" w:rsidRPr="00ED6C4D">
        <w:rPr>
          <w:rFonts w:asciiTheme="majorHAnsi" w:hAnsiTheme="majorHAnsi" w:cstheme="majorHAnsi"/>
          <w:sz w:val="18"/>
          <w:szCs w:val="18"/>
        </w:rPr>
        <w:t>We present crude oil and light oil on a separate figure as these two commodities are traded at a much larger scale than the other commodities.</w:t>
      </w:r>
    </w:p>
    <w:p w14:paraId="23DE523C" w14:textId="77777777" w:rsidR="006F3C02" w:rsidRPr="00ED6C4D" w:rsidRDefault="006F3C02" w:rsidP="008C1A30">
      <w:pPr>
        <w:spacing w:line="360" w:lineRule="auto"/>
        <w:jc w:val="both"/>
        <w:rPr>
          <w:rFonts w:asciiTheme="majorHAnsi" w:hAnsiTheme="majorHAnsi" w:cstheme="majorHAnsi"/>
          <w:sz w:val="20"/>
          <w:szCs w:val="20"/>
        </w:rPr>
      </w:pPr>
    </w:p>
    <w:p w14:paraId="5ABCFA41" w14:textId="5FE0B365" w:rsidR="00EA5256" w:rsidRPr="00ED6C4D" w:rsidRDefault="00EA5256" w:rsidP="00EA5256">
      <w:pPr>
        <w:spacing w:line="360" w:lineRule="auto"/>
        <w:ind w:firstLine="720"/>
        <w:rPr>
          <w:rFonts w:asciiTheme="majorHAnsi" w:hAnsiTheme="majorHAnsi" w:cstheme="majorHAnsi"/>
        </w:rPr>
      </w:pPr>
      <w:r w:rsidRPr="00ED6C4D">
        <w:rPr>
          <w:rFonts w:asciiTheme="majorHAnsi" w:hAnsiTheme="majorHAnsi" w:cstheme="majorHAnsi"/>
        </w:rPr>
        <w:t xml:space="preserve">In addition to sliding the tax rate, we conduct a sensitivity analysis based on emission factors. As in the first sensitivity analysis, the purpose of this analysis was to test whether the mechanism proposed in Section </w:t>
      </w:r>
      <w:r w:rsidR="00700BC1" w:rsidRPr="00ED6C4D">
        <w:rPr>
          <w:rFonts w:asciiTheme="majorHAnsi" w:hAnsiTheme="majorHAnsi" w:cstheme="majorHAnsi"/>
        </w:rPr>
        <w:t xml:space="preserve">3.1 </w:t>
      </w:r>
      <w:r w:rsidRPr="00ED6C4D">
        <w:rPr>
          <w:rFonts w:asciiTheme="majorHAnsi" w:hAnsiTheme="majorHAnsi" w:cstheme="majorHAnsi"/>
        </w:rPr>
        <w:t xml:space="preserve">held under varying levels within each scenario. In this case, we test whether the Middle East </w:t>
      </w:r>
      <w:r w:rsidR="00610887" w:rsidRPr="00ED6C4D">
        <w:rPr>
          <w:rFonts w:asciiTheme="majorHAnsi" w:hAnsiTheme="majorHAnsi" w:cstheme="majorHAnsi"/>
        </w:rPr>
        <w:t xml:space="preserve">is </w:t>
      </w:r>
      <w:r w:rsidRPr="00ED6C4D">
        <w:rPr>
          <w:rFonts w:asciiTheme="majorHAnsi" w:hAnsiTheme="majorHAnsi" w:cstheme="majorHAnsi"/>
        </w:rPr>
        <w:t xml:space="preserve">so heavily impacted because </w:t>
      </w:r>
      <w:r w:rsidR="00274BC5" w:rsidRPr="00ED6C4D">
        <w:rPr>
          <w:rFonts w:asciiTheme="majorHAnsi" w:hAnsiTheme="majorHAnsi" w:cstheme="majorHAnsi"/>
        </w:rPr>
        <w:t>crude oil extraction is a very emissions-intensive activity.</w:t>
      </w:r>
      <w:r w:rsidR="00274BC5" w:rsidRPr="00ED6C4D">
        <w:rPr>
          <w:rStyle w:val="FootnoteReference"/>
          <w:rFonts w:asciiTheme="majorHAnsi" w:hAnsiTheme="majorHAnsi" w:cstheme="majorHAnsi"/>
        </w:rPr>
        <w:footnoteReference w:id="8"/>
      </w:r>
      <w:r w:rsidR="00274BC5" w:rsidRPr="00ED6C4D">
        <w:rPr>
          <w:rFonts w:asciiTheme="majorHAnsi" w:hAnsiTheme="majorHAnsi" w:cstheme="majorHAnsi"/>
        </w:rPr>
        <w:t xml:space="preserve"> </w:t>
      </w:r>
      <w:r w:rsidRPr="00ED6C4D">
        <w:rPr>
          <w:rFonts w:asciiTheme="majorHAnsi" w:hAnsiTheme="majorHAnsi" w:cstheme="majorHAnsi"/>
        </w:rPr>
        <w:t>Our null hypothesis is that if the Middle East were to reduce its emissions factor of crude oil extraction by 50%, the global energy network under an emissions tax would more closely resemble that of the baseline scenario without the tax. In other words, the null hypothesis states that the upstream emissions factor in the Middle East is what drives the dramatic effects of the emissions tax. To run this analysis, we run the emissions tax scenarios (at $</w:t>
      </w:r>
      <w:r w:rsidR="00274BC5" w:rsidRPr="00ED6C4D">
        <w:rPr>
          <w:rFonts w:asciiTheme="majorHAnsi" w:hAnsiTheme="majorHAnsi" w:cstheme="majorHAnsi"/>
        </w:rPr>
        <w:t>27</w:t>
      </w:r>
      <w:r w:rsidRPr="00ED6C4D">
        <w:rPr>
          <w:rFonts w:asciiTheme="majorHAnsi" w:hAnsiTheme="majorHAnsi" w:cstheme="majorHAnsi"/>
        </w:rPr>
        <w:t xml:space="preserve">/tCO2) while setting extraction technologies in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to 50% of their baseline levels.</w:t>
      </w:r>
    </w:p>
    <w:p w14:paraId="2B6CEAD8" w14:textId="4A28E70B" w:rsidR="006E67B0"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lastRenderedPageBreak/>
        <w:t xml:space="preserve">Our results suggest that while lowering the emission factors of crude oil extraction in the Middle East has a slight effect on the composition of the global energy trade network, the presence of the emissions tax still causes dramatic changes compared to the baseline. This means that lowering the emission factor of the Middle East’s crude oil extraction is a significant, but not total, explanatory factor in determining the shape of the energy trade network. This result is consistent with the mechanism described in Section 3.1; the emissions tax has a dramatic effect on the trade network because it hits all levels of the energy supply chain. This result is also consistent with the first sensitivity analysis on tax levels. </w:t>
      </w:r>
    </w:p>
    <w:p w14:paraId="52E56223" w14:textId="77777777" w:rsidR="00AF4B61" w:rsidRPr="00ED6C4D" w:rsidRDefault="00AF4B61" w:rsidP="006E67B0">
      <w:pPr>
        <w:spacing w:line="360" w:lineRule="auto"/>
        <w:rPr>
          <w:rFonts w:asciiTheme="majorHAnsi" w:hAnsiTheme="majorHAnsi" w:cstheme="majorHAnsi"/>
        </w:rPr>
      </w:pPr>
    </w:p>
    <w:p w14:paraId="06CF2F32" w14:textId="77777777" w:rsidR="006E67B0" w:rsidRPr="00ED6C4D" w:rsidRDefault="00167661" w:rsidP="00AF4B61">
      <w:pPr>
        <w:pStyle w:val="Heading1"/>
        <w:rPr>
          <w:rFonts w:cstheme="majorHAnsi"/>
          <w:color w:val="auto"/>
        </w:rPr>
      </w:pPr>
      <w:r w:rsidRPr="00ED6C4D">
        <w:rPr>
          <w:rFonts w:cstheme="majorHAnsi"/>
          <w:color w:val="auto"/>
        </w:rPr>
        <w:t>4</w:t>
      </w:r>
      <w:r w:rsidR="006E67B0" w:rsidRPr="00ED6C4D">
        <w:rPr>
          <w:rFonts w:cstheme="majorHAnsi"/>
          <w:color w:val="auto"/>
        </w:rPr>
        <w:tab/>
        <w:t>Conclusion</w:t>
      </w:r>
    </w:p>
    <w:p w14:paraId="07547A01" w14:textId="77777777" w:rsidR="006E67B0" w:rsidRPr="00ED6C4D" w:rsidRDefault="006E67B0" w:rsidP="006E67B0">
      <w:pPr>
        <w:rPr>
          <w:rFonts w:asciiTheme="majorHAnsi" w:hAnsiTheme="majorHAnsi" w:cstheme="majorHAnsi"/>
        </w:rPr>
      </w:pPr>
    </w:p>
    <w:p w14:paraId="10E9C267" w14:textId="77777777" w:rsidR="006E67B0" w:rsidRPr="00ED6C4D" w:rsidRDefault="006E67B0" w:rsidP="000929F0">
      <w:pPr>
        <w:spacing w:line="360" w:lineRule="auto"/>
        <w:ind w:firstLine="720"/>
        <w:rPr>
          <w:rFonts w:asciiTheme="majorHAnsi" w:hAnsiTheme="majorHAnsi" w:cstheme="majorHAnsi"/>
        </w:rPr>
      </w:pPr>
      <w:r w:rsidRPr="00ED6C4D">
        <w:rPr>
          <w:rFonts w:asciiTheme="majorHAnsi" w:hAnsiTheme="majorHAnsi" w:cstheme="majorHAnsi"/>
        </w:rPr>
        <w:t xml:space="preserve">Globalization is inextricably tied to energy transitions; regional energy systems are made up not only of domestic flows but also the ways in which the region interacts with others. The robust trade network that is formed by these interactions has not been explicitly modeled in widely used global energy models. This study provides a development to the </w:t>
      </w:r>
      <w:proofErr w:type="spellStart"/>
      <w:r w:rsidRPr="00ED6C4D">
        <w:rPr>
          <w:rFonts w:asciiTheme="majorHAnsi" w:hAnsiTheme="majorHAnsi" w:cstheme="majorHAnsi"/>
        </w:rPr>
        <w:t>MESSAGEix</w:t>
      </w:r>
      <w:proofErr w:type="spellEnd"/>
      <w:r w:rsidRPr="00ED6C4D">
        <w:rPr>
          <w:rFonts w:asciiTheme="majorHAnsi" w:hAnsiTheme="majorHAnsi" w:cstheme="majorHAnsi"/>
        </w:rPr>
        <w:t xml:space="preserve"> model by modeling the trade of </w:t>
      </w:r>
      <w:r w:rsidR="001C24F2" w:rsidRPr="00ED6C4D">
        <w:rPr>
          <w:rFonts w:asciiTheme="majorHAnsi" w:hAnsiTheme="majorHAnsi" w:cstheme="majorHAnsi"/>
        </w:rPr>
        <w:t>energy commodities</w:t>
      </w:r>
      <w:r w:rsidRPr="00ED6C4D">
        <w:rPr>
          <w:rFonts w:asciiTheme="majorHAnsi" w:hAnsiTheme="majorHAnsi" w:cstheme="majorHAnsi"/>
        </w:rPr>
        <w:t xml:space="preserve"> bilaterally and tracing flows of these </w:t>
      </w:r>
      <w:r w:rsidR="001C24F2" w:rsidRPr="00ED6C4D">
        <w:rPr>
          <w:rFonts w:asciiTheme="majorHAnsi" w:hAnsiTheme="majorHAnsi" w:cstheme="majorHAnsi"/>
        </w:rPr>
        <w:t>commodities</w:t>
      </w:r>
      <w:r w:rsidRPr="00ED6C4D">
        <w:rPr>
          <w:rFonts w:asciiTheme="majorHAnsi" w:hAnsiTheme="majorHAnsi" w:cstheme="majorHAnsi"/>
        </w:rPr>
        <w:t xml:space="preserve"> explicitly from the exporting region to the importing region. This bilateral representation allows us to closely examine effects of trade policies on emissions as well as the effects of climate policies on trade network structures. It also allows us to explore the implications of these policies on regional energy security.</w:t>
      </w:r>
    </w:p>
    <w:p w14:paraId="311F533E" w14:textId="46A630FE" w:rsidR="006E67B0" w:rsidRPr="00ED6C4D" w:rsidRDefault="7D0E00F7" w:rsidP="7D0E00F7">
      <w:pPr>
        <w:spacing w:line="360" w:lineRule="auto"/>
        <w:ind w:firstLine="720"/>
        <w:rPr>
          <w:rFonts w:asciiTheme="majorHAnsi" w:hAnsiTheme="majorHAnsi" w:cstheme="majorHAnsi"/>
        </w:rPr>
      </w:pPr>
      <w:r w:rsidRPr="00ED6C4D">
        <w:rPr>
          <w:rFonts w:asciiTheme="majorHAnsi" w:hAnsiTheme="majorHAnsi" w:cstheme="majorHAnsi"/>
        </w:rPr>
        <w:t>Our results indicate that tariff policies, taken independently, do not significantly impact the structure of the fuel trade network. Sustained high tariffs do significantly reduce emissions that are associated with fuel imports, but do not change the trajectory of overall emissions compared to the baseline</w:t>
      </w:r>
      <w:r w:rsidR="004E1491" w:rsidRPr="00ED6C4D">
        <w:rPr>
          <w:rFonts w:asciiTheme="majorHAnsi" w:hAnsiTheme="majorHAnsi" w:cstheme="majorHAnsi"/>
        </w:rPr>
        <w:t xml:space="preserve">. This is </w:t>
      </w:r>
      <w:r w:rsidR="00C92547">
        <w:rPr>
          <w:rFonts w:asciiTheme="majorHAnsi" w:hAnsiTheme="majorHAnsi" w:cstheme="majorHAnsi"/>
        </w:rPr>
        <w:t xml:space="preserve">also </w:t>
      </w:r>
      <w:r w:rsidR="004E1491" w:rsidRPr="00ED6C4D">
        <w:rPr>
          <w:rFonts w:asciiTheme="majorHAnsi" w:hAnsiTheme="majorHAnsi" w:cstheme="majorHAnsi"/>
        </w:rPr>
        <w:t xml:space="preserve">consistent </w:t>
      </w:r>
      <w:r w:rsidR="00C92547">
        <w:rPr>
          <w:rFonts w:asciiTheme="majorHAnsi" w:hAnsiTheme="majorHAnsi" w:cstheme="majorHAnsi"/>
        </w:rPr>
        <w:t xml:space="preserve">with </w:t>
      </w:r>
      <w:r w:rsidR="004E1491" w:rsidRPr="00ED6C4D">
        <w:rPr>
          <w:rFonts w:asciiTheme="majorHAnsi" w:hAnsiTheme="majorHAnsi" w:cstheme="majorHAnsi"/>
        </w:rPr>
        <w:t xml:space="preserve">a recent study, which found that </w:t>
      </w:r>
      <w:r w:rsidRPr="00ED6C4D">
        <w:rPr>
          <w:rFonts w:asciiTheme="majorHAnsi" w:hAnsiTheme="majorHAnsi" w:cstheme="majorHAnsi"/>
        </w:rPr>
        <w:t xml:space="preserve">imported fuel </w:t>
      </w:r>
      <w:r w:rsidR="004E1491" w:rsidRPr="00ED6C4D">
        <w:rPr>
          <w:rFonts w:asciiTheme="majorHAnsi" w:hAnsiTheme="majorHAnsi" w:cstheme="majorHAnsi"/>
        </w:rPr>
        <w:t xml:space="preserve">is </w:t>
      </w:r>
      <w:r w:rsidRPr="00ED6C4D">
        <w:rPr>
          <w:rFonts w:asciiTheme="majorHAnsi" w:hAnsiTheme="majorHAnsi" w:cstheme="majorHAnsi"/>
        </w:rPr>
        <w:t xml:space="preserve">substituted by </w:t>
      </w:r>
      <w:r w:rsidR="004E1491" w:rsidRPr="00ED6C4D">
        <w:rPr>
          <w:rFonts w:asciiTheme="majorHAnsi" w:hAnsiTheme="majorHAnsi" w:cstheme="majorHAnsi"/>
        </w:rPr>
        <w:t xml:space="preserve">other </w:t>
      </w:r>
      <w:r w:rsidRPr="00ED6C4D">
        <w:rPr>
          <w:rFonts w:asciiTheme="majorHAnsi" w:hAnsiTheme="majorHAnsi" w:cstheme="majorHAnsi"/>
        </w:rPr>
        <w:t>domestic fossil fuel-based solution</w:t>
      </w:r>
      <w:r w:rsidR="004E1491" w:rsidRPr="00ED6C4D">
        <w:rPr>
          <w:rFonts w:asciiTheme="majorHAnsi" w:hAnsiTheme="majorHAnsi" w:cstheme="majorHAnsi"/>
        </w:rPr>
        <w:t xml:space="preserve">s </w:t>
      </w:r>
      <w:r w:rsidR="004E1491" w:rsidRPr="00ED6C4D">
        <w:rPr>
          <w:rFonts w:asciiTheme="majorHAnsi" w:hAnsiTheme="majorHAnsi" w:cstheme="majorHAnsi"/>
        </w:rPr>
        <w:fldChar w:fldCharType="begin" w:fldLock="1"/>
      </w:r>
      <w:r w:rsidR="00BC67D6" w:rsidRPr="00ED6C4D">
        <w:rPr>
          <w:rFonts w:asciiTheme="majorHAnsi" w:hAnsiTheme="majorHAnsi" w:cstheme="majorHAnsi"/>
        </w:rPr>
        <w:instrText>ADDIN CSL_CITATION {"citationItems":[{"id":"ITEM-1","itemData":{"DOI":"10.1038/nature25467","ISSN":"14764687","abstract":"Many governments use subsidies for fossil fuels to reduce the cost of energy for domestic consumption. This has led to the frequent argument that removing subsidies could play an important part in mitigating climate change. Now, Jessica Jewel and colleagues show that subsidy removal would indeed substantially lower emissions in fossil-fuel-exporting countries, but would reduce global carbon dioxide emissions by only a few per cent by 2030. This small reduction would largely be due to offsetting effects from international trade and fuel substitution. The authors also find that subsidy removal would not dramatically increase the use of renewable energy, adding to the suggestion that extensive revisions of subsidy policies would not produce a major benefit for climate mitigation.","author":[{"dropping-particle":"","family":"Jewell","given":"Jessica","non-dropping-particle":"","parse-names":false,"suffix":""},{"dropping-particle":"","family":"McCollum","given":"David","non-dropping-particle":"","parse-names":false,"suffix":""},{"dropping-particle":"","family":"Emmerling","given":"Johannes","non-dropping-particle":"","parse-names":false,"suffix":""},{"dropping-particle":"","family":"Bertram","given":"Christoph","non-dropping-particle":"","parse-names":false,"suffix":""},{"dropping-particle":"","family":"Gernaat","given":"David E.H.J.","non-dropping-particle":"","parse-names":false,"suffix":""},{"dropping-particle":"","family":"Krey","given":"Volker","non-dropping-particle":"","parse-names":false,"suffix":""},{"dropping-particle":"","family":"Paroussos","given":"Leonidas","non-dropping-particle":"","parse-names":false,"suffix":""},{"dropping-particle":"","family":"Berger","given":"Loïc","non-dropping-particle":"","parse-names":false,"suffix":""},{"dropping-particle":"","family":"Fragkiadakis","given":"Kostas","non-dropping-particle":"","parse-names":false,"suffix":""},{"dropping-particle":"","family":"Keppo","given":"Ilkka","non-dropping-particle":"","parse-names":false,"suffix":""},{"dropping-particle":"","family":"Saadi","given":"Nawfal","non-dropping-particle":"","parse-names":false,"suffix":""},{"dropping-particle":"","family":"Tavoni","given":"Massimo","non-dropping-particle":"","parse-names":false,"suffix":""},{"dropping-particle":"","family":"Vuuren","given":"Detlef","non-dropping-particle":"Van","parse-names":false,"suffix":""},{"dropping-particle":"","family":"Vinichenko","given":"Vadim","non-dropping-particle":"","parse-names":false,"suffix":""},{"dropping-particle":"","family":"Riahi","given":"Keywan","non-dropping-particle":"","parse-names":false,"suffix":""}],"container-title":"Nature","id":"ITEM-1","issued":{"date-parts":[["2018"]]},"title":"Limited emission reductions from fuel subsidy removal except in energy-exporting regions","type":"article-journal"},"uris":["http://www.mendeley.com/documents/?uuid=d004fea5-df12-4bc9-b2b9-6096288bb0d6"]}],"mendeley":{"formattedCitation":"[12]","plainTextFormattedCitation":"[12]","previouslyFormattedCitation":"[12]"},"properties":{"noteIndex":0},"schema":"https://github.com/citation-style-language/schema/raw/master/csl-citation.json"}</w:instrText>
      </w:r>
      <w:r w:rsidR="004E1491" w:rsidRPr="00ED6C4D">
        <w:rPr>
          <w:rFonts w:asciiTheme="majorHAnsi" w:hAnsiTheme="majorHAnsi" w:cstheme="majorHAnsi"/>
        </w:rPr>
        <w:fldChar w:fldCharType="separate"/>
      </w:r>
      <w:r w:rsidR="005775AD" w:rsidRPr="00ED6C4D">
        <w:rPr>
          <w:rFonts w:asciiTheme="majorHAnsi" w:hAnsiTheme="majorHAnsi" w:cstheme="majorHAnsi"/>
          <w:noProof/>
        </w:rPr>
        <w:t>[12]</w:t>
      </w:r>
      <w:r w:rsidR="004E1491" w:rsidRPr="00ED6C4D">
        <w:rPr>
          <w:rFonts w:asciiTheme="majorHAnsi" w:hAnsiTheme="majorHAnsi" w:cstheme="majorHAnsi"/>
        </w:rPr>
        <w:fldChar w:fldCharType="end"/>
      </w:r>
      <w:r w:rsidRPr="00ED6C4D">
        <w:rPr>
          <w:rFonts w:asciiTheme="majorHAnsi" w:hAnsiTheme="majorHAnsi" w:cstheme="majorHAnsi"/>
        </w:rPr>
        <w:t xml:space="preserve">. An emissions tax of $27/tCO2 dramatically alters the fuel trade network in terms of both size (reducing it by nearly 50%) and composition of fuels. The emissions tax scenario induces large reductions in global emissions; however, these reductions are not driven by changes in trade-related emissions, but rather occur from systemic reductions throughout the energy supply chain. </w:t>
      </w:r>
    </w:p>
    <w:p w14:paraId="61C4163B" w14:textId="6E395791" w:rsidR="003E29AF" w:rsidRPr="00ED6C4D" w:rsidRDefault="7D0E00F7" w:rsidP="004E1491">
      <w:pPr>
        <w:spacing w:line="360" w:lineRule="auto"/>
        <w:ind w:firstLine="720"/>
        <w:rPr>
          <w:rFonts w:asciiTheme="majorHAnsi" w:hAnsiTheme="majorHAnsi" w:cstheme="majorHAnsi"/>
        </w:rPr>
      </w:pPr>
      <w:r w:rsidRPr="00ED6C4D">
        <w:rPr>
          <w:rFonts w:asciiTheme="majorHAnsi" w:hAnsiTheme="majorHAnsi" w:cstheme="majorHAnsi"/>
        </w:rPr>
        <w:t xml:space="preserve">Importantly, a carbon emission tax increases the complexity of the trade network by forming more trade linkages compared to the baseline. This increases the energy security of energy importers and </w:t>
      </w:r>
      <w:r w:rsidRPr="00ED6C4D">
        <w:rPr>
          <w:rFonts w:asciiTheme="majorHAnsi" w:hAnsiTheme="majorHAnsi" w:cstheme="majorHAnsi"/>
        </w:rPr>
        <w:lastRenderedPageBreak/>
        <w:t xml:space="preserve">most energy exporters, with the exception of the Middle East which relies heavily on the export of crude oil (demand for which is dramatically reduced under an emissions tax). </w:t>
      </w:r>
      <w:r w:rsidR="003E29AF" w:rsidRPr="00ED6C4D">
        <w:rPr>
          <w:rFonts w:asciiTheme="majorHAnsi" w:hAnsiTheme="majorHAnsi" w:cstheme="majorHAnsi"/>
        </w:rPr>
        <w:t xml:space="preserve">The increased diversity of trade portfolios underscores the need for international cooperation to optimally effect a global emissions tax. </w:t>
      </w:r>
    </w:p>
    <w:p w14:paraId="5C128C20" w14:textId="49ABE5C8" w:rsidR="004E1491" w:rsidRPr="00ED6C4D" w:rsidRDefault="003806AA" w:rsidP="004E1491">
      <w:pPr>
        <w:spacing w:line="360" w:lineRule="auto"/>
        <w:ind w:firstLine="720"/>
        <w:rPr>
          <w:rFonts w:asciiTheme="majorHAnsi" w:hAnsiTheme="majorHAnsi" w:cstheme="majorHAnsi"/>
        </w:rPr>
      </w:pPr>
      <w:r w:rsidRPr="00ED6C4D">
        <w:rPr>
          <w:rFonts w:asciiTheme="majorHAnsi" w:hAnsiTheme="majorHAnsi" w:cstheme="majorHAnsi"/>
        </w:rPr>
        <w:t xml:space="preserve">This study provides an entryway into understanding the interactions between climate and trade policy in the context of energy security and emissions. </w:t>
      </w:r>
      <w:r w:rsidR="003E29AF" w:rsidRPr="00ED6C4D">
        <w:rPr>
          <w:rFonts w:asciiTheme="majorHAnsi" w:hAnsiTheme="majorHAnsi" w:cstheme="majorHAnsi"/>
        </w:rPr>
        <w:t xml:space="preserve">Future research on this topic </w:t>
      </w:r>
      <w:r w:rsidRPr="00ED6C4D">
        <w:rPr>
          <w:rFonts w:asciiTheme="majorHAnsi" w:hAnsiTheme="majorHAnsi" w:cstheme="majorHAnsi"/>
        </w:rPr>
        <w:t>should investigate</w:t>
      </w:r>
      <w:r w:rsidR="003E29AF" w:rsidRPr="00ED6C4D">
        <w:rPr>
          <w:rFonts w:asciiTheme="majorHAnsi" w:hAnsiTheme="majorHAnsi" w:cstheme="majorHAnsi"/>
        </w:rPr>
        <w:t xml:space="preserve"> the </w:t>
      </w:r>
      <w:r w:rsidRPr="00ED6C4D">
        <w:rPr>
          <w:rFonts w:asciiTheme="majorHAnsi" w:hAnsiTheme="majorHAnsi" w:cstheme="majorHAnsi"/>
        </w:rPr>
        <w:t>additional trade feedback stemming from</w:t>
      </w:r>
      <w:r w:rsidR="003E29AF" w:rsidRPr="00ED6C4D">
        <w:rPr>
          <w:rFonts w:asciiTheme="majorHAnsi" w:hAnsiTheme="majorHAnsi" w:cstheme="majorHAnsi"/>
        </w:rPr>
        <w:t xml:space="preserve"> existing and imminent climate change impacts to geopolitics in energy exporting regions. Another direction of future research may further explore the uncertainty of energy trajectories under climate and trade policy scenarios, particularly with regard to future demand for fossil fuels.</w:t>
      </w:r>
      <w:r w:rsidRPr="00ED6C4D">
        <w:rPr>
          <w:rFonts w:asciiTheme="majorHAnsi" w:hAnsiTheme="majorHAnsi" w:cstheme="majorHAnsi"/>
        </w:rPr>
        <w:t xml:space="preserve"> Finally, t</w:t>
      </w:r>
      <w:r w:rsidR="003E29AF" w:rsidRPr="00ED6C4D">
        <w:rPr>
          <w:rFonts w:asciiTheme="majorHAnsi" w:hAnsiTheme="majorHAnsi" w:cstheme="majorHAnsi"/>
        </w:rPr>
        <w:t>he objective function in MESSAGE is to minimize global energy system costs; however, one can imagine that there are multiple objectives in resolving energy demand</w:t>
      </w:r>
      <w:r w:rsidR="00C92547">
        <w:rPr>
          <w:rFonts w:asciiTheme="majorHAnsi" w:hAnsiTheme="majorHAnsi" w:cstheme="majorHAnsi"/>
        </w:rPr>
        <w:t xml:space="preserve">, including sustainability. </w:t>
      </w:r>
      <w:r w:rsidR="003E29AF" w:rsidRPr="00ED6C4D">
        <w:rPr>
          <w:rFonts w:asciiTheme="majorHAnsi" w:hAnsiTheme="majorHAnsi" w:cstheme="majorHAnsi"/>
        </w:rPr>
        <w:t xml:space="preserve">We anticipate that a multi-objective optimization framework could be applied to the same questions presented in this paper.  </w:t>
      </w:r>
    </w:p>
    <w:p w14:paraId="5043CB0F" w14:textId="77777777" w:rsidR="00422CE5" w:rsidRPr="00ED6C4D" w:rsidRDefault="00422CE5" w:rsidP="006529B2">
      <w:pPr>
        <w:jc w:val="both"/>
        <w:rPr>
          <w:rFonts w:asciiTheme="majorHAnsi" w:hAnsiTheme="majorHAnsi" w:cstheme="majorHAnsi"/>
          <w:sz w:val="20"/>
          <w:szCs w:val="20"/>
        </w:rPr>
      </w:pPr>
    </w:p>
    <w:p w14:paraId="07459315" w14:textId="77777777" w:rsidR="00EF1A48" w:rsidRPr="00ED6C4D" w:rsidRDefault="00EF1A48" w:rsidP="006529B2">
      <w:pPr>
        <w:jc w:val="both"/>
        <w:rPr>
          <w:rFonts w:asciiTheme="majorHAnsi" w:hAnsiTheme="majorHAnsi" w:cstheme="majorHAnsi"/>
          <w:sz w:val="20"/>
          <w:szCs w:val="20"/>
        </w:rPr>
      </w:pPr>
    </w:p>
    <w:p w14:paraId="6537F28F" w14:textId="77777777" w:rsidR="00EF1A48" w:rsidRPr="00ED6C4D" w:rsidRDefault="00EF1A48" w:rsidP="006529B2">
      <w:pPr>
        <w:jc w:val="both"/>
        <w:rPr>
          <w:rFonts w:asciiTheme="majorHAnsi" w:hAnsiTheme="majorHAnsi" w:cstheme="majorHAnsi"/>
          <w:sz w:val="20"/>
          <w:szCs w:val="20"/>
        </w:rPr>
      </w:pPr>
    </w:p>
    <w:p w14:paraId="6DFB9E20" w14:textId="77777777" w:rsidR="00EF1A48" w:rsidRPr="00ED6C4D" w:rsidRDefault="00EF1A48" w:rsidP="006529B2">
      <w:pPr>
        <w:jc w:val="both"/>
        <w:rPr>
          <w:rFonts w:asciiTheme="majorHAnsi" w:hAnsiTheme="majorHAnsi" w:cstheme="majorHAnsi"/>
          <w:sz w:val="20"/>
          <w:szCs w:val="20"/>
        </w:rPr>
      </w:pPr>
    </w:p>
    <w:p w14:paraId="70DF9E56" w14:textId="77777777" w:rsidR="00EF1A48" w:rsidRPr="00ED6C4D" w:rsidRDefault="00EF1A48" w:rsidP="006529B2">
      <w:pPr>
        <w:jc w:val="both"/>
        <w:rPr>
          <w:rFonts w:asciiTheme="majorHAnsi" w:hAnsiTheme="majorHAnsi" w:cstheme="majorHAnsi"/>
          <w:sz w:val="20"/>
          <w:szCs w:val="20"/>
        </w:rPr>
      </w:pPr>
    </w:p>
    <w:p w14:paraId="44E871BC" w14:textId="77777777" w:rsidR="00EF1A48" w:rsidRPr="00ED6C4D" w:rsidRDefault="00EF1A48" w:rsidP="006529B2">
      <w:pPr>
        <w:jc w:val="both"/>
        <w:rPr>
          <w:rFonts w:asciiTheme="majorHAnsi" w:hAnsiTheme="majorHAnsi" w:cstheme="majorHAnsi"/>
          <w:sz w:val="20"/>
          <w:szCs w:val="20"/>
        </w:rPr>
      </w:pPr>
    </w:p>
    <w:p w14:paraId="144A5D23" w14:textId="77777777" w:rsidR="00EF1A48" w:rsidRPr="00ED6C4D" w:rsidRDefault="00EF1A48" w:rsidP="006529B2">
      <w:pPr>
        <w:jc w:val="both"/>
        <w:rPr>
          <w:rFonts w:asciiTheme="majorHAnsi" w:hAnsiTheme="majorHAnsi" w:cstheme="majorHAnsi"/>
          <w:sz w:val="20"/>
          <w:szCs w:val="20"/>
        </w:rPr>
      </w:pPr>
    </w:p>
    <w:p w14:paraId="738610EB" w14:textId="77777777" w:rsidR="00EF1A48" w:rsidRPr="00ED6C4D" w:rsidRDefault="00EF1A48" w:rsidP="006529B2">
      <w:pPr>
        <w:jc w:val="both"/>
        <w:rPr>
          <w:rFonts w:asciiTheme="majorHAnsi" w:hAnsiTheme="majorHAnsi" w:cstheme="majorHAnsi"/>
          <w:sz w:val="20"/>
          <w:szCs w:val="20"/>
        </w:rPr>
      </w:pPr>
    </w:p>
    <w:p w14:paraId="637805D2" w14:textId="77777777" w:rsidR="00EF1A48" w:rsidRPr="00ED6C4D" w:rsidRDefault="00EF1A48" w:rsidP="006529B2">
      <w:pPr>
        <w:jc w:val="both"/>
        <w:rPr>
          <w:rFonts w:asciiTheme="majorHAnsi" w:hAnsiTheme="majorHAnsi" w:cstheme="majorHAnsi"/>
          <w:sz w:val="20"/>
          <w:szCs w:val="20"/>
        </w:rPr>
      </w:pPr>
    </w:p>
    <w:p w14:paraId="463F29E8" w14:textId="77777777" w:rsidR="00EF1A48" w:rsidRPr="00ED6C4D" w:rsidRDefault="00EF1A48" w:rsidP="006529B2">
      <w:pPr>
        <w:jc w:val="both"/>
        <w:rPr>
          <w:rFonts w:asciiTheme="majorHAnsi" w:hAnsiTheme="majorHAnsi" w:cstheme="majorHAnsi"/>
          <w:sz w:val="20"/>
          <w:szCs w:val="20"/>
        </w:rPr>
      </w:pPr>
    </w:p>
    <w:p w14:paraId="3B7B4B86" w14:textId="77777777" w:rsidR="00EF1A48" w:rsidRPr="00ED6C4D" w:rsidRDefault="00EF1A48" w:rsidP="006529B2">
      <w:pPr>
        <w:jc w:val="both"/>
        <w:rPr>
          <w:rFonts w:asciiTheme="majorHAnsi" w:hAnsiTheme="majorHAnsi" w:cstheme="majorHAnsi"/>
          <w:sz w:val="20"/>
          <w:szCs w:val="20"/>
        </w:rPr>
      </w:pPr>
    </w:p>
    <w:p w14:paraId="3A0FF5F2" w14:textId="77777777" w:rsidR="00EF1A48" w:rsidRPr="00ED6C4D" w:rsidRDefault="00EF1A48" w:rsidP="006529B2">
      <w:pPr>
        <w:jc w:val="both"/>
        <w:rPr>
          <w:rFonts w:asciiTheme="majorHAnsi" w:hAnsiTheme="majorHAnsi" w:cstheme="majorHAnsi"/>
          <w:sz w:val="20"/>
          <w:szCs w:val="20"/>
        </w:rPr>
      </w:pPr>
    </w:p>
    <w:p w14:paraId="5630AD66" w14:textId="77777777" w:rsidR="00EF1A48" w:rsidRPr="00ED6C4D" w:rsidRDefault="00EF1A48" w:rsidP="006529B2">
      <w:pPr>
        <w:jc w:val="both"/>
        <w:rPr>
          <w:rFonts w:asciiTheme="majorHAnsi" w:hAnsiTheme="majorHAnsi" w:cstheme="majorHAnsi"/>
          <w:sz w:val="20"/>
          <w:szCs w:val="20"/>
        </w:rPr>
      </w:pPr>
    </w:p>
    <w:p w14:paraId="61829076" w14:textId="77777777" w:rsidR="00EF1A48" w:rsidRPr="00ED6C4D" w:rsidRDefault="00EF1A48" w:rsidP="006529B2">
      <w:pPr>
        <w:jc w:val="both"/>
        <w:rPr>
          <w:rFonts w:asciiTheme="majorHAnsi" w:hAnsiTheme="majorHAnsi" w:cstheme="majorHAnsi"/>
          <w:sz w:val="20"/>
          <w:szCs w:val="20"/>
        </w:rPr>
      </w:pPr>
    </w:p>
    <w:p w14:paraId="2BA226A1" w14:textId="54A3B9AF" w:rsidR="00EF1A48" w:rsidRDefault="00EF1A48" w:rsidP="006529B2">
      <w:pPr>
        <w:jc w:val="both"/>
        <w:rPr>
          <w:rFonts w:asciiTheme="majorHAnsi" w:hAnsiTheme="majorHAnsi" w:cstheme="majorHAnsi"/>
          <w:sz w:val="20"/>
          <w:szCs w:val="20"/>
        </w:rPr>
      </w:pPr>
    </w:p>
    <w:p w14:paraId="28175AB3" w14:textId="77777777" w:rsidR="00691E4E" w:rsidRPr="00ED6C4D" w:rsidRDefault="00691E4E" w:rsidP="006529B2">
      <w:pPr>
        <w:jc w:val="both"/>
        <w:rPr>
          <w:rFonts w:asciiTheme="majorHAnsi" w:hAnsiTheme="majorHAnsi" w:cstheme="majorHAnsi"/>
          <w:sz w:val="20"/>
          <w:szCs w:val="20"/>
        </w:rPr>
      </w:pPr>
    </w:p>
    <w:p w14:paraId="680A4E5D" w14:textId="64307DDF" w:rsidR="00EF1A48" w:rsidRPr="00ED6C4D" w:rsidRDefault="00EF1A48" w:rsidP="006529B2">
      <w:pPr>
        <w:jc w:val="both"/>
        <w:rPr>
          <w:rFonts w:asciiTheme="majorHAnsi" w:hAnsiTheme="majorHAnsi" w:cstheme="majorHAnsi"/>
          <w:sz w:val="20"/>
          <w:szCs w:val="20"/>
        </w:rPr>
      </w:pPr>
    </w:p>
    <w:p w14:paraId="14885421" w14:textId="618D5A59" w:rsidR="00ED2018" w:rsidRDefault="00ED2018" w:rsidP="00EF1A48">
      <w:pPr>
        <w:pStyle w:val="Heading1"/>
        <w:rPr>
          <w:rFonts w:cstheme="majorHAnsi"/>
          <w:color w:val="auto"/>
        </w:rPr>
      </w:pPr>
      <w:r>
        <w:rPr>
          <w:rFonts w:cstheme="majorHAnsi"/>
          <w:color w:val="auto"/>
        </w:rPr>
        <w:lastRenderedPageBreak/>
        <w:t>Funding sources</w:t>
      </w:r>
    </w:p>
    <w:p w14:paraId="2FF8E294" w14:textId="47929761" w:rsidR="00ED2018" w:rsidRDefault="00ED2018" w:rsidP="00ED2018"/>
    <w:p w14:paraId="5DC64B43" w14:textId="41658F6C" w:rsidR="00ED2018" w:rsidRPr="00F143A5" w:rsidRDefault="00ED2018" w:rsidP="00ED2018">
      <w:pPr>
        <w:rPr>
          <w:rFonts w:asciiTheme="majorHAnsi" w:hAnsiTheme="majorHAnsi" w:cstheme="majorHAnsi"/>
        </w:rPr>
      </w:pPr>
      <w:r w:rsidRPr="00F143A5">
        <w:rPr>
          <w:rFonts w:asciiTheme="majorHAnsi" w:hAnsiTheme="majorHAnsi" w:cstheme="majorHAnsi"/>
        </w:rPr>
        <w:t>This research was supported by the National Academy of Sciences (United States). Jun U. Shepard’s doctorate is supported by the United</w:t>
      </w:r>
      <w:bookmarkStart w:id="1" w:name="_GoBack"/>
      <w:bookmarkEnd w:id="1"/>
      <w:r w:rsidRPr="00F143A5">
        <w:rPr>
          <w:rFonts w:asciiTheme="majorHAnsi" w:hAnsiTheme="majorHAnsi" w:cstheme="majorHAnsi"/>
        </w:rPr>
        <w:t xml:space="preserve"> States Office of Naval Research (Grant No. N00014-17-1-2311).</w:t>
      </w:r>
    </w:p>
    <w:p w14:paraId="703BF7CD" w14:textId="77777777" w:rsidR="00ED2018" w:rsidRPr="00ED2018" w:rsidRDefault="00ED2018" w:rsidP="00ED2018"/>
    <w:p w14:paraId="071E4E01" w14:textId="3BBE7481" w:rsidR="00EF1A48" w:rsidRPr="00ED6C4D" w:rsidRDefault="00EF1A48" w:rsidP="00EF1A48">
      <w:pPr>
        <w:pStyle w:val="Heading1"/>
        <w:rPr>
          <w:rFonts w:cstheme="majorHAnsi"/>
          <w:color w:val="auto"/>
        </w:rPr>
      </w:pPr>
      <w:r w:rsidRPr="00ED6C4D">
        <w:rPr>
          <w:rFonts w:cstheme="majorHAnsi"/>
          <w:color w:val="auto"/>
        </w:rPr>
        <w:t>References</w:t>
      </w:r>
    </w:p>
    <w:p w14:paraId="19219836" w14:textId="77777777" w:rsidR="00EF1A48" w:rsidRPr="00ED6C4D" w:rsidRDefault="00EF1A48" w:rsidP="00EF1A48">
      <w:pPr>
        <w:rPr>
          <w:rFonts w:asciiTheme="majorHAnsi" w:hAnsiTheme="majorHAnsi" w:cstheme="majorHAnsi"/>
        </w:rPr>
      </w:pPr>
    </w:p>
    <w:p w14:paraId="7BEB912D" w14:textId="76DAAFF9" w:rsidR="006141C7" w:rsidRPr="006141C7" w:rsidRDefault="002D3A2E" w:rsidP="006141C7">
      <w:pPr>
        <w:widowControl w:val="0"/>
        <w:autoSpaceDE w:val="0"/>
        <w:autoSpaceDN w:val="0"/>
        <w:adjustRightInd w:val="0"/>
        <w:spacing w:line="240" w:lineRule="auto"/>
        <w:ind w:left="640" w:hanging="640"/>
        <w:rPr>
          <w:rFonts w:ascii="Calibri Light" w:hAnsi="Calibri Light" w:cs="Calibri Light"/>
          <w:noProof/>
          <w:szCs w:val="24"/>
        </w:rPr>
      </w:pPr>
      <w:r w:rsidRPr="00ED6C4D">
        <w:rPr>
          <w:rFonts w:asciiTheme="majorHAnsi" w:hAnsiTheme="majorHAnsi" w:cstheme="majorHAnsi"/>
        </w:rPr>
        <w:fldChar w:fldCharType="begin" w:fldLock="1"/>
      </w:r>
      <w:r w:rsidRPr="00ED6C4D">
        <w:rPr>
          <w:rFonts w:asciiTheme="majorHAnsi" w:hAnsiTheme="majorHAnsi" w:cstheme="majorHAnsi"/>
        </w:rPr>
        <w:instrText xml:space="preserve">ADDIN Mendeley Bibliography CSL_BIBLIOGRAPHY </w:instrText>
      </w:r>
      <w:r w:rsidRPr="00ED6C4D">
        <w:rPr>
          <w:rFonts w:asciiTheme="majorHAnsi" w:hAnsiTheme="majorHAnsi" w:cstheme="majorHAnsi"/>
        </w:rPr>
        <w:fldChar w:fldCharType="separate"/>
      </w:r>
      <w:r w:rsidR="006141C7" w:rsidRPr="006141C7">
        <w:rPr>
          <w:rFonts w:ascii="Calibri Light" w:hAnsi="Calibri Light" w:cs="Calibri Light"/>
          <w:noProof/>
          <w:szCs w:val="24"/>
        </w:rPr>
        <w:t>[1]</w:t>
      </w:r>
      <w:r w:rsidR="006141C7" w:rsidRPr="006141C7">
        <w:rPr>
          <w:rFonts w:ascii="Calibri Light" w:hAnsi="Calibri Light" w:cs="Calibri Light"/>
          <w:noProof/>
          <w:szCs w:val="24"/>
        </w:rPr>
        <w:tab/>
        <w:t>United Nations. Adoption of the Paris Agreement. Conf Parties Its Twenty-First Sess 2015.</w:t>
      </w:r>
    </w:p>
    <w:p w14:paraId="172D61E3"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w:t>
      </w:r>
      <w:r w:rsidRPr="006141C7">
        <w:rPr>
          <w:rFonts w:ascii="Calibri Light" w:hAnsi="Calibri Light" w:cs="Calibri Light"/>
          <w:noProof/>
          <w:szCs w:val="24"/>
        </w:rPr>
        <w:tab/>
        <w:t>Rogelj J, Den Elzen M, Höhne N, Fransen T, Fekete H, Winkler H, et al. Paris Agreement climate proposals need a boost to keep warming well below 2 °c. Nature 2016. doi:10.1038/nature18307.</w:t>
      </w:r>
    </w:p>
    <w:p w14:paraId="431102BA"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[3]</w:t>
      </w:r>
      <w:r w:rsidRPr="006141C7">
        <w:rPr>
          <w:rFonts w:ascii="Calibri Light" w:hAnsi="Calibri Light" w:cs="Calibri Light"/>
          <w:noProof/>
          <w:szCs w:val="24"/>
        </w:rPr>
        <w:tab/>
        <w:t>UNFCCC. INDCs as communicated by Parties. Submissions 2019.</w:t>
      </w:r>
    </w:p>
    <w:p w14:paraId="7EA27B6C"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[4]</w:t>
      </w:r>
      <w:r w:rsidRPr="006141C7">
        <w:rPr>
          <w:rFonts w:ascii="Calibri Light" w:hAnsi="Calibri Light" w:cs="Calibri Light"/>
          <w:noProof/>
          <w:szCs w:val="24"/>
        </w:rPr>
        <w:tab/>
        <w:t>Dong C, Dong X, Jiang Q, Dong K, Liu G. What is the probability of achieving the carbon dioxide emission targets of the Paris Agreement? Evidence from the top ten emitters. Sci Total Environ 2018. doi:10.1016/j.scitotenv.2017.12.093.</w:t>
      </w:r>
    </w:p>
    <w:p w14:paraId="3A65E6FB"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[5]</w:t>
      </w:r>
      <w:r w:rsidRPr="006141C7">
        <w:rPr>
          <w:rFonts w:ascii="Calibri Light" w:hAnsi="Calibri Light" w:cs="Calibri Light"/>
          <w:noProof/>
          <w:szCs w:val="24"/>
        </w:rPr>
        <w:tab/>
        <w:t>Pischke EC, Solomon B, Wellstead A, Acevedo A, Eastmond A, De Oliveira F, et al. From Kyoto to Paris: Measuring renewable energy policy regimes in Argentina, Brazil, Canada, Mexico and the United States. Energy Res Soc Sci 2019. doi:10.1016/j.erss.2018.11.010.</w:t>
      </w:r>
    </w:p>
    <w:p w14:paraId="725AF1B0"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[6]</w:t>
      </w:r>
      <w:r w:rsidRPr="006141C7">
        <w:rPr>
          <w:rFonts w:ascii="Calibri Light" w:hAnsi="Calibri Light" w:cs="Calibri Light"/>
          <w:noProof/>
          <w:szCs w:val="24"/>
        </w:rPr>
        <w:tab/>
        <w:t>IEA. Energy, Climate Change &amp; Environment - 2016 Insights. Int Energy Agency 2016.</w:t>
      </w:r>
    </w:p>
    <w:p w14:paraId="25F6EA38"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[7]</w:t>
      </w:r>
      <w:r w:rsidRPr="006141C7">
        <w:rPr>
          <w:rFonts w:ascii="Calibri Light" w:hAnsi="Calibri Light" w:cs="Calibri Light"/>
          <w:noProof/>
          <w:szCs w:val="24"/>
        </w:rPr>
        <w:tab/>
        <w:t>den Elzen M, Kuramochi T, Höhne N, Cantzler J, Esmeijer K, Fekete H, et al. Are the G20 economies making enough progress to meet their NDC targets? Energy Policy 2019. doi:10.1016/j.enpol.2018.11.027.</w:t>
      </w:r>
    </w:p>
    <w:p w14:paraId="0C8434CC"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[8]</w:t>
      </w:r>
      <w:r w:rsidRPr="006141C7">
        <w:rPr>
          <w:rFonts w:ascii="Calibri Light" w:hAnsi="Calibri Light" w:cs="Calibri Light"/>
          <w:noProof/>
          <w:szCs w:val="24"/>
        </w:rPr>
        <w:tab/>
        <w:t>United Nations Environment Programme, United Nations. The Emissions Gap Report 2019. 2019. doi:ISBN 978-92-807-3617-5.</w:t>
      </w:r>
    </w:p>
    <w:p w14:paraId="46EA3067"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[9]</w:t>
      </w:r>
      <w:r w:rsidRPr="006141C7">
        <w:rPr>
          <w:rFonts w:ascii="Calibri Light" w:hAnsi="Calibri Light" w:cs="Calibri Light"/>
          <w:noProof/>
          <w:szCs w:val="24"/>
        </w:rPr>
        <w:tab/>
        <w:t>Hao X, An H, Qi H, Gao X. Evolution of the exergy flow network embodied in the global fossil energy trade: Based on complex network. Appl Energy 2016. doi:10.1016/j.apenergy.2015.04.032.</w:t>
      </w:r>
    </w:p>
    <w:p w14:paraId="214FC566"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[10]</w:t>
      </w:r>
      <w:r w:rsidRPr="006141C7">
        <w:rPr>
          <w:rFonts w:ascii="Calibri Light" w:hAnsi="Calibri Light" w:cs="Calibri Light"/>
          <w:noProof/>
          <w:szCs w:val="24"/>
        </w:rPr>
        <w:tab/>
        <w:t>Zhong W, An H, Shen L, Fang W, Gao X, Dong D. The roles of countries in the international fossil fuel trade: An emergy and network analysis. Energy Policy 2017. doi:10.1016/j.enpol.2016.07.025.</w:t>
      </w:r>
    </w:p>
    <w:p w14:paraId="0C5495B3"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[11]</w:t>
      </w:r>
      <w:r w:rsidRPr="006141C7">
        <w:rPr>
          <w:rFonts w:ascii="Calibri Light" w:hAnsi="Calibri Light" w:cs="Calibri Light"/>
          <w:noProof/>
          <w:szCs w:val="24"/>
        </w:rPr>
        <w:tab/>
        <w:t>Elliott J, Foster I, Kortum S, Munson T, Cervantes FP, Weisbach D. Trade and carbon taxes. Am. Econ. Rev., 2010. doi:10.1257/aer.100.2.465.</w:t>
      </w:r>
    </w:p>
    <w:p w14:paraId="23FFBDFC"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[12]</w:t>
      </w:r>
      <w:r w:rsidRPr="006141C7">
        <w:rPr>
          <w:rFonts w:ascii="Calibri Light" w:hAnsi="Calibri Light" w:cs="Calibri Light"/>
          <w:noProof/>
          <w:szCs w:val="24"/>
        </w:rPr>
        <w:tab/>
        <w:t>Jewell J, McCollum D, Emmerling J, Bertram C, Gernaat DEHJ, Krey V, et al. Limited emission reductions from fuel subsidy removal except in energy-exporting regions. Nature 2018. doi:10.1038/nature25467.</w:t>
      </w:r>
    </w:p>
    <w:p w14:paraId="25282ABD"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[13]</w:t>
      </w:r>
      <w:r w:rsidRPr="006141C7">
        <w:rPr>
          <w:rFonts w:ascii="Calibri Light" w:hAnsi="Calibri Light" w:cs="Calibri Light"/>
          <w:noProof/>
          <w:szCs w:val="24"/>
        </w:rPr>
        <w:tab/>
        <w:t>Jewell J, Vinichenko V, McCollum D, Bauer N, Riahi K, Aboumahboub T, et al. Comparison and interactions between the long-term pursuit of energy independence and climate policies. Nat Energy 2016. doi:10.1038/nenergy.2016.73.</w:t>
      </w:r>
    </w:p>
    <w:p w14:paraId="10FC655C"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[14]</w:t>
      </w:r>
      <w:r w:rsidRPr="006141C7">
        <w:rPr>
          <w:rFonts w:ascii="Calibri Light" w:hAnsi="Calibri Light" w:cs="Calibri Light"/>
          <w:noProof/>
          <w:szCs w:val="24"/>
        </w:rPr>
        <w:tab/>
        <w:t xml:space="preserve">Matsuoka Y, Kainuma M, Morita T. Scenario analysis of global warming using the Asian Pacific </w:t>
      </w:r>
      <w:r w:rsidRPr="006141C7">
        <w:rPr>
          <w:rFonts w:ascii="Calibri Light" w:hAnsi="Calibri Light" w:cs="Calibri Light"/>
          <w:noProof/>
          <w:szCs w:val="24"/>
        </w:rPr>
        <w:lastRenderedPageBreak/>
        <w:t>Integrated Model (AIM). Energy Policy 1995. doi:10.1016/0301-4215(95)90160-9.</w:t>
      </w:r>
    </w:p>
    <w:p w14:paraId="3DC945F3"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[15]</w:t>
      </w:r>
      <w:r w:rsidRPr="006141C7">
        <w:rPr>
          <w:rFonts w:ascii="Calibri Light" w:hAnsi="Calibri Light" w:cs="Calibri Light"/>
          <w:noProof/>
          <w:szCs w:val="24"/>
        </w:rPr>
        <w:tab/>
        <w:t>Huppmann D, Gidden M, Fricko O, Kolp P, Orthofer C, Pimmer M, et al. The MESSAGEix Integrated Assessment Model and the ix modeling platform (ixmp): An open framework for integrated and cross-cutting analysis of energy, climate, the environment, and sustainable development. Environ Model Softw 2019. doi:10.1016/j.envsoft.2018.11.012.</w:t>
      </w:r>
    </w:p>
    <w:p w14:paraId="6D8D58B6"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[16]</w:t>
      </w:r>
      <w:r w:rsidRPr="006141C7">
        <w:rPr>
          <w:rFonts w:ascii="Calibri Light" w:hAnsi="Calibri Light" w:cs="Calibri Light"/>
          <w:noProof/>
          <w:szCs w:val="24"/>
        </w:rPr>
        <w:tab/>
        <w:t>Stehfest E, van Vuuren D, Kram T, Bouwman L, Alkemade R, Bakkenes M, et al. Integrated assessment of global environmental change with IMAGE 3.0. 2014.</w:t>
      </w:r>
    </w:p>
    <w:p w14:paraId="62912B5C"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[17]</w:t>
      </w:r>
      <w:r w:rsidRPr="006141C7">
        <w:rPr>
          <w:rFonts w:ascii="Calibri Light" w:hAnsi="Calibri Light" w:cs="Calibri Light"/>
          <w:noProof/>
          <w:szCs w:val="24"/>
        </w:rPr>
        <w:tab/>
        <w:t>Hare B, Brecha R, Schaeffer M. Integrated Assessment Models: what are they and how do they arrive at their conclusions? Berlin: 2018.</w:t>
      </w:r>
    </w:p>
    <w:p w14:paraId="76396254"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[18]</w:t>
      </w:r>
      <w:r w:rsidRPr="006141C7">
        <w:rPr>
          <w:rFonts w:ascii="Calibri Light" w:hAnsi="Calibri Light" w:cs="Calibri Light"/>
          <w:noProof/>
          <w:szCs w:val="24"/>
        </w:rPr>
        <w:tab/>
        <w:t>Consortium for International Earth Science Information Network (CIESN). Thematic Guide to Integrated Assessment Modeling of Climate Change 1995.</w:t>
      </w:r>
    </w:p>
    <w:p w14:paraId="127E1EAA"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[19]</w:t>
      </w:r>
      <w:r w:rsidRPr="006141C7">
        <w:rPr>
          <w:rFonts w:ascii="Calibri Light" w:hAnsi="Calibri Light" w:cs="Calibri Light"/>
          <w:noProof/>
          <w:szCs w:val="24"/>
        </w:rPr>
        <w:tab/>
        <w:t>Tergin D. Ensuring Energy Security. Foreign Aff 2006.</w:t>
      </w:r>
    </w:p>
    <w:p w14:paraId="0B6B13D6"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[20]</w:t>
      </w:r>
      <w:r w:rsidRPr="006141C7">
        <w:rPr>
          <w:rFonts w:ascii="Calibri Light" w:hAnsi="Calibri Light" w:cs="Calibri Light"/>
          <w:noProof/>
          <w:szCs w:val="24"/>
        </w:rPr>
        <w:tab/>
        <w:t>Greene DL. Measuring energy security: Can the United States achieve oil independence? Energy Policy 2010. doi:10.1016/j.enpol.2009.01.041.</w:t>
      </w:r>
    </w:p>
    <w:p w14:paraId="25E4B570"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[21]</w:t>
      </w:r>
      <w:r w:rsidRPr="006141C7">
        <w:rPr>
          <w:rFonts w:ascii="Calibri Light" w:hAnsi="Calibri Light" w:cs="Calibri Light"/>
          <w:noProof/>
          <w:szCs w:val="24"/>
        </w:rPr>
        <w:tab/>
        <w:t>Le Coq C, Paltseva E. Measuring the security of external energy supply in the European Union. Energy Policy 2009. doi:10.1016/j.enpol.2009.05.069.</w:t>
      </w:r>
    </w:p>
    <w:p w14:paraId="5211421C"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[22]</w:t>
      </w:r>
      <w:r w:rsidRPr="006141C7">
        <w:rPr>
          <w:rFonts w:ascii="Calibri Light" w:hAnsi="Calibri Light" w:cs="Calibri Light"/>
          <w:noProof/>
          <w:szCs w:val="24"/>
        </w:rPr>
        <w:tab/>
        <w:t>Kruyt B, van Vuuren DP, de Vries HJM, Groenenberg H. Indicators for energy security. Energy Policy 2009. doi:10.1016/j.enpol.2009.02.006.</w:t>
      </w:r>
    </w:p>
    <w:p w14:paraId="7B21FD64"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[23]</w:t>
      </w:r>
      <w:r w:rsidRPr="006141C7">
        <w:rPr>
          <w:rFonts w:ascii="Calibri Light" w:hAnsi="Calibri Light" w:cs="Calibri Light"/>
          <w:noProof/>
          <w:szCs w:val="24"/>
        </w:rPr>
        <w:tab/>
        <w:t>Yergin D. Ensuring Energy Security. Foreign Aff 2006.</w:t>
      </w:r>
    </w:p>
    <w:p w14:paraId="6202E1A2"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[24]</w:t>
      </w:r>
      <w:r w:rsidRPr="006141C7">
        <w:rPr>
          <w:rFonts w:ascii="Calibri Light" w:hAnsi="Calibri Light" w:cs="Calibri Light"/>
          <w:noProof/>
          <w:szCs w:val="24"/>
        </w:rPr>
        <w:tab/>
        <w:t>Mercure JF, Pollitt H, Edwards NR, Holden PB, Chewpreecha U, Salas P, et al. Environmental impact assessment for climate change policy with the simulation-based integrated assessment model E3ME-FTT-GENIE. Energy Strateg Rev 2018. doi:10.1016/j.esr.2018.03.003.</w:t>
      </w:r>
    </w:p>
    <w:p w14:paraId="2396EAE1"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[25]</w:t>
      </w:r>
      <w:r w:rsidRPr="006141C7">
        <w:rPr>
          <w:rFonts w:ascii="Calibri Light" w:hAnsi="Calibri Light" w:cs="Calibri Light"/>
          <w:noProof/>
          <w:szCs w:val="24"/>
        </w:rPr>
        <w:tab/>
        <w:t>Schrattenholzer L. The energy supply model MESSAGE. Int Inst Appl Syst Analusis, Res Report, 1981.</w:t>
      </w:r>
    </w:p>
    <w:p w14:paraId="6FBD8A35"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[26]</w:t>
      </w:r>
      <w:r w:rsidRPr="006141C7">
        <w:rPr>
          <w:rFonts w:ascii="Calibri Light" w:hAnsi="Calibri Light" w:cs="Calibri Light"/>
          <w:noProof/>
          <w:szCs w:val="24"/>
        </w:rPr>
        <w:tab/>
        <w:t>Bergman L. General equilibrium effects of environmental policy: A CGE-modeling approach. Environ Resour Econ 1991. doi:10.1007/BF00305950.</w:t>
      </w:r>
    </w:p>
    <w:p w14:paraId="556C169A"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[27]</w:t>
      </w:r>
      <w:r w:rsidRPr="006141C7">
        <w:rPr>
          <w:rFonts w:ascii="Calibri Light" w:hAnsi="Calibri Light" w:cs="Calibri Light"/>
          <w:noProof/>
          <w:szCs w:val="24"/>
        </w:rPr>
        <w:tab/>
        <w:t>Rivers N, Schaufele B. The Effect of Carbon Taxes on Agricultural Trade. Can J Agric Econ Can d’agroeconomie 2015. doi:10.1111/cjag.12048.</w:t>
      </w:r>
    </w:p>
    <w:p w14:paraId="2EABFBD2"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[28]</w:t>
      </w:r>
      <w:r w:rsidRPr="006141C7">
        <w:rPr>
          <w:rFonts w:ascii="Calibri Light" w:hAnsi="Calibri Light" w:cs="Calibri Light"/>
          <w:noProof/>
          <w:szCs w:val="24"/>
        </w:rPr>
        <w:tab/>
        <w:t>Martin R, de Preux LB, Wagner UJ. The impact of a carbon tax on manufacturing: Evidence from microdata. J Public Econ 2014. doi:10.1016/j.jpubeco.2014.04.016.</w:t>
      </w:r>
    </w:p>
    <w:p w14:paraId="16E87405"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[29]</w:t>
      </w:r>
      <w:r w:rsidRPr="006141C7">
        <w:rPr>
          <w:rFonts w:ascii="Calibri Light" w:hAnsi="Calibri Light" w:cs="Calibri Light"/>
          <w:noProof/>
          <w:szCs w:val="24"/>
        </w:rPr>
        <w:tab/>
        <w:t>IPCC. AR5 - Working Group 3, Mitigation of Climate Change - Contribution of Working Group III. Cambridge Univ Press 2014.</w:t>
      </w:r>
    </w:p>
    <w:p w14:paraId="6EB7974A"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[30]</w:t>
      </w:r>
      <w:r w:rsidRPr="006141C7">
        <w:rPr>
          <w:rFonts w:ascii="Calibri Light" w:hAnsi="Calibri Light" w:cs="Calibri Light"/>
          <w:noProof/>
          <w:szCs w:val="24"/>
        </w:rPr>
        <w:tab/>
        <w:t>Gaulier G, Zignago S. BACI: A World Database of International Trade at the Product-level 1995-2004. 2008.</w:t>
      </w:r>
    </w:p>
    <w:p w14:paraId="1433E9EC"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[31]</w:t>
      </w:r>
      <w:r w:rsidRPr="006141C7">
        <w:rPr>
          <w:rFonts w:ascii="Calibri Light" w:hAnsi="Calibri Light" w:cs="Calibri Light"/>
          <w:noProof/>
          <w:szCs w:val="24"/>
        </w:rPr>
        <w:tab/>
        <w:t>Helpman E, Melitz M, Rubinstein Y. Estimating trade flows: Trading partners and trading volumes. Q J Econ 2008. doi:10.1162/qjec.2008.123.2.441.</w:t>
      </w:r>
    </w:p>
    <w:p w14:paraId="26A1B5EA"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[32]</w:t>
      </w:r>
      <w:r w:rsidRPr="006141C7">
        <w:rPr>
          <w:rFonts w:ascii="Calibri Light" w:hAnsi="Calibri Light" w:cs="Calibri Light"/>
          <w:noProof/>
          <w:szCs w:val="24"/>
        </w:rPr>
        <w:tab/>
        <w:t xml:space="preserve">Guimbard H, Jean S, Mimouni M, Pichot X. MAcMap-HS6 2007, an exhaustive and consistent </w:t>
      </w:r>
      <w:r w:rsidRPr="006141C7">
        <w:rPr>
          <w:rFonts w:ascii="Calibri Light" w:hAnsi="Calibri Light" w:cs="Calibri Light"/>
          <w:noProof/>
          <w:szCs w:val="24"/>
        </w:rPr>
        <w:lastRenderedPageBreak/>
        <w:t>measure of applied protection in 2007. Econ Int 2012.</w:t>
      </w:r>
    </w:p>
    <w:p w14:paraId="24CC87CF"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[33]</w:t>
      </w:r>
      <w:r w:rsidRPr="006141C7">
        <w:rPr>
          <w:rFonts w:ascii="Calibri Light" w:hAnsi="Calibri Light" w:cs="Calibri Light"/>
          <w:noProof/>
          <w:szCs w:val="24"/>
        </w:rPr>
        <w:tab/>
        <w:t>Bouët A, Decreux Y, Fontagné L, Jean S, Laborde D. Assessing applied protection across the world. Rev Int Econ 2008. doi:10.1111/j.1467-9396.2008.00753.x.</w:t>
      </w:r>
    </w:p>
    <w:p w14:paraId="5582D3B5"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[34]</w:t>
      </w:r>
      <w:r w:rsidRPr="006141C7">
        <w:rPr>
          <w:rFonts w:ascii="Calibri Light" w:hAnsi="Calibri Light" w:cs="Calibri Light"/>
          <w:noProof/>
          <w:szCs w:val="24"/>
        </w:rPr>
        <w:tab/>
        <w:t>Rodrigue JP, Comtois C, Slack B. The geography of transport systems. 2016. doi:10.4324/9781315618159.</w:t>
      </w:r>
    </w:p>
    <w:p w14:paraId="1700B9D9"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szCs w:val="24"/>
        </w:rPr>
      </w:pPr>
      <w:r w:rsidRPr="006141C7">
        <w:rPr>
          <w:rFonts w:ascii="Calibri Light" w:hAnsi="Calibri Light" w:cs="Calibri Light"/>
          <w:noProof/>
          <w:szCs w:val="24"/>
        </w:rPr>
        <w:t>[35]</w:t>
      </w:r>
      <w:r w:rsidRPr="006141C7">
        <w:rPr>
          <w:rFonts w:ascii="Calibri Light" w:hAnsi="Calibri Light" w:cs="Calibri Light"/>
          <w:noProof/>
          <w:szCs w:val="24"/>
        </w:rPr>
        <w:tab/>
        <w:t>Riahi K, van Vuuren DP, Kriegler E, Edmonds J, O’Neill BC, Fujimori S, et al. The Shared Socioeconomic Pathways and their energy, land use, and greenhouse gas emissions implications: An overview. Glob Environ Chang 2017. doi:10.1016/j.gloenvcha.2016.05.009.</w:t>
      </w:r>
    </w:p>
    <w:p w14:paraId="11E66D50" w14:textId="77777777" w:rsidR="006141C7" w:rsidRPr="006141C7" w:rsidRDefault="006141C7" w:rsidP="006141C7">
      <w:pPr>
        <w:widowControl w:val="0"/>
        <w:autoSpaceDE w:val="0"/>
        <w:autoSpaceDN w:val="0"/>
        <w:adjustRightInd w:val="0"/>
        <w:spacing w:line="240" w:lineRule="auto"/>
        <w:ind w:left="640" w:hanging="640"/>
        <w:rPr>
          <w:rFonts w:ascii="Calibri Light" w:hAnsi="Calibri Light" w:cs="Calibri Light"/>
          <w:noProof/>
        </w:rPr>
      </w:pPr>
      <w:r w:rsidRPr="006141C7">
        <w:rPr>
          <w:rFonts w:ascii="Calibri Light" w:hAnsi="Calibri Light" w:cs="Calibri Light"/>
          <w:noProof/>
          <w:szCs w:val="24"/>
        </w:rPr>
        <w:t>[36]</w:t>
      </w:r>
      <w:r w:rsidRPr="006141C7">
        <w:rPr>
          <w:rFonts w:ascii="Calibri Light" w:hAnsi="Calibri Light" w:cs="Calibri Light"/>
          <w:noProof/>
          <w:szCs w:val="24"/>
        </w:rPr>
        <w:tab/>
        <w:t>Fricko O, Havlik P, Rogelj J, Klimont Z, Gusti M, Johnson N, et al. The marker quantification of the Shared Socioeconomic Pathway 2: A middle-of-the-road scenario for the 21st century. Glob Environ Chang 2017. doi:10.1016/j.gloenvcha.2016.06.004.</w:t>
      </w:r>
    </w:p>
    <w:p w14:paraId="296FEF7D" w14:textId="77777777" w:rsidR="00EF1A48" w:rsidRPr="00ED6C4D" w:rsidRDefault="002D3A2E" w:rsidP="00EF1A48">
      <w:pPr>
        <w:rPr>
          <w:rFonts w:asciiTheme="majorHAnsi" w:hAnsiTheme="majorHAnsi" w:cstheme="majorHAnsi"/>
        </w:rPr>
      </w:pPr>
      <w:r w:rsidRPr="00ED6C4D">
        <w:rPr>
          <w:rFonts w:asciiTheme="majorHAnsi" w:hAnsiTheme="majorHAnsi" w:cstheme="majorHAnsi"/>
        </w:rPr>
        <w:fldChar w:fldCharType="end"/>
      </w:r>
    </w:p>
    <w:sectPr w:rsidR="00EF1A48" w:rsidRPr="00ED6C4D">
      <w:headerReference w:type="default" r:id="rId15"/>
      <w:pgSz w:w="12240" w:h="15840"/>
      <w:pgMar w:top="1440" w:right="1440" w:bottom="1440" w:left="1440" w:header="720" w:footer="720" w:gutter="0"/>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5E3B27C" w16cex:dateUtc="2020-02-06T09:19:03.963Z"/>
  <w16cex:commentExtensible w16cex:durableId="5927AC5A" w16cex:dateUtc="2020-02-06T09:21:20.835Z"/>
  <w16cex:commentExtensible w16cex:durableId="0FD19DD1" w16cex:dateUtc="2020-02-06T16:28:09.196Z"/>
  <w16cex:commentExtensible w16cex:durableId="7ACD88C2" w16cex:dateUtc="2020-02-06T09:28:43.826Z"/>
  <w16cex:commentExtensible w16cex:durableId="5787C5B5" w16cex:dateUtc="2020-02-06T09:46:59.032Z"/>
  <w16cex:commentExtensible w16cex:durableId="4B07B11D" w16cex:dateUtc="2020-02-06T09:49:02.064Z"/>
  <w16cex:commentExtensible w16cex:durableId="3FCB754D" w16cex:dateUtc="2020-02-06T09:53:12.49Z"/>
  <w16cex:commentExtensible w16cex:durableId="59E8FADA" w16cex:dateUtc="2020-02-06T09:59:43.492Z"/>
  <w16cex:commentExtensible w16cex:durableId="58EA1426" w16cex:dateUtc="2020-02-06T10:01:28.133Z"/>
  <w16cex:commentExtensible w16cex:durableId="148EB128" w16cex:dateUtc="2020-02-06T10:06:47.625Z"/>
  <w16cex:commentExtensible w16cex:durableId="6A7B209B" w16cex:dateUtc="2020-02-06T10:12:24.744Z"/>
  <w16cex:commentExtensible w16cex:durableId="05AC7916" w16cex:dateUtc="2020-02-06T10:13:19.346Z"/>
  <w16cex:commentExtensible w16cex:durableId="4938C629" w16cex:dateUtc="2020-02-06T10:15:46.107Z"/>
  <w16cex:commentExtensible w16cex:durableId="5B05B7C7" w16cex:dateUtc="2020-02-06T10:18:37.094Z"/>
  <w16cex:commentExtensible w16cex:durableId="641557F0" w16cex:dateUtc="2020-02-06T10:20:01.325Z"/>
  <w16cex:commentExtensible w16cex:durableId="35D5C448" w16cex:dateUtc="2020-02-06T10:25:55.237Z"/>
  <w16cex:commentExtensible w16cex:durableId="7318FBE2" w16cex:dateUtc="2020-02-06T10:28:45.952Z"/>
  <w16cex:commentExtensible w16cex:durableId="0D713CB5" w16cex:dateUtc="2020-02-06T12:02:04.383Z"/>
  <w16cex:commentExtensible w16cex:durableId="5CD820BA" w16cex:dateUtc="2020-02-06T12:06:40.331Z"/>
  <w16cex:commentExtensible w16cex:durableId="1A4D989D" w16cex:dateUtc="2020-02-06T12:11:20.252Z"/>
  <w16cex:commentExtensible w16cex:durableId="3C69121F" w16cex:dateUtc="2020-02-06T12:14:07.568Z"/>
</w16cex:commentsExtensible>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4E25D" w14:textId="77777777" w:rsidR="00DE027F" w:rsidRDefault="00DE027F" w:rsidP="00BB2B71">
      <w:pPr>
        <w:spacing w:after="0" w:line="240" w:lineRule="auto"/>
      </w:pPr>
      <w:r>
        <w:separator/>
      </w:r>
    </w:p>
  </w:endnote>
  <w:endnote w:type="continuationSeparator" w:id="0">
    <w:p w14:paraId="7C09FF60" w14:textId="77777777" w:rsidR="00DE027F" w:rsidRDefault="00DE027F" w:rsidP="00BB2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1AF24E" w14:textId="77777777" w:rsidR="00DE027F" w:rsidRDefault="00DE027F" w:rsidP="00BB2B71">
      <w:pPr>
        <w:spacing w:after="0" w:line="240" w:lineRule="auto"/>
      </w:pPr>
      <w:r>
        <w:separator/>
      </w:r>
    </w:p>
  </w:footnote>
  <w:footnote w:type="continuationSeparator" w:id="0">
    <w:p w14:paraId="49CF2B99" w14:textId="77777777" w:rsidR="00DE027F" w:rsidRDefault="00DE027F" w:rsidP="00BB2B71">
      <w:pPr>
        <w:spacing w:after="0" w:line="240" w:lineRule="auto"/>
      </w:pPr>
      <w:r>
        <w:continuationSeparator/>
      </w:r>
    </w:p>
  </w:footnote>
  <w:footnote w:id="1">
    <w:p w14:paraId="17491F6F" w14:textId="72984EA3" w:rsidR="00AC05FC" w:rsidRPr="00AD521D" w:rsidRDefault="00AC05FC">
      <w:pPr>
        <w:pStyle w:val="FootnoteText"/>
        <w:rPr>
          <w:rFonts w:asciiTheme="majorHAnsi" w:hAnsiTheme="majorHAnsi" w:cstheme="majorHAnsi"/>
          <w:sz w:val="18"/>
          <w:szCs w:val="18"/>
        </w:rPr>
      </w:pPr>
      <w:r w:rsidRPr="00AD521D">
        <w:rPr>
          <w:rStyle w:val="FootnoteReference"/>
          <w:rFonts w:asciiTheme="majorHAnsi" w:hAnsiTheme="majorHAnsi" w:cstheme="majorHAnsi"/>
          <w:sz w:val="18"/>
          <w:szCs w:val="18"/>
        </w:rPr>
        <w:footnoteRef/>
      </w:r>
      <w:r w:rsidRPr="00AD521D">
        <w:rPr>
          <w:rFonts w:asciiTheme="majorHAnsi" w:hAnsiTheme="majorHAnsi" w:cstheme="majorHAnsi"/>
          <w:sz w:val="18"/>
          <w:szCs w:val="18"/>
        </w:rPr>
        <w:t xml:space="preserve"> A full description and application of the model can be found at </w:t>
      </w:r>
      <w:hyperlink r:id="rId1" w:history="1">
        <w:r w:rsidRPr="00AD521D">
          <w:rPr>
            <w:rStyle w:val="Hyperlink"/>
            <w:rFonts w:asciiTheme="majorHAnsi" w:hAnsiTheme="majorHAnsi" w:cstheme="majorHAnsi"/>
            <w:sz w:val="18"/>
            <w:szCs w:val="18"/>
          </w:rPr>
          <w:t>https://message.iiasa.ac.at/en/stable/</w:t>
        </w:r>
      </w:hyperlink>
    </w:p>
  </w:footnote>
  <w:footnote w:id="2">
    <w:p w14:paraId="7660F772" w14:textId="77777777" w:rsidR="00EA5256" w:rsidRPr="00AD521D" w:rsidRDefault="00EA5256" w:rsidP="00BB2B71">
      <w:pPr>
        <w:pStyle w:val="FootnoteText"/>
        <w:rPr>
          <w:rFonts w:asciiTheme="majorHAnsi" w:hAnsiTheme="majorHAnsi" w:cstheme="majorHAnsi"/>
          <w:sz w:val="18"/>
          <w:szCs w:val="18"/>
        </w:rPr>
      </w:pPr>
      <w:r w:rsidRPr="00AD521D">
        <w:rPr>
          <w:rStyle w:val="FootnoteReference"/>
          <w:rFonts w:asciiTheme="majorHAnsi" w:hAnsiTheme="majorHAnsi" w:cstheme="majorHAnsi"/>
          <w:sz w:val="18"/>
          <w:szCs w:val="18"/>
        </w:rPr>
        <w:footnoteRef/>
      </w:r>
      <w:r w:rsidRPr="00AD521D">
        <w:rPr>
          <w:rFonts w:asciiTheme="majorHAnsi" w:hAnsiTheme="majorHAnsi" w:cstheme="majorHAnsi"/>
          <w:sz w:val="18"/>
          <w:szCs w:val="18"/>
        </w:rPr>
        <w:t xml:space="preserve"> Here we use the word “rate” interchangeably with ad valorem equivalent (AVE) rates for energy commodities</w:t>
      </w:r>
    </w:p>
  </w:footnote>
  <w:footnote w:id="3">
    <w:p w14:paraId="3750FA58" w14:textId="6436300E" w:rsidR="007F1C2B" w:rsidRPr="00AD521D" w:rsidRDefault="007F1C2B">
      <w:pPr>
        <w:pStyle w:val="FootnoteText"/>
        <w:rPr>
          <w:rFonts w:asciiTheme="majorHAnsi" w:hAnsiTheme="majorHAnsi" w:cstheme="majorHAnsi"/>
          <w:sz w:val="18"/>
          <w:szCs w:val="18"/>
        </w:rPr>
      </w:pPr>
      <w:r w:rsidRPr="00AD521D">
        <w:rPr>
          <w:rStyle w:val="FootnoteReference"/>
          <w:rFonts w:asciiTheme="majorHAnsi" w:hAnsiTheme="majorHAnsi" w:cstheme="majorHAnsi"/>
          <w:sz w:val="18"/>
          <w:szCs w:val="18"/>
        </w:rPr>
        <w:footnoteRef/>
      </w:r>
      <w:r w:rsidRPr="00AD521D">
        <w:rPr>
          <w:rFonts w:asciiTheme="majorHAnsi" w:hAnsiTheme="majorHAnsi" w:cstheme="majorHAnsi"/>
          <w:sz w:val="18"/>
          <w:szCs w:val="18"/>
        </w:rPr>
        <w:t xml:space="preserve"> For the purposes of this study, we focus solely on the trade of physical energy resources and not on the energy that is embodied in goods and services.</w:t>
      </w:r>
    </w:p>
  </w:footnote>
  <w:footnote w:id="4">
    <w:p w14:paraId="71A97E36" w14:textId="77777777" w:rsidR="00C81BA4" w:rsidRPr="00AD521D" w:rsidRDefault="00C81BA4" w:rsidP="00C81BA4">
      <w:pPr>
        <w:pStyle w:val="FootnoteText"/>
        <w:rPr>
          <w:rFonts w:asciiTheme="majorHAnsi" w:hAnsiTheme="majorHAnsi" w:cstheme="majorHAnsi"/>
          <w:sz w:val="18"/>
          <w:szCs w:val="18"/>
        </w:rPr>
      </w:pPr>
      <w:r w:rsidRPr="00AD521D">
        <w:rPr>
          <w:rStyle w:val="FootnoteReference"/>
          <w:rFonts w:asciiTheme="majorHAnsi" w:hAnsiTheme="majorHAnsi" w:cstheme="majorHAnsi"/>
          <w:sz w:val="18"/>
          <w:szCs w:val="18"/>
        </w:rPr>
        <w:footnoteRef/>
      </w:r>
      <w:r w:rsidRPr="00AD521D">
        <w:rPr>
          <w:rFonts w:asciiTheme="majorHAnsi" w:hAnsiTheme="majorHAnsi" w:cstheme="majorHAnsi"/>
          <w:sz w:val="18"/>
          <w:szCs w:val="18"/>
        </w:rPr>
        <w:t xml:space="preserve"> Our aggregation</w:t>
      </w:r>
      <w:r w:rsidR="00954653" w:rsidRPr="00AD521D">
        <w:rPr>
          <w:rFonts w:asciiTheme="majorHAnsi" w:hAnsiTheme="majorHAnsi" w:cstheme="majorHAnsi"/>
          <w:sz w:val="18"/>
          <w:szCs w:val="18"/>
        </w:rPr>
        <w:t xml:space="preserve"> methodology</w:t>
      </w:r>
      <w:r w:rsidRPr="00AD521D">
        <w:rPr>
          <w:rFonts w:asciiTheme="majorHAnsi" w:hAnsiTheme="majorHAnsi" w:cstheme="majorHAnsi"/>
          <w:sz w:val="18"/>
          <w:szCs w:val="18"/>
        </w:rPr>
        <w:t xml:space="preserve"> for both the BACI and NCV datasets are presented in the Supplementary Material.</w:t>
      </w:r>
    </w:p>
  </w:footnote>
  <w:footnote w:id="5">
    <w:p w14:paraId="0EDB6D63" w14:textId="12409300" w:rsidR="00BD5E8C" w:rsidRPr="00AD521D" w:rsidRDefault="00BD5E8C">
      <w:pPr>
        <w:pStyle w:val="FootnoteText"/>
        <w:rPr>
          <w:rFonts w:asciiTheme="majorHAnsi" w:hAnsiTheme="majorHAnsi" w:cstheme="majorHAnsi"/>
          <w:sz w:val="18"/>
          <w:szCs w:val="18"/>
        </w:rPr>
      </w:pPr>
      <w:r w:rsidRPr="00AD521D">
        <w:rPr>
          <w:rStyle w:val="FootnoteReference"/>
          <w:rFonts w:asciiTheme="majorHAnsi" w:hAnsiTheme="majorHAnsi" w:cstheme="majorHAnsi"/>
          <w:sz w:val="18"/>
          <w:szCs w:val="18"/>
        </w:rPr>
        <w:footnoteRef/>
      </w:r>
      <w:r w:rsidRPr="00AD521D">
        <w:rPr>
          <w:rFonts w:asciiTheme="majorHAnsi" w:hAnsiTheme="majorHAnsi" w:cstheme="majorHAnsi"/>
          <w:sz w:val="18"/>
          <w:szCs w:val="18"/>
        </w:rPr>
        <w:t xml:space="preserve"> We also run an ancillary scenario in which tariffs increase uniformly across regions, but do not include it in our main list of scenarios for simplicity.</w:t>
      </w:r>
    </w:p>
  </w:footnote>
  <w:footnote w:id="6">
    <w:p w14:paraId="567D1C58" w14:textId="77777777" w:rsidR="00EA5256" w:rsidRPr="00AD521D" w:rsidRDefault="00EA5256" w:rsidP="00D01EAF">
      <w:pPr>
        <w:pStyle w:val="FootnoteText"/>
        <w:rPr>
          <w:rFonts w:asciiTheme="majorHAnsi" w:hAnsiTheme="majorHAnsi" w:cstheme="majorHAnsi"/>
          <w:sz w:val="18"/>
          <w:szCs w:val="18"/>
        </w:rPr>
      </w:pPr>
      <w:r w:rsidRPr="00AD521D">
        <w:rPr>
          <w:rStyle w:val="FootnoteReference"/>
          <w:rFonts w:asciiTheme="majorHAnsi" w:hAnsiTheme="majorHAnsi" w:cstheme="majorHAnsi"/>
          <w:sz w:val="18"/>
          <w:szCs w:val="18"/>
        </w:rPr>
        <w:footnoteRef/>
      </w:r>
      <w:r w:rsidRPr="00AD521D">
        <w:rPr>
          <w:rFonts w:asciiTheme="majorHAnsi" w:hAnsiTheme="majorHAnsi" w:cstheme="majorHAnsi"/>
          <w:sz w:val="18"/>
          <w:szCs w:val="18"/>
        </w:rPr>
        <w:t xml:space="preserve"> We assume a minimum HHI of about </w:t>
      </w:r>
      <w:r w:rsidR="00C61B6D" w:rsidRPr="00AD521D">
        <w:rPr>
          <w:rFonts w:asciiTheme="majorHAnsi" w:hAnsiTheme="majorHAnsi" w:cstheme="majorHAnsi"/>
          <w:sz w:val="18"/>
          <w:szCs w:val="18"/>
        </w:rPr>
        <w:t>77</w:t>
      </w:r>
      <w:r w:rsidRPr="00AD521D">
        <w:rPr>
          <w:rFonts w:asciiTheme="majorHAnsi" w:hAnsiTheme="majorHAnsi" w:cstheme="majorHAnsi"/>
          <w:sz w:val="18"/>
          <w:szCs w:val="18"/>
        </w:rPr>
        <w:t>0 given that there are 13 potential trade partners for each region. If each of these partners receive an equal share of the country’s trade, we would have an HHI equal to 13(7.7</w:t>
      </w:r>
      <w:r w:rsidRPr="00AD521D">
        <w:rPr>
          <w:rFonts w:asciiTheme="majorHAnsi" w:hAnsiTheme="majorHAnsi" w:cstheme="majorHAnsi"/>
          <w:sz w:val="18"/>
          <w:szCs w:val="18"/>
          <w:vertAlign w:val="superscript"/>
        </w:rPr>
        <w:t>2</w:t>
      </w:r>
      <w:r w:rsidRPr="00AD521D">
        <w:rPr>
          <w:rFonts w:asciiTheme="majorHAnsi" w:hAnsiTheme="majorHAnsi" w:cstheme="majorHAnsi"/>
          <w:sz w:val="18"/>
          <w:szCs w:val="18"/>
        </w:rPr>
        <w:t xml:space="preserve">), or ~771. </w:t>
      </w:r>
    </w:p>
  </w:footnote>
  <w:footnote w:id="7">
    <w:p w14:paraId="6A183CC4" w14:textId="4903E193" w:rsidR="00525F0E" w:rsidRPr="00AD521D" w:rsidRDefault="00525F0E">
      <w:pPr>
        <w:pStyle w:val="FootnoteText"/>
        <w:rPr>
          <w:rFonts w:asciiTheme="majorHAnsi" w:hAnsiTheme="majorHAnsi" w:cstheme="majorHAnsi"/>
          <w:sz w:val="18"/>
          <w:szCs w:val="18"/>
        </w:rPr>
      </w:pPr>
      <w:r w:rsidRPr="00AD521D">
        <w:rPr>
          <w:rStyle w:val="FootnoteReference"/>
          <w:rFonts w:asciiTheme="majorHAnsi" w:hAnsiTheme="majorHAnsi" w:cstheme="majorHAnsi"/>
          <w:sz w:val="18"/>
          <w:szCs w:val="18"/>
        </w:rPr>
        <w:footnoteRef/>
      </w:r>
      <w:r w:rsidRPr="00AD521D">
        <w:rPr>
          <w:rFonts w:asciiTheme="majorHAnsi" w:hAnsiTheme="majorHAnsi" w:cstheme="majorHAnsi"/>
          <w:sz w:val="18"/>
          <w:szCs w:val="18"/>
        </w:rPr>
        <w:t xml:space="preserve"> </w:t>
      </w:r>
      <w:r w:rsidR="00D73ACF" w:rsidRPr="00AD521D">
        <w:rPr>
          <w:rFonts w:asciiTheme="majorHAnsi" w:hAnsiTheme="majorHAnsi" w:cstheme="majorHAnsi"/>
          <w:sz w:val="18"/>
          <w:szCs w:val="18"/>
        </w:rPr>
        <w:t>An</w:t>
      </w:r>
      <w:r w:rsidRPr="00AD521D">
        <w:rPr>
          <w:rFonts w:asciiTheme="majorHAnsi" w:hAnsiTheme="majorHAnsi" w:cstheme="majorHAnsi"/>
          <w:sz w:val="18"/>
          <w:szCs w:val="18"/>
        </w:rPr>
        <w:t xml:space="preserve"> ancillary scenario with uniformly increasing tariffs produces </w:t>
      </w:r>
      <w:r w:rsidR="00D73ACF" w:rsidRPr="00AD521D">
        <w:rPr>
          <w:rFonts w:asciiTheme="majorHAnsi" w:hAnsiTheme="majorHAnsi" w:cstheme="majorHAnsi"/>
          <w:sz w:val="18"/>
          <w:szCs w:val="18"/>
        </w:rPr>
        <w:t>similar results, though the magnitude is different.</w:t>
      </w:r>
    </w:p>
  </w:footnote>
  <w:footnote w:id="8">
    <w:p w14:paraId="1C6989A5" w14:textId="460F9C01" w:rsidR="00274BC5" w:rsidRPr="00AD521D" w:rsidRDefault="00274BC5">
      <w:pPr>
        <w:pStyle w:val="FootnoteText"/>
        <w:rPr>
          <w:rFonts w:asciiTheme="majorHAnsi" w:hAnsiTheme="majorHAnsi" w:cstheme="majorHAnsi"/>
          <w:sz w:val="18"/>
          <w:szCs w:val="18"/>
        </w:rPr>
      </w:pPr>
      <w:r w:rsidRPr="00AD521D">
        <w:rPr>
          <w:rStyle w:val="FootnoteReference"/>
          <w:rFonts w:asciiTheme="majorHAnsi" w:hAnsiTheme="majorHAnsi" w:cstheme="majorHAnsi"/>
          <w:sz w:val="18"/>
          <w:szCs w:val="18"/>
        </w:rPr>
        <w:footnoteRef/>
      </w:r>
      <w:r w:rsidRPr="00AD521D">
        <w:rPr>
          <w:rFonts w:asciiTheme="majorHAnsi" w:hAnsiTheme="majorHAnsi" w:cstheme="majorHAnsi"/>
          <w:sz w:val="18"/>
          <w:szCs w:val="18"/>
        </w:rPr>
        <w:t xml:space="preserve"> While the emission factor for oil extraction in the Middle East is not higher than that of other regions, most crude oil reserves are located in the Middle East. Because most extraction takes place there, changes in the emission factor would impact it most.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6AA8" w14:textId="20B7E551" w:rsidR="00EA5256" w:rsidRPr="00D70F72" w:rsidRDefault="00DE027F" w:rsidP="00BB2B71">
    <w:pPr>
      <w:pStyle w:val="Header"/>
      <w:tabs>
        <w:tab w:val="clear" w:pos="4680"/>
      </w:tabs>
      <w:rPr>
        <w:rFonts w:asciiTheme="majorHAnsi" w:hAnsiTheme="majorHAnsi" w:cstheme="majorHAnsi"/>
      </w:rPr>
    </w:pPr>
    <w:sdt>
      <w:sdtPr>
        <w:rPr>
          <w:rFonts w:asciiTheme="majorHAnsi" w:hAnsiTheme="majorHAnsi" w:cstheme="majorHAnsi"/>
        </w:rPr>
        <w:id w:val="-229075670"/>
        <w:docPartObj>
          <w:docPartGallery w:val="Page Numbers (Top of Page)"/>
          <w:docPartUnique/>
        </w:docPartObj>
      </w:sdtPr>
      <w:sdtEndPr>
        <w:rPr>
          <w:noProof/>
        </w:rPr>
      </w:sdtEndPr>
      <w:sdtContent>
        <w:r w:rsidR="00EA5256" w:rsidRPr="00D70F72">
          <w:rPr>
            <w:rFonts w:asciiTheme="majorHAnsi" w:hAnsiTheme="majorHAnsi" w:cstheme="majorHAnsi"/>
          </w:rPr>
          <w:fldChar w:fldCharType="begin"/>
        </w:r>
        <w:r w:rsidR="00EA5256" w:rsidRPr="00D70F72">
          <w:rPr>
            <w:rFonts w:asciiTheme="majorHAnsi" w:hAnsiTheme="majorHAnsi" w:cstheme="majorHAnsi"/>
          </w:rPr>
          <w:instrText xml:space="preserve"> PAGE   \* MERGEFORMAT </w:instrText>
        </w:r>
        <w:r w:rsidR="00EA5256" w:rsidRPr="00D70F72">
          <w:rPr>
            <w:rFonts w:asciiTheme="majorHAnsi" w:hAnsiTheme="majorHAnsi" w:cstheme="majorHAnsi"/>
          </w:rPr>
          <w:fldChar w:fldCharType="separate"/>
        </w:r>
        <w:r w:rsidR="00F143A5">
          <w:rPr>
            <w:rFonts w:asciiTheme="majorHAnsi" w:hAnsiTheme="majorHAnsi" w:cstheme="majorHAnsi"/>
            <w:noProof/>
          </w:rPr>
          <w:t>24</w:t>
        </w:r>
        <w:r w:rsidR="00EA5256" w:rsidRPr="00D70F72">
          <w:rPr>
            <w:rFonts w:asciiTheme="majorHAnsi" w:hAnsiTheme="majorHAnsi" w:cstheme="majorHAnsi"/>
            <w:noProof/>
          </w:rPr>
          <w:fldChar w:fldCharType="end"/>
        </w:r>
      </w:sdtContent>
    </w:sdt>
    <w:r w:rsidR="00AC05FC">
      <w:rPr>
        <w:rFonts w:asciiTheme="majorHAnsi" w:hAnsiTheme="majorHAnsi" w:cstheme="majorHAnsi"/>
        <w:noProof/>
      </w:rPr>
      <w:tab/>
      <w:t>Shepard, van Ruijven, Zak</w:t>
    </w:r>
    <w:r w:rsidR="00EA5256" w:rsidRPr="00D70F72">
      <w:rPr>
        <w:rFonts w:asciiTheme="majorHAnsi" w:hAnsiTheme="majorHAnsi" w:cstheme="majorHAnsi"/>
        <w:noProof/>
      </w:rPr>
      <w:t>eri (2020)</w:t>
    </w:r>
  </w:p>
  <w:p w14:paraId="36FEB5B0" w14:textId="77777777" w:rsidR="00EA5256" w:rsidRDefault="00EA52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47D68"/>
    <w:multiLevelType w:val="hybridMultilevel"/>
    <w:tmpl w:val="4C34F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F40A8"/>
    <w:multiLevelType w:val="hybridMultilevel"/>
    <w:tmpl w:val="3376960A"/>
    <w:lvl w:ilvl="0" w:tplc="F48E78B4">
      <w:numFmt w:val="bullet"/>
      <w:lvlText w:val=""/>
      <w:lvlJc w:val="left"/>
      <w:pPr>
        <w:ind w:left="720" w:hanging="36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9666EF"/>
    <w:multiLevelType w:val="hybridMultilevel"/>
    <w:tmpl w:val="4EBE4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D7B"/>
    <w:rsid w:val="00001A90"/>
    <w:rsid w:val="00005EB4"/>
    <w:rsid w:val="000306D3"/>
    <w:rsid w:val="000309D8"/>
    <w:rsid w:val="0004605C"/>
    <w:rsid w:val="000631F8"/>
    <w:rsid w:val="000929F0"/>
    <w:rsid w:val="00092F0C"/>
    <w:rsid w:val="000A02C1"/>
    <w:rsid w:val="000C2971"/>
    <w:rsid w:val="000D05A5"/>
    <w:rsid w:val="000E3035"/>
    <w:rsid w:val="00133EC1"/>
    <w:rsid w:val="00136BB2"/>
    <w:rsid w:val="00150B4C"/>
    <w:rsid w:val="00167661"/>
    <w:rsid w:val="001714E6"/>
    <w:rsid w:val="00173C30"/>
    <w:rsid w:val="001764DD"/>
    <w:rsid w:val="00176762"/>
    <w:rsid w:val="001A0A00"/>
    <w:rsid w:val="001C24F2"/>
    <w:rsid w:val="001D5D08"/>
    <w:rsid w:val="001E46D7"/>
    <w:rsid w:val="001E5A2C"/>
    <w:rsid w:val="001F759E"/>
    <w:rsid w:val="00212DA2"/>
    <w:rsid w:val="0022603D"/>
    <w:rsid w:val="00243379"/>
    <w:rsid w:val="0024644B"/>
    <w:rsid w:val="00254A58"/>
    <w:rsid w:val="00254F72"/>
    <w:rsid w:val="002562DB"/>
    <w:rsid w:val="00263072"/>
    <w:rsid w:val="00274BC5"/>
    <w:rsid w:val="00287090"/>
    <w:rsid w:val="002B5627"/>
    <w:rsid w:val="002C2226"/>
    <w:rsid w:val="002D3A2E"/>
    <w:rsid w:val="002E16A5"/>
    <w:rsid w:val="00305AD1"/>
    <w:rsid w:val="00321F9D"/>
    <w:rsid w:val="0032260C"/>
    <w:rsid w:val="003738A2"/>
    <w:rsid w:val="00374B1F"/>
    <w:rsid w:val="003806AA"/>
    <w:rsid w:val="00391CEB"/>
    <w:rsid w:val="003C24BF"/>
    <w:rsid w:val="003C24C1"/>
    <w:rsid w:val="003E04C6"/>
    <w:rsid w:val="003E29AF"/>
    <w:rsid w:val="003F2C25"/>
    <w:rsid w:val="003F7CED"/>
    <w:rsid w:val="00400FFE"/>
    <w:rsid w:val="004047B1"/>
    <w:rsid w:val="00407299"/>
    <w:rsid w:val="004159B2"/>
    <w:rsid w:val="00422CE5"/>
    <w:rsid w:val="004464E3"/>
    <w:rsid w:val="004464F8"/>
    <w:rsid w:val="00452D7B"/>
    <w:rsid w:val="004852BB"/>
    <w:rsid w:val="004B47DA"/>
    <w:rsid w:val="004B722D"/>
    <w:rsid w:val="004B77B2"/>
    <w:rsid w:val="004D1B02"/>
    <w:rsid w:val="004E1491"/>
    <w:rsid w:val="004E780C"/>
    <w:rsid w:val="004F3429"/>
    <w:rsid w:val="0050413E"/>
    <w:rsid w:val="00504766"/>
    <w:rsid w:val="005103A7"/>
    <w:rsid w:val="00510EDD"/>
    <w:rsid w:val="00515904"/>
    <w:rsid w:val="00525F0E"/>
    <w:rsid w:val="00555F84"/>
    <w:rsid w:val="00562670"/>
    <w:rsid w:val="0056358F"/>
    <w:rsid w:val="00573EE8"/>
    <w:rsid w:val="005775AD"/>
    <w:rsid w:val="005A5D4C"/>
    <w:rsid w:val="005B5A52"/>
    <w:rsid w:val="005E0A45"/>
    <w:rsid w:val="005E21A9"/>
    <w:rsid w:val="005E4B2B"/>
    <w:rsid w:val="005F2992"/>
    <w:rsid w:val="005F3594"/>
    <w:rsid w:val="00610887"/>
    <w:rsid w:val="006141C7"/>
    <w:rsid w:val="006238BD"/>
    <w:rsid w:val="006529B2"/>
    <w:rsid w:val="00657446"/>
    <w:rsid w:val="00666E4F"/>
    <w:rsid w:val="00680CA6"/>
    <w:rsid w:val="00680D84"/>
    <w:rsid w:val="00690548"/>
    <w:rsid w:val="00691E4E"/>
    <w:rsid w:val="006B1501"/>
    <w:rsid w:val="006B3FB2"/>
    <w:rsid w:val="006B5362"/>
    <w:rsid w:val="006C12F9"/>
    <w:rsid w:val="006C57A8"/>
    <w:rsid w:val="006E67B0"/>
    <w:rsid w:val="006F3C02"/>
    <w:rsid w:val="006F3DE5"/>
    <w:rsid w:val="00700BC1"/>
    <w:rsid w:val="00710653"/>
    <w:rsid w:val="00711D48"/>
    <w:rsid w:val="00722502"/>
    <w:rsid w:val="00723A38"/>
    <w:rsid w:val="00737703"/>
    <w:rsid w:val="00742E80"/>
    <w:rsid w:val="00752BD7"/>
    <w:rsid w:val="00756FB6"/>
    <w:rsid w:val="007621BA"/>
    <w:rsid w:val="0076233A"/>
    <w:rsid w:val="007707AF"/>
    <w:rsid w:val="00783F0D"/>
    <w:rsid w:val="00791320"/>
    <w:rsid w:val="007927B3"/>
    <w:rsid w:val="00792B6B"/>
    <w:rsid w:val="007A6F2F"/>
    <w:rsid w:val="007B7639"/>
    <w:rsid w:val="007F1C2B"/>
    <w:rsid w:val="0081177B"/>
    <w:rsid w:val="0082304D"/>
    <w:rsid w:val="00826DBD"/>
    <w:rsid w:val="008271F4"/>
    <w:rsid w:val="00834A98"/>
    <w:rsid w:val="00844D60"/>
    <w:rsid w:val="00877B77"/>
    <w:rsid w:val="0088697C"/>
    <w:rsid w:val="008A0C4D"/>
    <w:rsid w:val="008A4C56"/>
    <w:rsid w:val="008B1727"/>
    <w:rsid w:val="008C1A30"/>
    <w:rsid w:val="008C7340"/>
    <w:rsid w:val="008E699E"/>
    <w:rsid w:val="008F7819"/>
    <w:rsid w:val="0091511E"/>
    <w:rsid w:val="00940D5A"/>
    <w:rsid w:val="00941F31"/>
    <w:rsid w:val="00954653"/>
    <w:rsid w:val="009732DE"/>
    <w:rsid w:val="00976A44"/>
    <w:rsid w:val="00987DA4"/>
    <w:rsid w:val="009A2CAF"/>
    <w:rsid w:val="009B67C7"/>
    <w:rsid w:val="009C63BC"/>
    <w:rsid w:val="009D696D"/>
    <w:rsid w:val="00A1195C"/>
    <w:rsid w:val="00A15EE1"/>
    <w:rsid w:val="00A41F57"/>
    <w:rsid w:val="00A4666A"/>
    <w:rsid w:val="00A6038C"/>
    <w:rsid w:val="00A70E59"/>
    <w:rsid w:val="00A802C1"/>
    <w:rsid w:val="00A82468"/>
    <w:rsid w:val="00A860A0"/>
    <w:rsid w:val="00A86B9A"/>
    <w:rsid w:val="00A878B1"/>
    <w:rsid w:val="00AA4CB0"/>
    <w:rsid w:val="00AB15DC"/>
    <w:rsid w:val="00AC05FC"/>
    <w:rsid w:val="00AD521D"/>
    <w:rsid w:val="00AD56A8"/>
    <w:rsid w:val="00AF087E"/>
    <w:rsid w:val="00AF1572"/>
    <w:rsid w:val="00AF4B61"/>
    <w:rsid w:val="00AF72E4"/>
    <w:rsid w:val="00B62618"/>
    <w:rsid w:val="00B74225"/>
    <w:rsid w:val="00B920BF"/>
    <w:rsid w:val="00BB189A"/>
    <w:rsid w:val="00BB2B71"/>
    <w:rsid w:val="00BC0EF4"/>
    <w:rsid w:val="00BC2F2F"/>
    <w:rsid w:val="00BC67D6"/>
    <w:rsid w:val="00BD24E9"/>
    <w:rsid w:val="00BD5E8C"/>
    <w:rsid w:val="00C01296"/>
    <w:rsid w:val="00C17C50"/>
    <w:rsid w:val="00C220AE"/>
    <w:rsid w:val="00C376A8"/>
    <w:rsid w:val="00C61B6D"/>
    <w:rsid w:val="00C61CB9"/>
    <w:rsid w:val="00C67908"/>
    <w:rsid w:val="00C71EE7"/>
    <w:rsid w:val="00C771A2"/>
    <w:rsid w:val="00C77901"/>
    <w:rsid w:val="00C81BA4"/>
    <w:rsid w:val="00C92547"/>
    <w:rsid w:val="00CE53C7"/>
    <w:rsid w:val="00D01EAF"/>
    <w:rsid w:val="00D03CE7"/>
    <w:rsid w:val="00D15230"/>
    <w:rsid w:val="00D31284"/>
    <w:rsid w:val="00D432CC"/>
    <w:rsid w:val="00D451AE"/>
    <w:rsid w:val="00D52807"/>
    <w:rsid w:val="00D70F72"/>
    <w:rsid w:val="00D73ACF"/>
    <w:rsid w:val="00D77C81"/>
    <w:rsid w:val="00DA584C"/>
    <w:rsid w:val="00DC26A1"/>
    <w:rsid w:val="00DD7115"/>
    <w:rsid w:val="00DE027F"/>
    <w:rsid w:val="00E030C1"/>
    <w:rsid w:val="00E04241"/>
    <w:rsid w:val="00E142E1"/>
    <w:rsid w:val="00E22665"/>
    <w:rsid w:val="00E26DBB"/>
    <w:rsid w:val="00E33AE6"/>
    <w:rsid w:val="00E343E4"/>
    <w:rsid w:val="00E42318"/>
    <w:rsid w:val="00E621B7"/>
    <w:rsid w:val="00E6315F"/>
    <w:rsid w:val="00E63B5E"/>
    <w:rsid w:val="00E7295E"/>
    <w:rsid w:val="00E90DEE"/>
    <w:rsid w:val="00EA5256"/>
    <w:rsid w:val="00EB4C31"/>
    <w:rsid w:val="00ED2018"/>
    <w:rsid w:val="00ED6C4D"/>
    <w:rsid w:val="00EE06F3"/>
    <w:rsid w:val="00EE74D2"/>
    <w:rsid w:val="00EF1A48"/>
    <w:rsid w:val="00F005F3"/>
    <w:rsid w:val="00F046CE"/>
    <w:rsid w:val="00F12C35"/>
    <w:rsid w:val="00F143A5"/>
    <w:rsid w:val="00F2007A"/>
    <w:rsid w:val="00F27A22"/>
    <w:rsid w:val="00F27E1D"/>
    <w:rsid w:val="00F34F7E"/>
    <w:rsid w:val="00F3556C"/>
    <w:rsid w:val="00F377C3"/>
    <w:rsid w:val="00F404A4"/>
    <w:rsid w:val="00F4642B"/>
    <w:rsid w:val="00F66C6F"/>
    <w:rsid w:val="00F76C72"/>
    <w:rsid w:val="00F77BF4"/>
    <w:rsid w:val="00F847FB"/>
    <w:rsid w:val="00FA38D0"/>
    <w:rsid w:val="00FB3687"/>
    <w:rsid w:val="00FE508B"/>
    <w:rsid w:val="5814B292"/>
    <w:rsid w:val="7D0E00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A1537"/>
  <w15:chartTrackingRefBased/>
  <w15:docId w15:val="{AFD2E8E1-31CF-4229-863D-97C6C838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D7B"/>
  </w:style>
  <w:style w:type="paragraph" w:styleId="Heading1">
    <w:name w:val="heading 1"/>
    <w:basedOn w:val="Normal"/>
    <w:next w:val="Normal"/>
    <w:link w:val="Heading1Char"/>
    <w:uiPriority w:val="9"/>
    <w:qFormat/>
    <w:rsid w:val="00BB2B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B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60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4B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60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B71"/>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BB2B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B71"/>
    <w:rPr>
      <w:sz w:val="20"/>
      <w:szCs w:val="20"/>
    </w:rPr>
  </w:style>
  <w:style w:type="character" w:styleId="FootnoteReference">
    <w:name w:val="footnote reference"/>
    <w:basedOn w:val="DefaultParagraphFont"/>
    <w:uiPriority w:val="99"/>
    <w:semiHidden/>
    <w:unhideWhenUsed/>
    <w:rsid w:val="00BB2B71"/>
    <w:rPr>
      <w:vertAlign w:val="superscript"/>
    </w:rPr>
  </w:style>
  <w:style w:type="paragraph" w:styleId="Header">
    <w:name w:val="header"/>
    <w:basedOn w:val="Normal"/>
    <w:link w:val="HeaderChar"/>
    <w:uiPriority w:val="99"/>
    <w:unhideWhenUsed/>
    <w:rsid w:val="00BB2B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B71"/>
  </w:style>
  <w:style w:type="paragraph" w:styleId="Footer">
    <w:name w:val="footer"/>
    <w:basedOn w:val="Normal"/>
    <w:link w:val="FooterChar"/>
    <w:uiPriority w:val="99"/>
    <w:unhideWhenUsed/>
    <w:rsid w:val="00BB2B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B71"/>
  </w:style>
  <w:style w:type="character" w:customStyle="1" w:styleId="Heading2Char">
    <w:name w:val="Heading 2 Char"/>
    <w:basedOn w:val="DefaultParagraphFont"/>
    <w:link w:val="Heading2"/>
    <w:uiPriority w:val="9"/>
    <w:rsid w:val="00BB2B7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B2B71"/>
    <w:pPr>
      <w:spacing w:after="200" w:line="240" w:lineRule="auto"/>
    </w:pPr>
    <w:rPr>
      <w:rFonts w:ascii="Tahoma" w:eastAsiaTheme="minorHAnsi" w:hAnsi="Tahoma"/>
      <w:i/>
      <w:iCs/>
      <w:color w:val="44546A" w:themeColor="text2"/>
      <w:sz w:val="18"/>
      <w:szCs w:val="18"/>
      <w:lang w:eastAsia="en-US"/>
    </w:rPr>
  </w:style>
  <w:style w:type="character" w:customStyle="1" w:styleId="Heading5Char">
    <w:name w:val="Heading 5 Char"/>
    <w:basedOn w:val="DefaultParagraphFont"/>
    <w:link w:val="Heading5"/>
    <w:uiPriority w:val="9"/>
    <w:semiHidden/>
    <w:rsid w:val="0022603D"/>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22603D"/>
    <w:pPr>
      <w:spacing w:after="0" w:line="276" w:lineRule="auto"/>
      <w:ind w:left="720"/>
      <w:contextualSpacing/>
    </w:pPr>
    <w:rPr>
      <w:rFonts w:ascii="Tahoma" w:eastAsiaTheme="minorHAnsi" w:hAnsi="Tahoma"/>
      <w:color w:val="404040" w:themeColor="text1" w:themeTint="BF"/>
      <w:sz w:val="20"/>
      <w:szCs w:val="24"/>
      <w:lang w:eastAsia="en-US"/>
    </w:rPr>
  </w:style>
  <w:style w:type="character" w:customStyle="1" w:styleId="Heading3Char">
    <w:name w:val="Heading 3 Char"/>
    <w:basedOn w:val="DefaultParagraphFont"/>
    <w:link w:val="Heading3"/>
    <w:uiPriority w:val="9"/>
    <w:rsid w:val="0022603D"/>
    <w:rPr>
      <w:rFonts w:asciiTheme="majorHAnsi" w:eastAsiaTheme="majorEastAsia" w:hAnsiTheme="majorHAnsi" w:cstheme="majorBidi"/>
      <w:color w:val="1F3763" w:themeColor="accent1" w:themeShade="7F"/>
      <w:sz w:val="24"/>
      <w:szCs w:val="24"/>
    </w:rPr>
  </w:style>
  <w:style w:type="table" w:styleId="GridTable1Light-Accent1">
    <w:name w:val="Grid Table 1 Light Accent 1"/>
    <w:basedOn w:val="TableNormal"/>
    <w:uiPriority w:val="46"/>
    <w:rsid w:val="0022603D"/>
    <w:pPr>
      <w:spacing w:before="120" w:after="120" w:line="240" w:lineRule="auto"/>
      <w:ind w:left="57" w:right="57"/>
    </w:pPr>
    <w:rPr>
      <w:rFonts w:ascii="Tahoma" w:eastAsiaTheme="minorHAnsi" w:hAnsi="Tahoma"/>
      <w:sz w:val="20"/>
      <w:szCs w:val="24"/>
      <w:lang w:val="en-GB" w:eastAsia="en-US"/>
    </w:rPr>
    <w:tblPr>
      <w:tblStyleRowBandSize w:val="1"/>
      <w:tblStyleColBandSize w:val="1"/>
      <w:tblBorders>
        <w:top w:val="single" w:sz="4" w:space="0" w:color="00599D"/>
        <w:left w:val="single" w:sz="4" w:space="0" w:color="00599D"/>
        <w:bottom w:val="single" w:sz="4" w:space="0" w:color="00599D"/>
        <w:right w:val="single" w:sz="4" w:space="0" w:color="00599D"/>
        <w:insideH w:val="single" w:sz="4" w:space="0" w:color="00599D"/>
        <w:insideV w:val="single" w:sz="6" w:space="0" w:color="00599D"/>
      </w:tblBorders>
    </w:tblPr>
    <w:tcPr>
      <w:shd w:val="clear" w:color="auto" w:fill="auto"/>
    </w:tc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AF4B61"/>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C05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05FC"/>
    <w:rPr>
      <w:rFonts w:ascii="Segoe UI" w:hAnsi="Segoe UI" w:cs="Segoe UI"/>
      <w:sz w:val="18"/>
      <w:szCs w:val="18"/>
    </w:rPr>
  </w:style>
  <w:style w:type="paragraph" w:styleId="Revision">
    <w:name w:val="Revision"/>
    <w:hidden/>
    <w:uiPriority w:val="99"/>
    <w:semiHidden/>
    <w:rsid w:val="00AC05FC"/>
    <w:pPr>
      <w:spacing w:after="0" w:line="240" w:lineRule="auto"/>
    </w:pPr>
  </w:style>
  <w:style w:type="character" w:styleId="Hyperlink">
    <w:name w:val="Hyperlink"/>
    <w:basedOn w:val="DefaultParagraphFont"/>
    <w:uiPriority w:val="99"/>
    <w:semiHidden/>
    <w:unhideWhenUsed/>
    <w:rsid w:val="00AC05FC"/>
    <w:rPr>
      <w:color w:val="0000FF"/>
      <w:u w:val="single"/>
    </w:rPr>
  </w:style>
  <w:style w:type="paragraph" w:styleId="CommentSubject">
    <w:name w:val="annotation subject"/>
    <w:basedOn w:val="CommentText"/>
    <w:next w:val="CommentText"/>
    <w:link w:val="CommentSubjectChar"/>
    <w:uiPriority w:val="99"/>
    <w:semiHidden/>
    <w:unhideWhenUsed/>
    <w:rsid w:val="00FE508B"/>
    <w:rPr>
      <w:b/>
      <w:bCs/>
    </w:rPr>
  </w:style>
  <w:style w:type="character" w:customStyle="1" w:styleId="CommentSubjectChar">
    <w:name w:val="Comment Subject Char"/>
    <w:basedOn w:val="CommentTextChar"/>
    <w:link w:val="CommentSubject"/>
    <w:uiPriority w:val="99"/>
    <w:semiHidden/>
    <w:rsid w:val="00FE508B"/>
    <w:rPr>
      <w:b/>
      <w:bCs/>
      <w:sz w:val="20"/>
      <w:szCs w:val="20"/>
    </w:rPr>
  </w:style>
  <w:style w:type="character" w:styleId="Emphasis">
    <w:name w:val="Emphasis"/>
    <w:basedOn w:val="DefaultParagraphFont"/>
    <w:uiPriority w:val="20"/>
    <w:qFormat/>
    <w:rsid w:val="003C24BF"/>
    <w:rPr>
      <w:i/>
      <w:iCs/>
    </w:rPr>
  </w:style>
  <w:style w:type="character" w:styleId="Strong">
    <w:name w:val="Strong"/>
    <w:basedOn w:val="DefaultParagraphFont"/>
    <w:uiPriority w:val="22"/>
    <w:qFormat/>
    <w:rsid w:val="003C2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8777851">
      <w:bodyDiv w:val="1"/>
      <w:marLeft w:val="0"/>
      <w:marRight w:val="0"/>
      <w:marTop w:val="0"/>
      <w:marBottom w:val="0"/>
      <w:divBdr>
        <w:top w:val="none" w:sz="0" w:space="0" w:color="auto"/>
        <w:left w:val="none" w:sz="0" w:space="0" w:color="auto"/>
        <w:bottom w:val="none" w:sz="0" w:space="0" w:color="auto"/>
        <w:right w:val="none" w:sz="0" w:space="0" w:color="auto"/>
      </w:divBdr>
      <w:divsChild>
        <w:div w:id="965738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7a716815c5df4ae1"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message.iiasa.ac.at/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59AAC-43D6-4454-BC9D-A6BCD1B4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26</Pages>
  <Words>24554</Words>
  <Characters>139958</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Shepard</dc:creator>
  <cp:keywords/>
  <dc:description/>
  <cp:lastModifiedBy>Jun Shepard</cp:lastModifiedBy>
  <cp:revision>45</cp:revision>
  <cp:lastPrinted>2020-02-07T19:21:00Z</cp:lastPrinted>
  <dcterms:created xsi:type="dcterms:W3CDTF">2020-02-07T14:10:00Z</dcterms:created>
  <dcterms:modified xsi:type="dcterms:W3CDTF">2020-02-25T14:49:00Z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http://www.zotero.org/styles/applied-energy</vt:lpwstr>
  </property>
  <property fmtid="{D5CDD505-2E9C-101B-9397-08002B2CF9AE}" pid="5" name="Mendeley Recent Style Name 1_1">
    <vt:lpwstr>Applied Energy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http://www.zotero.org/styles/energies</vt:lpwstr>
  </property>
  <property fmtid="{D5CDD505-2E9C-101B-9397-08002B2CF9AE}" pid="11" name="Mendeley Recent Style Name 4_1">
    <vt:lpwstr>Energies</vt:lpwstr>
  </property>
  <property fmtid="{D5CDD505-2E9C-101B-9397-08002B2CF9AE}" pid="12" name="Mendeley Recent Style Id 5_1">
    <vt:lpwstr>http://www.zotero.org/styles/energy-policy</vt:lpwstr>
  </property>
  <property fmtid="{D5CDD505-2E9C-101B-9397-08002B2CF9AE}" pid="13" name="Mendeley Recent Style Name 5_1">
    <vt:lpwstr>Energy Policy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http://www.zotero.org/styles/applied-energy</vt:lpwstr>
  </property>
  <property fmtid="{D5CDD505-2E9C-101B-9397-08002B2CF9AE}" pid="24" name="Mendeley Unique User Id_1">
    <vt:lpwstr>2b461d94-f70c-3d45-b0e8-a04d00532a4d</vt:lpwstr>
  </property>
</Properties>
</file>