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72A03" w14:textId="77777777" w:rsidR="001B7204" w:rsidRPr="00D4752D" w:rsidRDefault="001B7204" w:rsidP="001B7204">
      <w:pPr>
        <w:spacing w:line="360" w:lineRule="auto"/>
        <w:rPr>
          <w:rFonts w:asciiTheme="majorHAnsi" w:hAnsiTheme="majorHAnsi" w:cstheme="majorHAnsi"/>
          <w:b/>
          <w:bCs/>
          <w:sz w:val="32"/>
          <w:szCs w:val="32"/>
        </w:rPr>
      </w:pPr>
      <w:r w:rsidRPr="00D4752D">
        <w:rPr>
          <w:rFonts w:asciiTheme="majorHAnsi" w:hAnsiTheme="majorHAnsi" w:cstheme="majorHAnsi"/>
          <w:b/>
          <w:bCs/>
          <w:sz w:val="32"/>
          <w:szCs w:val="32"/>
        </w:rPr>
        <w:t>Hybrid Input-Output Analysis of Embodied Energy Security</w:t>
      </w:r>
    </w:p>
    <w:p w14:paraId="25A39E07" w14:textId="77777777" w:rsidR="001B7204" w:rsidRPr="00D4752D" w:rsidRDefault="001B7204" w:rsidP="001B7204">
      <w:pPr>
        <w:spacing w:line="360" w:lineRule="auto"/>
        <w:rPr>
          <w:rFonts w:asciiTheme="majorHAnsi" w:hAnsiTheme="majorHAnsi" w:cstheme="majorHAnsi"/>
          <w:i/>
          <w:vertAlign w:val="superscript"/>
          <w:lang w:val="nl-NL"/>
        </w:rPr>
      </w:pPr>
      <w:r w:rsidRPr="00D4752D">
        <w:rPr>
          <w:rFonts w:asciiTheme="majorHAnsi" w:hAnsiTheme="majorHAnsi" w:cstheme="majorHAnsi"/>
          <w:lang w:val="nl-NL"/>
        </w:rPr>
        <w:t>Jun U. Shepard</w:t>
      </w:r>
      <w:r w:rsidRPr="00D4752D">
        <w:rPr>
          <w:rFonts w:asciiTheme="majorHAnsi" w:hAnsiTheme="majorHAnsi" w:cstheme="majorHAnsi"/>
          <w:i/>
          <w:vertAlign w:val="superscript"/>
          <w:lang w:val="nl-NL"/>
        </w:rPr>
        <w:t>a</w:t>
      </w:r>
      <w:r w:rsidRPr="00D4752D">
        <w:rPr>
          <w:rFonts w:asciiTheme="majorHAnsi" w:hAnsiTheme="majorHAnsi" w:cstheme="majorHAnsi"/>
          <w:lang w:val="nl-NL"/>
        </w:rPr>
        <w:t xml:space="preserve"> and Lincoln F. Pratson</w:t>
      </w:r>
      <w:r w:rsidRPr="00D4752D">
        <w:rPr>
          <w:rFonts w:asciiTheme="majorHAnsi" w:hAnsiTheme="majorHAnsi" w:cstheme="majorHAnsi"/>
          <w:i/>
          <w:vertAlign w:val="superscript"/>
          <w:lang w:val="nl-NL"/>
        </w:rPr>
        <w:t>a</w:t>
      </w:r>
    </w:p>
    <w:p w14:paraId="10F2481D" w14:textId="77777777" w:rsidR="001B7204" w:rsidRPr="00D4752D" w:rsidRDefault="001B7204" w:rsidP="001B7204">
      <w:pPr>
        <w:rPr>
          <w:rFonts w:asciiTheme="majorHAnsi" w:hAnsiTheme="majorHAnsi" w:cstheme="majorHAnsi"/>
          <w:i/>
          <w:sz w:val="20"/>
          <w:szCs w:val="20"/>
          <w:lang w:val="nl-NL"/>
        </w:rPr>
      </w:pPr>
      <w:r w:rsidRPr="00D4752D">
        <w:rPr>
          <w:rFonts w:asciiTheme="majorHAnsi" w:hAnsiTheme="majorHAnsi" w:cstheme="majorHAnsi"/>
          <w:i/>
          <w:sz w:val="20"/>
          <w:szCs w:val="20"/>
          <w:vertAlign w:val="superscript"/>
          <w:lang w:val="nl-NL"/>
        </w:rPr>
        <w:t>a</w:t>
      </w:r>
      <w:r w:rsidRPr="00D4752D">
        <w:rPr>
          <w:rFonts w:asciiTheme="majorHAnsi" w:hAnsiTheme="majorHAnsi" w:cstheme="majorHAnsi"/>
          <w:i/>
          <w:sz w:val="20"/>
          <w:szCs w:val="20"/>
          <w:lang w:val="nl-NL"/>
        </w:rPr>
        <w:t xml:space="preserve"> Duke University (Nicholas School of the Environment), 9 Circuit Drive, Durham, NC 27701 USA. Corresponding email: </w:t>
      </w:r>
      <w:r w:rsidRPr="00D4752D">
        <w:fldChar w:fldCharType="begin"/>
      </w:r>
      <w:r w:rsidRPr="00D4752D">
        <w:rPr>
          <w:rFonts w:asciiTheme="majorHAnsi" w:hAnsiTheme="majorHAnsi" w:cstheme="majorHAnsi"/>
        </w:rPr>
        <w:instrText xml:space="preserve"> HYPERLINK "mailto:jun.shepard@duke.edu" </w:instrText>
      </w:r>
      <w:r w:rsidRPr="00D4752D">
        <w:fldChar w:fldCharType="separate"/>
      </w:r>
      <w:r w:rsidRPr="00D4752D">
        <w:rPr>
          <w:rStyle w:val="Hyperlink"/>
          <w:rFonts w:asciiTheme="majorHAnsi" w:hAnsiTheme="majorHAnsi" w:cstheme="majorHAnsi"/>
          <w:i/>
          <w:sz w:val="20"/>
          <w:szCs w:val="20"/>
          <w:lang w:val="nl-NL"/>
        </w:rPr>
        <w:t>jun.shepard@duke.edu</w:t>
      </w:r>
      <w:r w:rsidRPr="00D4752D">
        <w:rPr>
          <w:rStyle w:val="Hyperlink"/>
          <w:rFonts w:asciiTheme="majorHAnsi" w:hAnsiTheme="majorHAnsi" w:cstheme="majorHAnsi"/>
          <w:i/>
          <w:sz w:val="20"/>
          <w:szCs w:val="20"/>
          <w:lang w:val="nl-NL"/>
        </w:rPr>
        <w:fldChar w:fldCharType="end"/>
      </w:r>
      <w:r w:rsidRPr="00D4752D">
        <w:rPr>
          <w:rFonts w:asciiTheme="majorHAnsi" w:hAnsiTheme="majorHAnsi" w:cstheme="majorHAnsi"/>
          <w:i/>
          <w:sz w:val="20"/>
          <w:szCs w:val="20"/>
          <w:lang w:val="nl-NL"/>
        </w:rPr>
        <w:t>.</w:t>
      </w:r>
    </w:p>
    <w:p w14:paraId="58D1195A" w14:textId="77777777" w:rsidR="00C40CDA" w:rsidRDefault="00C40CDA">
      <w:pPr>
        <w:rPr>
          <w:b/>
        </w:rPr>
      </w:pPr>
    </w:p>
    <w:sdt>
      <w:sdtPr>
        <w:rPr>
          <w:rFonts w:asciiTheme="minorHAnsi" w:eastAsiaTheme="minorEastAsia" w:hAnsiTheme="minorHAnsi" w:cstheme="minorBidi"/>
          <w:color w:val="auto"/>
          <w:sz w:val="22"/>
          <w:szCs w:val="22"/>
          <w:lang w:eastAsia="ja-JP"/>
        </w:rPr>
        <w:id w:val="-623375266"/>
        <w:docPartObj>
          <w:docPartGallery w:val="Table of Contents"/>
          <w:docPartUnique/>
        </w:docPartObj>
      </w:sdtPr>
      <w:sdtEndPr>
        <w:rPr>
          <w:b/>
          <w:bCs/>
          <w:noProof/>
        </w:rPr>
      </w:sdtEndPr>
      <w:sdtContent>
        <w:p w14:paraId="68C67905" w14:textId="77777777" w:rsidR="00C40CDA" w:rsidRDefault="00C40CDA">
          <w:pPr>
            <w:pStyle w:val="TOCHeading"/>
          </w:pPr>
          <w:r>
            <w:t>Contents</w:t>
          </w:r>
        </w:p>
        <w:p w14:paraId="54339118" w14:textId="0596E47C" w:rsidR="001506E9" w:rsidRDefault="00C40CDA">
          <w:pPr>
            <w:pStyle w:val="TOC1"/>
            <w:tabs>
              <w:tab w:val="left" w:pos="440"/>
              <w:tab w:val="right" w:leader="dot" w:pos="9350"/>
            </w:tabs>
            <w:rPr>
              <w:noProof/>
            </w:rPr>
          </w:pPr>
          <w:r>
            <w:fldChar w:fldCharType="begin"/>
          </w:r>
          <w:r>
            <w:instrText xml:space="preserve"> TOC \o "1-3" \h \z \u </w:instrText>
          </w:r>
          <w:r>
            <w:fldChar w:fldCharType="separate"/>
          </w:r>
          <w:hyperlink w:anchor="_Toc41047415" w:history="1">
            <w:r w:rsidR="001506E9" w:rsidRPr="00CF1608">
              <w:rPr>
                <w:rStyle w:val="Hyperlink"/>
                <w:noProof/>
              </w:rPr>
              <w:t>1</w:t>
            </w:r>
            <w:r w:rsidR="001506E9">
              <w:rPr>
                <w:noProof/>
              </w:rPr>
              <w:tab/>
            </w:r>
            <w:r w:rsidR="001506E9" w:rsidRPr="00CF1608">
              <w:rPr>
                <w:rStyle w:val="Hyperlink"/>
                <w:noProof/>
              </w:rPr>
              <w:t>Non-energy sectors in Eora-26</w:t>
            </w:r>
            <w:r w:rsidR="001506E9">
              <w:rPr>
                <w:noProof/>
                <w:webHidden/>
              </w:rPr>
              <w:tab/>
            </w:r>
            <w:r w:rsidR="001506E9">
              <w:rPr>
                <w:noProof/>
                <w:webHidden/>
              </w:rPr>
              <w:fldChar w:fldCharType="begin"/>
            </w:r>
            <w:r w:rsidR="001506E9">
              <w:rPr>
                <w:noProof/>
                <w:webHidden/>
              </w:rPr>
              <w:instrText xml:space="preserve"> PAGEREF _Toc41047415 \h </w:instrText>
            </w:r>
            <w:r w:rsidR="001506E9">
              <w:rPr>
                <w:noProof/>
                <w:webHidden/>
              </w:rPr>
            </w:r>
            <w:r w:rsidR="001506E9">
              <w:rPr>
                <w:noProof/>
                <w:webHidden/>
              </w:rPr>
              <w:fldChar w:fldCharType="separate"/>
            </w:r>
            <w:r w:rsidR="001506E9">
              <w:rPr>
                <w:noProof/>
                <w:webHidden/>
              </w:rPr>
              <w:t>2</w:t>
            </w:r>
            <w:r w:rsidR="001506E9">
              <w:rPr>
                <w:noProof/>
                <w:webHidden/>
              </w:rPr>
              <w:fldChar w:fldCharType="end"/>
            </w:r>
          </w:hyperlink>
        </w:p>
        <w:p w14:paraId="59521750" w14:textId="0B2B55C2" w:rsidR="001506E9" w:rsidRDefault="004556D8">
          <w:pPr>
            <w:pStyle w:val="TOC1"/>
            <w:tabs>
              <w:tab w:val="left" w:pos="440"/>
              <w:tab w:val="right" w:leader="dot" w:pos="9350"/>
            </w:tabs>
            <w:rPr>
              <w:noProof/>
            </w:rPr>
          </w:pPr>
          <w:hyperlink w:anchor="_Toc41047416" w:history="1">
            <w:r w:rsidR="001506E9" w:rsidRPr="00CF1608">
              <w:rPr>
                <w:rStyle w:val="Hyperlink"/>
                <w:noProof/>
              </w:rPr>
              <w:t>2</w:t>
            </w:r>
            <w:r w:rsidR="001506E9">
              <w:rPr>
                <w:noProof/>
              </w:rPr>
              <w:tab/>
            </w:r>
            <w:r w:rsidR="001506E9" w:rsidRPr="00CF1608">
              <w:rPr>
                <w:rStyle w:val="Hyperlink"/>
                <w:noProof/>
              </w:rPr>
              <w:t>IEA-Eora correspondence</w:t>
            </w:r>
            <w:r w:rsidR="001506E9">
              <w:rPr>
                <w:noProof/>
                <w:webHidden/>
              </w:rPr>
              <w:tab/>
            </w:r>
            <w:r w:rsidR="001506E9">
              <w:rPr>
                <w:noProof/>
                <w:webHidden/>
              </w:rPr>
              <w:fldChar w:fldCharType="begin"/>
            </w:r>
            <w:r w:rsidR="001506E9">
              <w:rPr>
                <w:noProof/>
                <w:webHidden/>
              </w:rPr>
              <w:instrText xml:space="preserve"> PAGEREF _Toc41047416 \h </w:instrText>
            </w:r>
            <w:r w:rsidR="001506E9">
              <w:rPr>
                <w:noProof/>
                <w:webHidden/>
              </w:rPr>
            </w:r>
            <w:r w:rsidR="001506E9">
              <w:rPr>
                <w:noProof/>
                <w:webHidden/>
              </w:rPr>
              <w:fldChar w:fldCharType="separate"/>
            </w:r>
            <w:r w:rsidR="001506E9">
              <w:rPr>
                <w:noProof/>
                <w:webHidden/>
              </w:rPr>
              <w:t>3</w:t>
            </w:r>
            <w:r w:rsidR="001506E9">
              <w:rPr>
                <w:noProof/>
                <w:webHidden/>
              </w:rPr>
              <w:fldChar w:fldCharType="end"/>
            </w:r>
          </w:hyperlink>
        </w:p>
        <w:p w14:paraId="3D5550D9" w14:textId="60F3C768" w:rsidR="001506E9" w:rsidRDefault="004556D8">
          <w:pPr>
            <w:pStyle w:val="TOC1"/>
            <w:tabs>
              <w:tab w:val="left" w:pos="440"/>
              <w:tab w:val="right" w:leader="dot" w:pos="9350"/>
            </w:tabs>
            <w:rPr>
              <w:noProof/>
            </w:rPr>
          </w:pPr>
          <w:hyperlink w:anchor="_Toc41047417" w:history="1">
            <w:r w:rsidR="001506E9" w:rsidRPr="00CF1608">
              <w:rPr>
                <w:rStyle w:val="Hyperlink"/>
                <w:noProof/>
              </w:rPr>
              <w:t>3</w:t>
            </w:r>
            <w:r w:rsidR="001506E9">
              <w:rPr>
                <w:noProof/>
              </w:rPr>
              <w:tab/>
            </w:r>
            <w:r w:rsidR="001506E9" w:rsidRPr="00CF1608">
              <w:rPr>
                <w:rStyle w:val="Hyperlink"/>
                <w:noProof/>
              </w:rPr>
              <w:t>Energy types in IEA-HOMIES</w:t>
            </w:r>
            <w:r w:rsidR="001506E9">
              <w:rPr>
                <w:noProof/>
                <w:webHidden/>
              </w:rPr>
              <w:tab/>
            </w:r>
            <w:r w:rsidR="001506E9">
              <w:rPr>
                <w:noProof/>
                <w:webHidden/>
              </w:rPr>
              <w:fldChar w:fldCharType="begin"/>
            </w:r>
            <w:r w:rsidR="001506E9">
              <w:rPr>
                <w:noProof/>
                <w:webHidden/>
              </w:rPr>
              <w:instrText xml:space="preserve"> PAGEREF _Toc41047417 \h </w:instrText>
            </w:r>
            <w:r w:rsidR="001506E9">
              <w:rPr>
                <w:noProof/>
                <w:webHidden/>
              </w:rPr>
            </w:r>
            <w:r w:rsidR="001506E9">
              <w:rPr>
                <w:noProof/>
                <w:webHidden/>
              </w:rPr>
              <w:fldChar w:fldCharType="separate"/>
            </w:r>
            <w:r w:rsidR="001506E9">
              <w:rPr>
                <w:noProof/>
                <w:webHidden/>
              </w:rPr>
              <w:t>4</w:t>
            </w:r>
            <w:r w:rsidR="001506E9">
              <w:rPr>
                <w:noProof/>
                <w:webHidden/>
              </w:rPr>
              <w:fldChar w:fldCharType="end"/>
            </w:r>
          </w:hyperlink>
        </w:p>
        <w:p w14:paraId="0D0B672F" w14:textId="17418E37" w:rsidR="001506E9" w:rsidRDefault="004556D8">
          <w:pPr>
            <w:pStyle w:val="TOC1"/>
            <w:tabs>
              <w:tab w:val="left" w:pos="440"/>
              <w:tab w:val="right" w:leader="dot" w:pos="9350"/>
            </w:tabs>
            <w:rPr>
              <w:noProof/>
            </w:rPr>
          </w:pPr>
          <w:hyperlink w:anchor="_Toc41047418" w:history="1">
            <w:r w:rsidR="001506E9" w:rsidRPr="00CF1608">
              <w:rPr>
                <w:rStyle w:val="Hyperlink"/>
                <w:noProof/>
              </w:rPr>
              <w:t>4</w:t>
            </w:r>
            <w:r w:rsidR="001506E9">
              <w:rPr>
                <w:noProof/>
              </w:rPr>
              <w:tab/>
            </w:r>
            <w:r w:rsidR="001506E9" w:rsidRPr="00CF1608">
              <w:rPr>
                <w:rStyle w:val="Hyperlink"/>
                <w:noProof/>
              </w:rPr>
              <w:t>Regional classification of countries</w:t>
            </w:r>
            <w:r w:rsidR="001506E9">
              <w:rPr>
                <w:noProof/>
                <w:webHidden/>
              </w:rPr>
              <w:tab/>
            </w:r>
            <w:r w:rsidR="001506E9">
              <w:rPr>
                <w:noProof/>
                <w:webHidden/>
              </w:rPr>
              <w:fldChar w:fldCharType="begin"/>
            </w:r>
            <w:r w:rsidR="001506E9">
              <w:rPr>
                <w:noProof/>
                <w:webHidden/>
              </w:rPr>
              <w:instrText xml:space="preserve"> PAGEREF _Toc41047418 \h </w:instrText>
            </w:r>
            <w:r w:rsidR="001506E9">
              <w:rPr>
                <w:noProof/>
                <w:webHidden/>
              </w:rPr>
            </w:r>
            <w:r w:rsidR="001506E9">
              <w:rPr>
                <w:noProof/>
                <w:webHidden/>
              </w:rPr>
              <w:fldChar w:fldCharType="separate"/>
            </w:r>
            <w:r w:rsidR="001506E9">
              <w:rPr>
                <w:noProof/>
                <w:webHidden/>
              </w:rPr>
              <w:t>5</w:t>
            </w:r>
            <w:r w:rsidR="001506E9">
              <w:rPr>
                <w:noProof/>
                <w:webHidden/>
              </w:rPr>
              <w:fldChar w:fldCharType="end"/>
            </w:r>
          </w:hyperlink>
        </w:p>
        <w:p w14:paraId="09821B18" w14:textId="305BE446" w:rsidR="001506E9" w:rsidRDefault="004556D8">
          <w:pPr>
            <w:pStyle w:val="TOC1"/>
            <w:tabs>
              <w:tab w:val="left" w:pos="440"/>
              <w:tab w:val="right" w:leader="dot" w:pos="9350"/>
            </w:tabs>
            <w:rPr>
              <w:noProof/>
            </w:rPr>
          </w:pPr>
          <w:hyperlink w:anchor="_Toc41047419" w:history="1">
            <w:r w:rsidR="001506E9" w:rsidRPr="00CF1608">
              <w:rPr>
                <w:rStyle w:val="Hyperlink"/>
                <w:noProof/>
              </w:rPr>
              <w:t>5</w:t>
            </w:r>
            <w:r w:rsidR="001506E9">
              <w:rPr>
                <w:noProof/>
              </w:rPr>
              <w:tab/>
            </w:r>
            <w:r w:rsidR="001506E9" w:rsidRPr="00CF1608">
              <w:rPr>
                <w:rStyle w:val="Hyperlink"/>
                <w:noProof/>
              </w:rPr>
              <w:t>Illustrative representation of HOMIES</w:t>
            </w:r>
            <w:r w:rsidR="001506E9">
              <w:rPr>
                <w:noProof/>
                <w:webHidden/>
              </w:rPr>
              <w:tab/>
            </w:r>
            <w:r w:rsidR="001506E9">
              <w:rPr>
                <w:noProof/>
                <w:webHidden/>
              </w:rPr>
              <w:fldChar w:fldCharType="begin"/>
            </w:r>
            <w:r w:rsidR="001506E9">
              <w:rPr>
                <w:noProof/>
                <w:webHidden/>
              </w:rPr>
              <w:instrText xml:space="preserve"> PAGEREF _Toc41047419 \h </w:instrText>
            </w:r>
            <w:r w:rsidR="001506E9">
              <w:rPr>
                <w:noProof/>
                <w:webHidden/>
              </w:rPr>
            </w:r>
            <w:r w:rsidR="001506E9">
              <w:rPr>
                <w:noProof/>
                <w:webHidden/>
              </w:rPr>
              <w:fldChar w:fldCharType="separate"/>
            </w:r>
            <w:r w:rsidR="001506E9">
              <w:rPr>
                <w:noProof/>
                <w:webHidden/>
              </w:rPr>
              <w:t>6</w:t>
            </w:r>
            <w:r w:rsidR="001506E9">
              <w:rPr>
                <w:noProof/>
                <w:webHidden/>
              </w:rPr>
              <w:fldChar w:fldCharType="end"/>
            </w:r>
          </w:hyperlink>
        </w:p>
        <w:p w14:paraId="5F5610DA" w14:textId="3DBAD1F8" w:rsidR="001506E9" w:rsidRDefault="004556D8">
          <w:pPr>
            <w:pStyle w:val="TOC1"/>
            <w:tabs>
              <w:tab w:val="left" w:pos="440"/>
              <w:tab w:val="right" w:leader="dot" w:pos="9350"/>
            </w:tabs>
            <w:rPr>
              <w:noProof/>
            </w:rPr>
          </w:pPr>
          <w:hyperlink w:anchor="_Toc41047420" w:history="1">
            <w:r w:rsidR="001506E9" w:rsidRPr="00CF1608">
              <w:rPr>
                <w:rStyle w:val="Hyperlink"/>
                <w:noProof/>
              </w:rPr>
              <w:t>6</w:t>
            </w:r>
            <w:r w:rsidR="001506E9">
              <w:rPr>
                <w:noProof/>
              </w:rPr>
              <w:tab/>
            </w:r>
            <w:r w:rsidR="001506E9" w:rsidRPr="00CF1608">
              <w:rPr>
                <w:rStyle w:val="Hyperlink"/>
                <w:noProof/>
              </w:rPr>
              <w:t>Back-calculating primary energy</w:t>
            </w:r>
            <w:r w:rsidR="001506E9">
              <w:rPr>
                <w:noProof/>
                <w:webHidden/>
              </w:rPr>
              <w:tab/>
            </w:r>
            <w:r w:rsidR="001506E9">
              <w:rPr>
                <w:noProof/>
                <w:webHidden/>
              </w:rPr>
              <w:fldChar w:fldCharType="begin"/>
            </w:r>
            <w:r w:rsidR="001506E9">
              <w:rPr>
                <w:noProof/>
                <w:webHidden/>
              </w:rPr>
              <w:instrText xml:space="preserve"> PAGEREF _Toc41047420 \h </w:instrText>
            </w:r>
            <w:r w:rsidR="001506E9">
              <w:rPr>
                <w:noProof/>
                <w:webHidden/>
              </w:rPr>
            </w:r>
            <w:r w:rsidR="001506E9">
              <w:rPr>
                <w:noProof/>
                <w:webHidden/>
              </w:rPr>
              <w:fldChar w:fldCharType="separate"/>
            </w:r>
            <w:r w:rsidR="001506E9">
              <w:rPr>
                <w:noProof/>
                <w:webHidden/>
              </w:rPr>
              <w:t>7</w:t>
            </w:r>
            <w:r w:rsidR="001506E9">
              <w:rPr>
                <w:noProof/>
                <w:webHidden/>
              </w:rPr>
              <w:fldChar w:fldCharType="end"/>
            </w:r>
          </w:hyperlink>
        </w:p>
        <w:p w14:paraId="03D170B0" w14:textId="0828473D" w:rsidR="001506E9" w:rsidRDefault="004556D8">
          <w:pPr>
            <w:pStyle w:val="TOC1"/>
            <w:tabs>
              <w:tab w:val="left" w:pos="440"/>
              <w:tab w:val="right" w:leader="dot" w:pos="9350"/>
            </w:tabs>
            <w:rPr>
              <w:noProof/>
            </w:rPr>
          </w:pPr>
          <w:hyperlink w:anchor="_Toc41047421" w:history="1">
            <w:r w:rsidR="001506E9" w:rsidRPr="00CF1608">
              <w:rPr>
                <w:rStyle w:val="Hyperlink"/>
                <w:noProof/>
              </w:rPr>
              <w:t>7</w:t>
            </w:r>
            <w:r w:rsidR="001506E9">
              <w:rPr>
                <w:noProof/>
              </w:rPr>
              <w:tab/>
            </w:r>
            <w:r w:rsidR="001506E9" w:rsidRPr="00CF1608">
              <w:rPr>
                <w:rStyle w:val="Hyperlink"/>
                <w:noProof/>
              </w:rPr>
              <w:t>Bioenergy correspondence table</w:t>
            </w:r>
            <w:r w:rsidR="001506E9">
              <w:rPr>
                <w:noProof/>
                <w:webHidden/>
              </w:rPr>
              <w:tab/>
            </w:r>
            <w:r w:rsidR="001506E9">
              <w:rPr>
                <w:noProof/>
                <w:webHidden/>
              </w:rPr>
              <w:fldChar w:fldCharType="begin"/>
            </w:r>
            <w:r w:rsidR="001506E9">
              <w:rPr>
                <w:noProof/>
                <w:webHidden/>
              </w:rPr>
              <w:instrText xml:space="preserve"> PAGEREF _Toc41047421 \h </w:instrText>
            </w:r>
            <w:r w:rsidR="001506E9">
              <w:rPr>
                <w:noProof/>
                <w:webHidden/>
              </w:rPr>
            </w:r>
            <w:r w:rsidR="001506E9">
              <w:rPr>
                <w:noProof/>
                <w:webHidden/>
              </w:rPr>
              <w:fldChar w:fldCharType="separate"/>
            </w:r>
            <w:r w:rsidR="001506E9">
              <w:rPr>
                <w:noProof/>
                <w:webHidden/>
              </w:rPr>
              <w:t>8</w:t>
            </w:r>
            <w:r w:rsidR="001506E9">
              <w:rPr>
                <w:noProof/>
                <w:webHidden/>
              </w:rPr>
              <w:fldChar w:fldCharType="end"/>
            </w:r>
          </w:hyperlink>
        </w:p>
        <w:p w14:paraId="14DCBC39" w14:textId="40654A0C" w:rsidR="001506E9" w:rsidRDefault="004556D8">
          <w:pPr>
            <w:pStyle w:val="TOC1"/>
            <w:tabs>
              <w:tab w:val="left" w:pos="440"/>
              <w:tab w:val="right" w:leader="dot" w:pos="9350"/>
            </w:tabs>
            <w:rPr>
              <w:noProof/>
            </w:rPr>
          </w:pPr>
          <w:hyperlink w:anchor="_Toc41047422" w:history="1">
            <w:r w:rsidR="001506E9" w:rsidRPr="00CF1608">
              <w:rPr>
                <w:rStyle w:val="Hyperlink"/>
                <w:noProof/>
              </w:rPr>
              <w:t>8</w:t>
            </w:r>
            <w:r w:rsidR="001506E9">
              <w:rPr>
                <w:noProof/>
              </w:rPr>
              <w:tab/>
            </w:r>
            <w:r w:rsidR="001506E9" w:rsidRPr="00CF1608">
              <w:rPr>
                <w:rStyle w:val="Hyperlink"/>
                <w:noProof/>
              </w:rPr>
              <w:t>Data validation in HOMIES</w:t>
            </w:r>
            <w:r w:rsidR="001506E9">
              <w:rPr>
                <w:noProof/>
                <w:webHidden/>
              </w:rPr>
              <w:tab/>
            </w:r>
            <w:r w:rsidR="001506E9">
              <w:rPr>
                <w:noProof/>
                <w:webHidden/>
              </w:rPr>
              <w:fldChar w:fldCharType="begin"/>
            </w:r>
            <w:r w:rsidR="001506E9">
              <w:rPr>
                <w:noProof/>
                <w:webHidden/>
              </w:rPr>
              <w:instrText xml:space="preserve"> PAGEREF _Toc41047422 \h </w:instrText>
            </w:r>
            <w:r w:rsidR="001506E9">
              <w:rPr>
                <w:noProof/>
                <w:webHidden/>
              </w:rPr>
            </w:r>
            <w:r w:rsidR="001506E9">
              <w:rPr>
                <w:noProof/>
                <w:webHidden/>
              </w:rPr>
              <w:fldChar w:fldCharType="separate"/>
            </w:r>
            <w:r w:rsidR="001506E9">
              <w:rPr>
                <w:noProof/>
                <w:webHidden/>
              </w:rPr>
              <w:t>9</w:t>
            </w:r>
            <w:r w:rsidR="001506E9">
              <w:rPr>
                <w:noProof/>
                <w:webHidden/>
              </w:rPr>
              <w:fldChar w:fldCharType="end"/>
            </w:r>
          </w:hyperlink>
        </w:p>
        <w:p w14:paraId="732D9798" w14:textId="7823773F" w:rsidR="001506E9" w:rsidRDefault="004556D8">
          <w:pPr>
            <w:pStyle w:val="TOC2"/>
            <w:tabs>
              <w:tab w:val="left" w:pos="880"/>
              <w:tab w:val="right" w:leader="dot" w:pos="9350"/>
            </w:tabs>
            <w:rPr>
              <w:noProof/>
            </w:rPr>
          </w:pPr>
          <w:hyperlink w:anchor="_Toc41047423" w:history="1">
            <w:r w:rsidR="001506E9" w:rsidRPr="00CF1608">
              <w:rPr>
                <w:rStyle w:val="Hyperlink"/>
                <w:noProof/>
              </w:rPr>
              <w:t>8.1</w:t>
            </w:r>
            <w:r w:rsidR="001506E9">
              <w:rPr>
                <w:noProof/>
              </w:rPr>
              <w:tab/>
            </w:r>
            <w:r w:rsidR="001506E9" w:rsidRPr="00CF1608">
              <w:rPr>
                <w:rStyle w:val="Hyperlink"/>
                <w:noProof/>
              </w:rPr>
              <w:t>Scaling LCOE</w:t>
            </w:r>
            <w:r w:rsidR="001506E9">
              <w:rPr>
                <w:noProof/>
                <w:webHidden/>
              </w:rPr>
              <w:tab/>
            </w:r>
            <w:r w:rsidR="001506E9">
              <w:rPr>
                <w:noProof/>
                <w:webHidden/>
              </w:rPr>
              <w:fldChar w:fldCharType="begin"/>
            </w:r>
            <w:r w:rsidR="001506E9">
              <w:rPr>
                <w:noProof/>
                <w:webHidden/>
              </w:rPr>
              <w:instrText xml:space="preserve"> PAGEREF _Toc41047423 \h </w:instrText>
            </w:r>
            <w:r w:rsidR="001506E9">
              <w:rPr>
                <w:noProof/>
                <w:webHidden/>
              </w:rPr>
            </w:r>
            <w:r w:rsidR="001506E9">
              <w:rPr>
                <w:noProof/>
                <w:webHidden/>
              </w:rPr>
              <w:fldChar w:fldCharType="separate"/>
            </w:r>
            <w:r w:rsidR="001506E9">
              <w:rPr>
                <w:noProof/>
                <w:webHidden/>
              </w:rPr>
              <w:t>9</w:t>
            </w:r>
            <w:r w:rsidR="001506E9">
              <w:rPr>
                <w:noProof/>
                <w:webHidden/>
              </w:rPr>
              <w:fldChar w:fldCharType="end"/>
            </w:r>
          </w:hyperlink>
        </w:p>
        <w:p w14:paraId="371D8799" w14:textId="2587626C" w:rsidR="001506E9" w:rsidRDefault="004556D8">
          <w:pPr>
            <w:pStyle w:val="TOC2"/>
            <w:tabs>
              <w:tab w:val="left" w:pos="880"/>
              <w:tab w:val="right" w:leader="dot" w:pos="9350"/>
            </w:tabs>
            <w:rPr>
              <w:noProof/>
            </w:rPr>
          </w:pPr>
          <w:hyperlink w:anchor="_Toc41047424" w:history="1">
            <w:r w:rsidR="001506E9" w:rsidRPr="00CF1608">
              <w:rPr>
                <w:rStyle w:val="Hyperlink"/>
                <w:noProof/>
              </w:rPr>
              <w:t>8.2</w:t>
            </w:r>
            <w:r w:rsidR="001506E9">
              <w:rPr>
                <w:noProof/>
              </w:rPr>
              <w:tab/>
            </w:r>
            <w:r w:rsidR="001506E9" w:rsidRPr="00CF1608">
              <w:rPr>
                <w:rStyle w:val="Hyperlink"/>
                <w:noProof/>
              </w:rPr>
              <w:t>Mining shares</w:t>
            </w:r>
            <w:r w:rsidR="001506E9">
              <w:rPr>
                <w:noProof/>
                <w:webHidden/>
              </w:rPr>
              <w:tab/>
            </w:r>
            <w:r w:rsidR="001506E9">
              <w:rPr>
                <w:noProof/>
                <w:webHidden/>
              </w:rPr>
              <w:fldChar w:fldCharType="begin"/>
            </w:r>
            <w:r w:rsidR="001506E9">
              <w:rPr>
                <w:noProof/>
                <w:webHidden/>
              </w:rPr>
              <w:instrText xml:space="preserve"> PAGEREF _Toc41047424 \h </w:instrText>
            </w:r>
            <w:r w:rsidR="001506E9">
              <w:rPr>
                <w:noProof/>
                <w:webHidden/>
              </w:rPr>
            </w:r>
            <w:r w:rsidR="001506E9">
              <w:rPr>
                <w:noProof/>
                <w:webHidden/>
              </w:rPr>
              <w:fldChar w:fldCharType="separate"/>
            </w:r>
            <w:r w:rsidR="001506E9">
              <w:rPr>
                <w:noProof/>
                <w:webHidden/>
              </w:rPr>
              <w:t>10</w:t>
            </w:r>
            <w:r w:rsidR="001506E9">
              <w:rPr>
                <w:noProof/>
                <w:webHidden/>
              </w:rPr>
              <w:fldChar w:fldCharType="end"/>
            </w:r>
          </w:hyperlink>
        </w:p>
        <w:p w14:paraId="02E7C949" w14:textId="3BEC6AB9" w:rsidR="001506E9" w:rsidRDefault="004556D8">
          <w:pPr>
            <w:pStyle w:val="TOC1"/>
            <w:tabs>
              <w:tab w:val="left" w:pos="440"/>
              <w:tab w:val="right" w:leader="dot" w:pos="9350"/>
            </w:tabs>
            <w:rPr>
              <w:noProof/>
            </w:rPr>
          </w:pPr>
          <w:hyperlink w:anchor="_Toc41047425" w:history="1">
            <w:r w:rsidR="001506E9" w:rsidRPr="00CF1608">
              <w:rPr>
                <w:rStyle w:val="Hyperlink"/>
                <w:noProof/>
              </w:rPr>
              <w:t>9</w:t>
            </w:r>
            <w:r w:rsidR="001506E9">
              <w:rPr>
                <w:noProof/>
              </w:rPr>
              <w:tab/>
            </w:r>
            <w:r w:rsidR="001506E9" w:rsidRPr="00CF1608">
              <w:rPr>
                <w:rStyle w:val="Hyperlink"/>
                <w:noProof/>
              </w:rPr>
              <w:t>Losses in HOMIES</w:t>
            </w:r>
            <w:r w:rsidR="001506E9">
              <w:rPr>
                <w:noProof/>
                <w:webHidden/>
              </w:rPr>
              <w:tab/>
            </w:r>
            <w:r w:rsidR="001506E9">
              <w:rPr>
                <w:noProof/>
                <w:webHidden/>
              </w:rPr>
              <w:fldChar w:fldCharType="begin"/>
            </w:r>
            <w:r w:rsidR="001506E9">
              <w:rPr>
                <w:noProof/>
                <w:webHidden/>
              </w:rPr>
              <w:instrText xml:space="preserve"> PAGEREF _Toc41047425 \h </w:instrText>
            </w:r>
            <w:r w:rsidR="001506E9">
              <w:rPr>
                <w:noProof/>
                <w:webHidden/>
              </w:rPr>
            </w:r>
            <w:r w:rsidR="001506E9">
              <w:rPr>
                <w:noProof/>
                <w:webHidden/>
              </w:rPr>
              <w:fldChar w:fldCharType="separate"/>
            </w:r>
            <w:r w:rsidR="001506E9">
              <w:rPr>
                <w:noProof/>
                <w:webHidden/>
              </w:rPr>
              <w:t>11</w:t>
            </w:r>
            <w:r w:rsidR="001506E9">
              <w:rPr>
                <w:noProof/>
                <w:webHidden/>
              </w:rPr>
              <w:fldChar w:fldCharType="end"/>
            </w:r>
          </w:hyperlink>
        </w:p>
        <w:p w14:paraId="11219AB0" w14:textId="3045EB29" w:rsidR="001506E9" w:rsidRDefault="004556D8">
          <w:pPr>
            <w:pStyle w:val="TOC1"/>
            <w:tabs>
              <w:tab w:val="left" w:pos="660"/>
              <w:tab w:val="right" w:leader="dot" w:pos="9350"/>
            </w:tabs>
            <w:rPr>
              <w:noProof/>
            </w:rPr>
          </w:pPr>
          <w:hyperlink w:anchor="_Toc41047426" w:history="1">
            <w:r w:rsidR="001506E9" w:rsidRPr="00CF1608">
              <w:rPr>
                <w:rStyle w:val="Hyperlink"/>
                <w:noProof/>
              </w:rPr>
              <w:t>10</w:t>
            </w:r>
            <w:r w:rsidR="001506E9">
              <w:rPr>
                <w:noProof/>
              </w:rPr>
              <w:tab/>
            </w:r>
            <w:r w:rsidR="001506E9" w:rsidRPr="00CF1608">
              <w:rPr>
                <w:rStyle w:val="Hyperlink"/>
                <w:noProof/>
              </w:rPr>
              <w:t>Import dependence by region</w:t>
            </w:r>
            <w:r w:rsidR="001506E9">
              <w:rPr>
                <w:noProof/>
                <w:webHidden/>
              </w:rPr>
              <w:tab/>
            </w:r>
            <w:r w:rsidR="001506E9">
              <w:rPr>
                <w:noProof/>
                <w:webHidden/>
              </w:rPr>
              <w:fldChar w:fldCharType="begin"/>
            </w:r>
            <w:r w:rsidR="001506E9">
              <w:rPr>
                <w:noProof/>
                <w:webHidden/>
              </w:rPr>
              <w:instrText xml:space="preserve"> PAGEREF _Toc41047426 \h </w:instrText>
            </w:r>
            <w:r w:rsidR="001506E9">
              <w:rPr>
                <w:noProof/>
                <w:webHidden/>
              </w:rPr>
            </w:r>
            <w:r w:rsidR="001506E9">
              <w:rPr>
                <w:noProof/>
                <w:webHidden/>
              </w:rPr>
              <w:fldChar w:fldCharType="separate"/>
            </w:r>
            <w:r w:rsidR="001506E9">
              <w:rPr>
                <w:noProof/>
                <w:webHidden/>
              </w:rPr>
              <w:t>12</w:t>
            </w:r>
            <w:r w:rsidR="001506E9">
              <w:rPr>
                <w:noProof/>
                <w:webHidden/>
              </w:rPr>
              <w:fldChar w:fldCharType="end"/>
            </w:r>
          </w:hyperlink>
        </w:p>
        <w:p w14:paraId="51380903" w14:textId="54597FED" w:rsidR="001506E9" w:rsidRDefault="004556D8">
          <w:pPr>
            <w:pStyle w:val="TOC1"/>
            <w:tabs>
              <w:tab w:val="left" w:pos="660"/>
              <w:tab w:val="right" w:leader="dot" w:pos="9350"/>
            </w:tabs>
            <w:rPr>
              <w:noProof/>
            </w:rPr>
          </w:pPr>
          <w:hyperlink w:anchor="_Toc41047427" w:history="1">
            <w:r w:rsidR="001506E9" w:rsidRPr="00CF1608">
              <w:rPr>
                <w:rStyle w:val="Hyperlink"/>
                <w:noProof/>
              </w:rPr>
              <w:t>11</w:t>
            </w:r>
            <w:r w:rsidR="001506E9">
              <w:rPr>
                <w:noProof/>
              </w:rPr>
              <w:tab/>
            </w:r>
            <w:r w:rsidR="001506E9" w:rsidRPr="00CF1608">
              <w:rPr>
                <w:rStyle w:val="Hyperlink"/>
                <w:noProof/>
              </w:rPr>
              <w:t>Energy security metrics of the energy importer</w:t>
            </w:r>
            <w:r w:rsidR="001506E9">
              <w:rPr>
                <w:noProof/>
                <w:webHidden/>
              </w:rPr>
              <w:tab/>
            </w:r>
            <w:r w:rsidR="001506E9">
              <w:rPr>
                <w:noProof/>
                <w:webHidden/>
              </w:rPr>
              <w:fldChar w:fldCharType="begin"/>
            </w:r>
            <w:r w:rsidR="001506E9">
              <w:rPr>
                <w:noProof/>
                <w:webHidden/>
              </w:rPr>
              <w:instrText xml:space="preserve"> PAGEREF _Toc41047427 \h </w:instrText>
            </w:r>
            <w:r w:rsidR="001506E9">
              <w:rPr>
                <w:noProof/>
                <w:webHidden/>
              </w:rPr>
            </w:r>
            <w:r w:rsidR="001506E9">
              <w:rPr>
                <w:noProof/>
                <w:webHidden/>
              </w:rPr>
              <w:fldChar w:fldCharType="separate"/>
            </w:r>
            <w:r w:rsidR="001506E9">
              <w:rPr>
                <w:noProof/>
                <w:webHidden/>
              </w:rPr>
              <w:t>13</w:t>
            </w:r>
            <w:r w:rsidR="001506E9">
              <w:rPr>
                <w:noProof/>
                <w:webHidden/>
              </w:rPr>
              <w:fldChar w:fldCharType="end"/>
            </w:r>
          </w:hyperlink>
        </w:p>
        <w:p w14:paraId="6DBE95F9" w14:textId="4961C5CD" w:rsidR="001506E9" w:rsidRDefault="004556D8">
          <w:pPr>
            <w:pStyle w:val="TOC1"/>
            <w:tabs>
              <w:tab w:val="left" w:pos="660"/>
              <w:tab w:val="right" w:leader="dot" w:pos="9350"/>
            </w:tabs>
            <w:rPr>
              <w:noProof/>
            </w:rPr>
          </w:pPr>
          <w:hyperlink w:anchor="_Toc41047428" w:history="1">
            <w:r w:rsidR="001506E9" w:rsidRPr="00CF1608">
              <w:rPr>
                <w:rStyle w:val="Hyperlink"/>
                <w:noProof/>
              </w:rPr>
              <w:t>12</w:t>
            </w:r>
            <w:r w:rsidR="001506E9">
              <w:rPr>
                <w:noProof/>
              </w:rPr>
              <w:tab/>
            </w:r>
            <w:r w:rsidR="001506E9" w:rsidRPr="00CF1608">
              <w:rPr>
                <w:rStyle w:val="Hyperlink"/>
                <w:noProof/>
              </w:rPr>
              <w:t>Energy security metrics, by exporter</w:t>
            </w:r>
            <w:r w:rsidR="001506E9">
              <w:rPr>
                <w:noProof/>
                <w:webHidden/>
              </w:rPr>
              <w:tab/>
            </w:r>
            <w:r w:rsidR="001506E9">
              <w:rPr>
                <w:noProof/>
                <w:webHidden/>
              </w:rPr>
              <w:fldChar w:fldCharType="begin"/>
            </w:r>
            <w:r w:rsidR="001506E9">
              <w:rPr>
                <w:noProof/>
                <w:webHidden/>
              </w:rPr>
              <w:instrText xml:space="preserve"> PAGEREF _Toc41047428 \h </w:instrText>
            </w:r>
            <w:r w:rsidR="001506E9">
              <w:rPr>
                <w:noProof/>
                <w:webHidden/>
              </w:rPr>
            </w:r>
            <w:r w:rsidR="001506E9">
              <w:rPr>
                <w:noProof/>
                <w:webHidden/>
              </w:rPr>
              <w:fldChar w:fldCharType="separate"/>
            </w:r>
            <w:r w:rsidR="001506E9">
              <w:rPr>
                <w:noProof/>
                <w:webHidden/>
              </w:rPr>
              <w:t>16</w:t>
            </w:r>
            <w:r w:rsidR="001506E9">
              <w:rPr>
                <w:noProof/>
                <w:webHidden/>
              </w:rPr>
              <w:fldChar w:fldCharType="end"/>
            </w:r>
          </w:hyperlink>
        </w:p>
        <w:p w14:paraId="438C6226" w14:textId="35A0C1C1" w:rsidR="001506E9" w:rsidRDefault="004556D8">
          <w:pPr>
            <w:pStyle w:val="TOC1"/>
            <w:tabs>
              <w:tab w:val="right" w:leader="dot" w:pos="9350"/>
            </w:tabs>
            <w:rPr>
              <w:noProof/>
            </w:rPr>
          </w:pPr>
          <w:hyperlink w:anchor="_Toc41047429" w:history="1">
            <w:r w:rsidR="001506E9" w:rsidRPr="00CF1608">
              <w:rPr>
                <w:rStyle w:val="Hyperlink"/>
                <w:noProof/>
              </w:rPr>
              <w:t>References</w:t>
            </w:r>
            <w:r w:rsidR="001506E9">
              <w:rPr>
                <w:noProof/>
                <w:webHidden/>
              </w:rPr>
              <w:tab/>
            </w:r>
            <w:r w:rsidR="001506E9">
              <w:rPr>
                <w:noProof/>
                <w:webHidden/>
              </w:rPr>
              <w:fldChar w:fldCharType="begin"/>
            </w:r>
            <w:r w:rsidR="001506E9">
              <w:rPr>
                <w:noProof/>
                <w:webHidden/>
              </w:rPr>
              <w:instrText xml:space="preserve"> PAGEREF _Toc41047429 \h </w:instrText>
            </w:r>
            <w:r w:rsidR="001506E9">
              <w:rPr>
                <w:noProof/>
                <w:webHidden/>
              </w:rPr>
            </w:r>
            <w:r w:rsidR="001506E9">
              <w:rPr>
                <w:noProof/>
                <w:webHidden/>
              </w:rPr>
              <w:fldChar w:fldCharType="separate"/>
            </w:r>
            <w:r w:rsidR="001506E9">
              <w:rPr>
                <w:noProof/>
                <w:webHidden/>
              </w:rPr>
              <w:t>19</w:t>
            </w:r>
            <w:r w:rsidR="001506E9">
              <w:rPr>
                <w:noProof/>
                <w:webHidden/>
              </w:rPr>
              <w:fldChar w:fldCharType="end"/>
            </w:r>
          </w:hyperlink>
        </w:p>
        <w:p w14:paraId="3356F46E" w14:textId="1E378D47" w:rsidR="00C40CDA" w:rsidRDefault="00C40CDA">
          <w:r>
            <w:rPr>
              <w:b/>
              <w:bCs/>
              <w:noProof/>
            </w:rPr>
            <w:fldChar w:fldCharType="end"/>
          </w:r>
        </w:p>
      </w:sdtContent>
    </w:sdt>
    <w:p w14:paraId="29EBDCCE" w14:textId="77777777" w:rsidR="008A7CDE" w:rsidRDefault="00C40CDA">
      <w:pPr>
        <w:rPr>
          <w:b/>
        </w:rPr>
      </w:pPr>
      <w:r>
        <w:rPr>
          <w:b/>
        </w:rPr>
        <w:br w:type="page"/>
      </w:r>
    </w:p>
    <w:p w14:paraId="58829131" w14:textId="77777777" w:rsidR="008A7CDE" w:rsidRDefault="00827CF7" w:rsidP="00E41A18">
      <w:pPr>
        <w:pStyle w:val="Heading1"/>
      </w:pPr>
      <w:bookmarkStart w:id="0" w:name="_Toc41047415"/>
      <w:r>
        <w:lastRenderedPageBreak/>
        <w:t>1</w:t>
      </w:r>
      <w:r>
        <w:tab/>
      </w:r>
      <w:r w:rsidR="00E41A18">
        <w:t>Non-energy sectors in Eora-26</w:t>
      </w:r>
      <w:bookmarkEnd w:id="0"/>
    </w:p>
    <w:p w14:paraId="2408F425" w14:textId="77777777" w:rsidR="00E41A18" w:rsidRDefault="00E41A18"/>
    <w:p w14:paraId="068B0623" w14:textId="4CE1D9DE" w:rsidR="00827CF7" w:rsidRDefault="00827CF7">
      <w:r>
        <w:t xml:space="preserve">The following table contains the 26 non-energy sectors represented in the Eora-26 database </w:t>
      </w:r>
      <w:r>
        <w:fldChar w:fldCharType="begin" w:fldLock="1"/>
      </w:r>
      <w:r w:rsidR="000F1F8D">
        <w:instrText>ADDIN CSL_CITATION {"citationItems":[{"id":"ITEM-1","itemData":{"DOI":"10.1080/09535314.2013.769938","ISSN":"09535314","abstract":"There are a number of initiatives aimed at compiling large-scale global multi-region input-output (MRIO) tables complemented with non-monetary information such as on resource flows and environmental burdens. Depending on purpose or application, MRIO construction and usage has been hampered by a lack of geographical and sectoral detail; at the time of writing, the most advanced initiatives opt for a breakdown into at most 129 regions and 120 sectors. Not all existing global MRIO frameworks feature continuous time series, margins and tax sheets, and information on reliability and uncertainty. Despite these potential limitations, constructing a large MRIO requires significant manual labour and many years of time. This paper describes the results from a project aimed at creating an MRIO account that represents all countries at a detailed sectoral level, allows continuous updating, provides information on data reliability, contains table sheets expressed in basic prices as well as all margins and taxes, and contains a historical time series. We achieve these goals through a high level of procedural standardisation, automation, and data organisation. © 2013 Copyright The International Input-Output Association.","author":[{"dropping-particle":"","family":"Lenzen","given":"Manfred","non-dropping-particle":"","parse-names":false,"suffix":""},{"dropping-particle":"","family":"Moran","given":"Daniel","non-dropping-particle":"","parse-names":false,"suffix":""},{"dropping-particle":"","family":"Kanemoto","given":"Keiichiro","non-dropping-particle":"","parse-names":false,"suffix":""},{"dropping-particle":"","family":"Geschke","given":"Arne","non-dropping-particle":"","parse-names":false,"suffix":""}],"container-title":"Economic Systems Research","id":"ITEM-1","issued":{"date-parts":[["2013"]]},"title":"BUILDING EORA: A GLOBAL MULTI-REGION INPUT-OUTPUT DATABASE AT HIGH COUNTRY AND SECTOR RESOLUTION","type":"article-journal"},"uris":["http://www.mendeley.com/documents/?uuid=6aa231dd-9329-4dec-9030-9b8e0f519232"]}],"mendeley":{"formattedCitation":"[1]","plainTextFormattedCitation":"[1]","previouslyFormattedCitation":"[1]"},"properties":{"noteIndex":0},"schema":"https://github.com/citation-style-language/schema/raw/master/csl-citation.json"}</w:instrText>
      </w:r>
      <w:r>
        <w:fldChar w:fldCharType="separate"/>
      </w:r>
      <w:r w:rsidRPr="00827CF7">
        <w:rPr>
          <w:noProof/>
        </w:rPr>
        <w:t>[1]</w:t>
      </w:r>
      <w:r>
        <w:fldChar w:fldCharType="end"/>
      </w:r>
      <w:r>
        <w:t xml:space="preserve">. We have created an additional correspondence between the Eora sector classification and the Harmonized System (HS) </w:t>
      </w:r>
      <w:proofErr w:type="gramStart"/>
      <w:r>
        <w:t>2 digit</w:t>
      </w:r>
      <w:proofErr w:type="gramEnd"/>
      <w:r>
        <w:t xml:space="preserve"> codes. We include these in the table as well.</w:t>
      </w:r>
    </w:p>
    <w:p w14:paraId="1E772643" w14:textId="77777777" w:rsidR="003C4918" w:rsidRDefault="003C4918"/>
    <w:tbl>
      <w:tblPr>
        <w:tblStyle w:val="TableGrid"/>
        <w:tblW w:w="0" w:type="auto"/>
        <w:jc w:val="center"/>
        <w:tblBorders>
          <w:insideV w:val="none" w:sz="0" w:space="0" w:color="auto"/>
        </w:tblBorders>
        <w:tblLook w:val="04A0" w:firstRow="1" w:lastRow="0" w:firstColumn="1" w:lastColumn="0" w:noHBand="0" w:noVBand="1"/>
      </w:tblPr>
      <w:tblGrid>
        <w:gridCol w:w="985"/>
        <w:gridCol w:w="4410"/>
        <w:gridCol w:w="3955"/>
      </w:tblGrid>
      <w:tr w:rsidR="003C4918" w:rsidRPr="003C4918" w14:paraId="3D0D7297" w14:textId="77777777" w:rsidTr="003C4918">
        <w:trPr>
          <w:jc w:val="center"/>
        </w:trPr>
        <w:tc>
          <w:tcPr>
            <w:tcW w:w="985" w:type="dxa"/>
            <w:shd w:val="clear" w:color="auto" w:fill="D9D9D9" w:themeFill="background1" w:themeFillShade="D9"/>
          </w:tcPr>
          <w:p w14:paraId="5C039EFF" w14:textId="77777777" w:rsidR="00827CF7" w:rsidRPr="003C4918" w:rsidRDefault="00827CF7" w:rsidP="003C4918">
            <w:pPr>
              <w:jc w:val="center"/>
              <w:rPr>
                <w:b/>
                <w:sz w:val="20"/>
                <w:szCs w:val="20"/>
              </w:rPr>
            </w:pPr>
            <w:r w:rsidRPr="003C4918">
              <w:rPr>
                <w:b/>
                <w:sz w:val="20"/>
                <w:szCs w:val="20"/>
              </w:rPr>
              <w:t>Eora-26</w:t>
            </w:r>
          </w:p>
        </w:tc>
        <w:tc>
          <w:tcPr>
            <w:tcW w:w="4410" w:type="dxa"/>
            <w:shd w:val="clear" w:color="auto" w:fill="D9D9D9" w:themeFill="background1" w:themeFillShade="D9"/>
          </w:tcPr>
          <w:p w14:paraId="11F7817E" w14:textId="77777777" w:rsidR="00827CF7" w:rsidRPr="003C4918" w:rsidRDefault="00827CF7" w:rsidP="003C4918">
            <w:pPr>
              <w:jc w:val="center"/>
              <w:rPr>
                <w:b/>
                <w:sz w:val="20"/>
                <w:szCs w:val="20"/>
              </w:rPr>
            </w:pPr>
            <w:r w:rsidRPr="003C4918">
              <w:rPr>
                <w:b/>
                <w:sz w:val="20"/>
                <w:szCs w:val="20"/>
              </w:rPr>
              <w:t>Description</w:t>
            </w:r>
          </w:p>
        </w:tc>
        <w:tc>
          <w:tcPr>
            <w:tcW w:w="3955" w:type="dxa"/>
            <w:shd w:val="clear" w:color="auto" w:fill="D9D9D9" w:themeFill="background1" w:themeFillShade="D9"/>
          </w:tcPr>
          <w:p w14:paraId="5F2F84FB" w14:textId="77777777" w:rsidR="00827CF7" w:rsidRPr="003C4918" w:rsidRDefault="00827CF7" w:rsidP="003C4918">
            <w:pPr>
              <w:jc w:val="center"/>
              <w:rPr>
                <w:b/>
                <w:sz w:val="20"/>
                <w:szCs w:val="20"/>
              </w:rPr>
            </w:pPr>
            <w:r w:rsidRPr="003C4918">
              <w:rPr>
                <w:b/>
                <w:sz w:val="20"/>
                <w:szCs w:val="20"/>
              </w:rPr>
              <w:t>Corresponding HS2 codes</w:t>
            </w:r>
          </w:p>
        </w:tc>
      </w:tr>
      <w:tr w:rsidR="003C4918" w:rsidRPr="003C4918" w14:paraId="6F8D10DD" w14:textId="77777777" w:rsidTr="003C4918">
        <w:trPr>
          <w:jc w:val="center"/>
        </w:trPr>
        <w:tc>
          <w:tcPr>
            <w:tcW w:w="985" w:type="dxa"/>
            <w:shd w:val="clear" w:color="auto" w:fill="FFFFFF" w:themeFill="background1"/>
          </w:tcPr>
          <w:p w14:paraId="47F1E9CA" w14:textId="77777777" w:rsidR="00827CF7" w:rsidRPr="003C4918" w:rsidRDefault="00827CF7" w:rsidP="003C4918">
            <w:pPr>
              <w:jc w:val="center"/>
              <w:rPr>
                <w:sz w:val="20"/>
                <w:szCs w:val="20"/>
              </w:rPr>
            </w:pPr>
            <w:r w:rsidRPr="003C4918">
              <w:rPr>
                <w:sz w:val="20"/>
                <w:szCs w:val="20"/>
              </w:rPr>
              <w:t>1</w:t>
            </w:r>
          </w:p>
        </w:tc>
        <w:tc>
          <w:tcPr>
            <w:tcW w:w="4410" w:type="dxa"/>
            <w:shd w:val="clear" w:color="auto" w:fill="FFFFFF" w:themeFill="background1"/>
          </w:tcPr>
          <w:p w14:paraId="26A2C98B" w14:textId="77777777" w:rsidR="00827CF7" w:rsidRPr="003C4918" w:rsidRDefault="00827CF7" w:rsidP="003C4918">
            <w:pPr>
              <w:rPr>
                <w:sz w:val="20"/>
                <w:szCs w:val="20"/>
              </w:rPr>
            </w:pPr>
            <w:r w:rsidRPr="003C4918">
              <w:rPr>
                <w:sz w:val="20"/>
                <w:szCs w:val="20"/>
              </w:rPr>
              <w:t>Agriculture</w:t>
            </w:r>
          </w:p>
        </w:tc>
        <w:tc>
          <w:tcPr>
            <w:tcW w:w="3955" w:type="dxa"/>
            <w:shd w:val="clear" w:color="auto" w:fill="FFFFFF" w:themeFill="background1"/>
          </w:tcPr>
          <w:p w14:paraId="4E1AA732" w14:textId="77777777" w:rsidR="00827CF7" w:rsidRPr="003C4918" w:rsidRDefault="00827CF7" w:rsidP="003C4918">
            <w:pPr>
              <w:rPr>
                <w:sz w:val="20"/>
                <w:szCs w:val="20"/>
              </w:rPr>
            </w:pPr>
            <w:r w:rsidRPr="003C4918">
              <w:rPr>
                <w:sz w:val="20"/>
                <w:szCs w:val="20"/>
              </w:rPr>
              <w:t>01, 02, 04, 05, 06, 07, 08, 09, 10, 11, 12, 13, 14, 15</w:t>
            </w:r>
          </w:p>
        </w:tc>
      </w:tr>
      <w:tr w:rsidR="003C4918" w:rsidRPr="003C4918" w14:paraId="1FCB36D2" w14:textId="77777777" w:rsidTr="003C4918">
        <w:trPr>
          <w:jc w:val="center"/>
        </w:trPr>
        <w:tc>
          <w:tcPr>
            <w:tcW w:w="985" w:type="dxa"/>
            <w:shd w:val="clear" w:color="auto" w:fill="FFFFFF" w:themeFill="background1"/>
          </w:tcPr>
          <w:p w14:paraId="11CCD71D" w14:textId="77777777" w:rsidR="00827CF7" w:rsidRPr="003C4918" w:rsidRDefault="00827CF7" w:rsidP="003C4918">
            <w:pPr>
              <w:jc w:val="center"/>
              <w:rPr>
                <w:sz w:val="20"/>
                <w:szCs w:val="20"/>
              </w:rPr>
            </w:pPr>
            <w:r w:rsidRPr="003C4918">
              <w:rPr>
                <w:sz w:val="20"/>
                <w:szCs w:val="20"/>
              </w:rPr>
              <w:t>2</w:t>
            </w:r>
          </w:p>
        </w:tc>
        <w:tc>
          <w:tcPr>
            <w:tcW w:w="4410" w:type="dxa"/>
            <w:shd w:val="clear" w:color="auto" w:fill="FFFFFF" w:themeFill="background1"/>
          </w:tcPr>
          <w:p w14:paraId="7A652B81" w14:textId="77777777" w:rsidR="00827CF7" w:rsidRPr="003C4918" w:rsidRDefault="00827CF7" w:rsidP="003C4918">
            <w:pPr>
              <w:rPr>
                <w:sz w:val="20"/>
                <w:szCs w:val="20"/>
              </w:rPr>
            </w:pPr>
            <w:r w:rsidRPr="003C4918">
              <w:rPr>
                <w:sz w:val="20"/>
                <w:szCs w:val="20"/>
              </w:rPr>
              <w:t>Fishing</w:t>
            </w:r>
          </w:p>
        </w:tc>
        <w:tc>
          <w:tcPr>
            <w:tcW w:w="3955" w:type="dxa"/>
            <w:shd w:val="clear" w:color="auto" w:fill="FFFFFF" w:themeFill="background1"/>
          </w:tcPr>
          <w:p w14:paraId="1642E801" w14:textId="77777777" w:rsidR="00827CF7" w:rsidRPr="003C4918" w:rsidRDefault="00827CF7" w:rsidP="003C4918">
            <w:pPr>
              <w:rPr>
                <w:sz w:val="20"/>
                <w:szCs w:val="20"/>
              </w:rPr>
            </w:pPr>
            <w:r w:rsidRPr="003C4918">
              <w:rPr>
                <w:sz w:val="20"/>
                <w:szCs w:val="20"/>
              </w:rPr>
              <w:t>03</w:t>
            </w:r>
          </w:p>
        </w:tc>
      </w:tr>
      <w:tr w:rsidR="003C4918" w:rsidRPr="003C4918" w14:paraId="5E13FF8B" w14:textId="77777777" w:rsidTr="003C4918">
        <w:trPr>
          <w:jc w:val="center"/>
        </w:trPr>
        <w:tc>
          <w:tcPr>
            <w:tcW w:w="985" w:type="dxa"/>
            <w:shd w:val="clear" w:color="auto" w:fill="FFFFFF" w:themeFill="background1"/>
          </w:tcPr>
          <w:p w14:paraId="5202E291" w14:textId="77777777" w:rsidR="00827CF7" w:rsidRPr="003C4918" w:rsidRDefault="00827CF7" w:rsidP="003C4918">
            <w:pPr>
              <w:jc w:val="center"/>
              <w:rPr>
                <w:sz w:val="20"/>
                <w:szCs w:val="20"/>
              </w:rPr>
            </w:pPr>
            <w:r w:rsidRPr="003C4918">
              <w:rPr>
                <w:sz w:val="20"/>
                <w:szCs w:val="20"/>
              </w:rPr>
              <w:t>3</w:t>
            </w:r>
          </w:p>
        </w:tc>
        <w:tc>
          <w:tcPr>
            <w:tcW w:w="4410" w:type="dxa"/>
            <w:shd w:val="clear" w:color="auto" w:fill="FFFFFF" w:themeFill="background1"/>
          </w:tcPr>
          <w:p w14:paraId="53BAAB11" w14:textId="77777777" w:rsidR="00827CF7" w:rsidRPr="003C4918" w:rsidRDefault="00827CF7" w:rsidP="003C4918">
            <w:pPr>
              <w:rPr>
                <w:sz w:val="20"/>
                <w:szCs w:val="20"/>
              </w:rPr>
            </w:pPr>
            <w:r w:rsidRPr="003C4918">
              <w:rPr>
                <w:sz w:val="20"/>
                <w:szCs w:val="20"/>
              </w:rPr>
              <w:t>Mining and Quarrying</w:t>
            </w:r>
          </w:p>
        </w:tc>
        <w:tc>
          <w:tcPr>
            <w:tcW w:w="3955" w:type="dxa"/>
            <w:shd w:val="clear" w:color="auto" w:fill="FFFFFF" w:themeFill="background1"/>
          </w:tcPr>
          <w:p w14:paraId="3B419593" w14:textId="77777777" w:rsidR="00827CF7" w:rsidRPr="003C4918" w:rsidRDefault="003C4918" w:rsidP="003C4918">
            <w:pPr>
              <w:rPr>
                <w:sz w:val="20"/>
                <w:szCs w:val="20"/>
              </w:rPr>
            </w:pPr>
            <w:r w:rsidRPr="003C4918">
              <w:rPr>
                <w:sz w:val="20"/>
                <w:szCs w:val="20"/>
              </w:rPr>
              <w:t>25, 26, 27</w:t>
            </w:r>
          </w:p>
        </w:tc>
      </w:tr>
      <w:tr w:rsidR="003C4918" w:rsidRPr="003C4918" w14:paraId="43B2CC08" w14:textId="77777777" w:rsidTr="003C4918">
        <w:trPr>
          <w:jc w:val="center"/>
        </w:trPr>
        <w:tc>
          <w:tcPr>
            <w:tcW w:w="985" w:type="dxa"/>
            <w:shd w:val="clear" w:color="auto" w:fill="FFFFFF" w:themeFill="background1"/>
          </w:tcPr>
          <w:p w14:paraId="403F5ADA" w14:textId="77777777" w:rsidR="00827CF7" w:rsidRPr="003C4918" w:rsidRDefault="00827CF7" w:rsidP="003C4918">
            <w:pPr>
              <w:jc w:val="center"/>
              <w:rPr>
                <w:sz w:val="20"/>
                <w:szCs w:val="20"/>
              </w:rPr>
            </w:pPr>
            <w:r w:rsidRPr="003C4918">
              <w:rPr>
                <w:sz w:val="20"/>
                <w:szCs w:val="20"/>
              </w:rPr>
              <w:t>4</w:t>
            </w:r>
          </w:p>
        </w:tc>
        <w:tc>
          <w:tcPr>
            <w:tcW w:w="4410" w:type="dxa"/>
            <w:shd w:val="clear" w:color="auto" w:fill="FFFFFF" w:themeFill="background1"/>
          </w:tcPr>
          <w:p w14:paraId="598D317D" w14:textId="77777777" w:rsidR="00827CF7" w:rsidRPr="003C4918" w:rsidRDefault="00827CF7" w:rsidP="003C4918">
            <w:pPr>
              <w:rPr>
                <w:sz w:val="20"/>
                <w:szCs w:val="20"/>
              </w:rPr>
            </w:pPr>
            <w:r w:rsidRPr="003C4918">
              <w:rPr>
                <w:sz w:val="20"/>
                <w:szCs w:val="20"/>
              </w:rPr>
              <w:t>Food and Beverages</w:t>
            </w:r>
          </w:p>
        </w:tc>
        <w:tc>
          <w:tcPr>
            <w:tcW w:w="3955" w:type="dxa"/>
            <w:shd w:val="clear" w:color="auto" w:fill="FFFFFF" w:themeFill="background1"/>
          </w:tcPr>
          <w:p w14:paraId="18B06F84" w14:textId="77777777" w:rsidR="00827CF7" w:rsidRPr="003C4918" w:rsidRDefault="003C4918" w:rsidP="003C4918">
            <w:pPr>
              <w:rPr>
                <w:sz w:val="20"/>
                <w:szCs w:val="20"/>
              </w:rPr>
            </w:pPr>
            <w:r w:rsidRPr="003C4918">
              <w:rPr>
                <w:sz w:val="20"/>
                <w:szCs w:val="20"/>
              </w:rPr>
              <w:t>16, 17, 18, 19, 20, 21, 22, 23, 24</w:t>
            </w:r>
          </w:p>
        </w:tc>
      </w:tr>
      <w:tr w:rsidR="003C4918" w:rsidRPr="003C4918" w14:paraId="57022CB2" w14:textId="77777777" w:rsidTr="003C4918">
        <w:trPr>
          <w:jc w:val="center"/>
        </w:trPr>
        <w:tc>
          <w:tcPr>
            <w:tcW w:w="985" w:type="dxa"/>
            <w:shd w:val="clear" w:color="auto" w:fill="FFFFFF" w:themeFill="background1"/>
          </w:tcPr>
          <w:p w14:paraId="3D4A27C6" w14:textId="77777777" w:rsidR="00827CF7" w:rsidRPr="003C4918" w:rsidRDefault="00827CF7" w:rsidP="003C4918">
            <w:pPr>
              <w:jc w:val="center"/>
              <w:rPr>
                <w:sz w:val="20"/>
                <w:szCs w:val="20"/>
              </w:rPr>
            </w:pPr>
            <w:r w:rsidRPr="003C4918">
              <w:rPr>
                <w:sz w:val="20"/>
                <w:szCs w:val="20"/>
              </w:rPr>
              <w:t>5</w:t>
            </w:r>
          </w:p>
        </w:tc>
        <w:tc>
          <w:tcPr>
            <w:tcW w:w="4410" w:type="dxa"/>
            <w:shd w:val="clear" w:color="auto" w:fill="FFFFFF" w:themeFill="background1"/>
          </w:tcPr>
          <w:p w14:paraId="60E49ABD" w14:textId="77777777" w:rsidR="00827CF7" w:rsidRPr="003C4918" w:rsidRDefault="00827CF7" w:rsidP="003C4918">
            <w:pPr>
              <w:rPr>
                <w:sz w:val="20"/>
                <w:szCs w:val="20"/>
              </w:rPr>
            </w:pPr>
            <w:r w:rsidRPr="003C4918">
              <w:rPr>
                <w:sz w:val="20"/>
                <w:szCs w:val="20"/>
              </w:rPr>
              <w:t>Textiles and Wearing Apparel</w:t>
            </w:r>
          </w:p>
        </w:tc>
        <w:tc>
          <w:tcPr>
            <w:tcW w:w="3955" w:type="dxa"/>
            <w:shd w:val="clear" w:color="auto" w:fill="FFFFFF" w:themeFill="background1"/>
          </w:tcPr>
          <w:p w14:paraId="3D112D43" w14:textId="77777777" w:rsidR="00827CF7" w:rsidRPr="003C4918" w:rsidRDefault="003C4918" w:rsidP="003C4918">
            <w:pPr>
              <w:rPr>
                <w:sz w:val="20"/>
                <w:szCs w:val="20"/>
              </w:rPr>
            </w:pPr>
            <w:r w:rsidRPr="003C4918">
              <w:rPr>
                <w:sz w:val="20"/>
                <w:szCs w:val="20"/>
              </w:rPr>
              <w:t>41, 42, 43, 50, 51, 52, 53, 54, 55, 56, 57, 58, 59, 60, 61, 62, 63</w:t>
            </w:r>
          </w:p>
        </w:tc>
      </w:tr>
      <w:tr w:rsidR="003C4918" w:rsidRPr="003C4918" w14:paraId="6A4CAE12" w14:textId="77777777" w:rsidTr="003C4918">
        <w:trPr>
          <w:jc w:val="center"/>
        </w:trPr>
        <w:tc>
          <w:tcPr>
            <w:tcW w:w="985" w:type="dxa"/>
            <w:shd w:val="clear" w:color="auto" w:fill="FFFFFF" w:themeFill="background1"/>
          </w:tcPr>
          <w:p w14:paraId="09797BD7" w14:textId="77777777" w:rsidR="00827CF7" w:rsidRPr="003C4918" w:rsidRDefault="00827CF7" w:rsidP="003C4918">
            <w:pPr>
              <w:jc w:val="center"/>
              <w:rPr>
                <w:sz w:val="20"/>
                <w:szCs w:val="20"/>
              </w:rPr>
            </w:pPr>
            <w:r w:rsidRPr="003C4918">
              <w:rPr>
                <w:sz w:val="20"/>
                <w:szCs w:val="20"/>
              </w:rPr>
              <w:t>6</w:t>
            </w:r>
          </w:p>
        </w:tc>
        <w:tc>
          <w:tcPr>
            <w:tcW w:w="4410" w:type="dxa"/>
            <w:shd w:val="clear" w:color="auto" w:fill="FFFFFF" w:themeFill="background1"/>
          </w:tcPr>
          <w:p w14:paraId="14908C0C" w14:textId="77777777" w:rsidR="00827CF7" w:rsidRPr="003C4918" w:rsidRDefault="00827CF7" w:rsidP="003C4918">
            <w:pPr>
              <w:rPr>
                <w:sz w:val="20"/>
                <w:szCs w:val="20"/>
              </w:rPr>
            </w:pPr>
            <w:r w:rsidRPr="003C4918">
              <w:rPr>
                <w:sz w:val="20"/>
                <w:szCs w:val="20"/>
              </w:rPr>
              <w:t>Wood and Paper</w:t>
            </w:r>
          </w:p>
        </w:tc>
        <w:tc>
          <w:tcPr>
            <w:tcW w:w="3955" w:type="dxa"/>
            <w:shd w:val="clear" w:color="auto" w:fill="FFFFFF" w:themeFill="background1"/>
          </w:tcPr>
          <w:p w14:paraId="085970E5" w14:textId="77777777" w:rsidR="00827CF7" w:rsidRPr="003C4918" w:rsidRDefault="003C4918" w:rsidP="003C4918">
            <w:pPr>
              <w:rPr>
                <w:sz w:val="20"/>
                <w:szCs w:val="20"/>
              </w:rPr>
            </w:pPr>
            <w:r w:rsidRPr="003C4918">
              <w:rPr>
                <w:sz w:val="20"/>
                <w:szCs w:val="20"/>
              </w:rPr>
              <w:t>44, 45, 46, 47, 48, 49</w:t>
            </w:r>
          </w:p>
        </w:tc>
      </w:tr>
      <w:tr w:rsidR="003C4918" w:rsidRPr="003C4918" w14:paraId="713A92D4" w14:textId="77777777" w:rsidTr="003C4918">
        <w:trPr>
          <w:jc w:val="center"/>
        </w:trPr>
        <w:tc>
          <w:tcPr>
            <w:tcW w:w="985" w:type="dxa"/>
            <w:shd w:val="clear" w:color="auto" w:fill="FFFFFF" w:themeFill="background1"/>
          </w:tcPr>
          <w:p w14:paraId="1ABEE12D" w14:textId="77777777" w:rsidR="00827CF7" w:rsidRPr="003C4918" w:rsidRDefault="00827CF7" w:rsidP="003C4918">
            <w:pPr>
              <w:jc w:val="center"/>
              <w:rPr>
                <w:sz w:val="20"/>
                <w:szCs w:val="20"/>
              </w:rPr>
            </w:pPr>
            <w:r w:rsidRPr="003C4918">
              <w:rPr>
                <w:sz w:val="20"/>
                <w:szCs w:val="20"/>
              </w:rPr>
              <w:t>7</w:t>
            </w:r>
          </w:p>
        </w:tc>
        <w:tc>
          <w:tcPr>
            <w:tcW w:w="4410" w:type="dxa"/>
            <w:shd w:val="clear" w:color="auto" w:fill="FFFFFF" w:themeFill="background1"/>
          </w:tcPr>
          <w:p w14:paraId="27D13FC2" w14:textId="77777777" w:rsidR="00827CF7" w:rsidRPr="003C4918" w:rsidRDefault="00827CF7" w:rsidP="003C4918">
            <w:pPr>
              <w:rPr>
                <w:sz w:val="20"/>
                <w:szCs w:val="20"/>
              </w:rPr>
            </w:pPr>
            <w:r w:rsidRPr="003C4918">
              <w:rPr>
                <w:sz w:val="20"/>
                <w:szCs w:val="20"/>
              </w:rPr>
              <w:t xml:space="preserve">Petroleum, Chemical, </w:t>
            </w:r>
            <w:r w:rsidR="003C4918" w:rsidRPr="003C4918">
              <w:rPr>
                <w:sz w:val="20"/>
                <w:szCs w:val="20"/>
              </w:rPr>
              <w:t>Non-Metal</w:t>
            </w:r>
            <w:r w:rsidRPr="003C4918">
              <w:rPr>
                <w:sz w:val="20"/>
                <w:szCs w:val="20"/>
              </w:rPr>
              <w:t xml:space="preserve"> Mineral Products</w:t>
            </w:r>
          </w:p>
        </w:tc>
        <w:tc>
          <w:tcPr>
            <w:tcW w:w="3955" w:type="dxa"/>
            <w:shd w:val="clear" w:color="auto" w:fill="FFFFFF" w:themeFill="background1"/>
          </w:tcPr>
          <w:p w14:paraId="2187C919" w14:textId="77777777" w:rsidR="00827CF7" w:rsidRPr="003C4918" w:rsidRDefault="003C4918" w:rsidP="003C4918">
            <w:pPr>
              <w:rPr>
                <w:sz w:val="20"/>
                <w:szCs w:val="20"/>
              </w:rPr>
            </w:pPr>
            <w:r w:rsidRPr="003C4918">
              <w:rPr>
                <w:sz w:val="20"/>
                <w:szCs w:val="20"/>
              </w:rPr>
              <w:t>28, 29, 30, 31, 32, 33, 34, 35, 36, 37, 38</w:t>
            </w:r>
          </w:p>
        </w:tc>
      </w:tr>
      <w:tr w:rsidR="003C4918" w:rsidRPr="003C4918" w14:paraId="01CC616A" w14:textId="77777777" w:rsidTr="003C4918">
        <w:trPr>
          <w:jc w:val="center"/>
        </w:trPr>
        <w:tc>
          <w:tcPr>
            <w:tcW w:w="985" w:type="dxa"/>
            <w:shd w:val="clear" w:color="auto" w:fill="FFFFFF" w:themeFill="background1"/>
          </w:tcPr>
          <w:p w14:paraId="6F1FCB8B" w14:textId="77777777" w:rsidR="00827CF7" w:rsidRPr="003C4918" w:rsidRDefault="00827CF7" w:rsidP="003C4918">
            <w:pPr>
              <w:jc w:val="center"/>
              <w:rPr>
                <w:sz w:val="20"/>
                <w:szCs w:val="20"/>
              </w:rPr>
            </w:pPr>
            <w:r w:rsidRPr="003C4918">
              <w:rPr>
                <w:sz w:val="20"/>
                <w:szCs w:val="20"/>
              </w:rPr>
              <w:t>8</w:t>
            </w:r>
          </w:p>
        </w:tc>
        <w:tc>
          <w:tcPr>
            <w:tcW w:w="4410" w:type="dxa"/>
            <w:shd w:val="clear" w:color="auto" w:fill="FFFFFF" w:themeFill="background1"/>
          </w:tcPr>
          <w:p w14:paraId="31D08F81" w14:textId="77777777" w:rsidR="00827CF7" w:rsidRPr="003C4918" w:rsidRDefault="00827CF7" w:rsidP="003C4918">
            <w:pPr>
              <w:rPr>
                <w:sz w:val="20"/>
                <w:szCs w:val="20"/>
              </w:rPr>
            </w:pPr>
            <w:r w:rsidRPr="003C4918">
              <w:rPr>
                <w:sz w:val="20"/>
                <w:szCs w:val="20"/>
              </w:rPr>
              <w:t>Metal Products</w:t>
            </w:r>
          </w:p>
        </w:tc>
        <w:tc>
          <w:tcPr>
            <w:tcW w:w="3955" w:type="dxa"/>
            <w:shd w:val="clear" w:color="auto" w:fill="FFFFFF" w:themeFill="background1"/>
          </w:tcPr>
          <w:p w14:paraId="291E1305" w14:textId="77777777" w:rsidR="00827CF7" w:rsidRPr="003C4918" w:rsidRDefault="003C4918" w:rsidP="003C4918">
            <w:pPr>
              <w:rPr>
                <w:sz w:val="20"/>
                <w:szCs w:val="20"/>
              </w:rPr>
            </w:pPr>
            <w:r w:rsidRPr="003C4918">
              <w:rPr>
                <w:sz w:val="20"/>
                <w:szCs w:val="20"/>
              </w:rPr>
              <w:t>72, 73, 74, 75, 76, 77, 78, 79, 80, 81, 82, 83</w:t>
            </w:r>
          </w:p>
        </w:tc>
      </w:tr>
      <w:tr w:rsidR="003C4918" w:rsidRPr="003C4918" w14:paraId="40809748" w14:textId="77777777" w:rsidTr="003C4918">
        <w:trPr>
          <w:jc w:val="center"/>
        </w:trPr>
        <w:tc>
          <w:tcPr>
            <w:tcW w:w="985" w:type="dxa"/>
            <w:shd w:val="clear" w:color="auto" w:fill="FFFFFF" w:themeFill="background1"/>
          </w:tcPr>
          <w:p w14:paraId="18C1D4A2" w14:textId="77777777" w:rsidR="00827CF7" w:rsidRPr="003C4918" w:rsidRDefault="00827CF7" w:rsidP="003C4918">
            <w:pPr>
              <w:jc w:val="center"/>
              <w:rPr>
                <w:sz w:val="20"/>
                <w:szCs w:val="20"/>
              </w:rPr>
            </w:pPr>
            <w:r w:rsidRPr="003C4918">
              <w:rPr>
                <w:sz w:val="20"/>
                <w:szCs w:val="20"/>
              </w:rPr>
              <w:t>9</w:t>
            </w:r>
          </w:p>
        </w:tc>
        <w:tc>
          <w:tcPr>
            <w:tcW w:w="4410" w:type="dxa"/>
            <w:shd w:val="clear" w:color="auto" w:fill="FFFFFF" w:themeFill="background1"/>
          </w:tcPr>
          <w:p w14:paraId="5F071C60" w14:textId="77777777" w:rsidR="00827CF7" w:rsidRPr="003C4918" w:rsidRDefault="00827CF7" w:rsidP="003C4918">
            <w:pPr>
              <w:rPr>
                <w:sz w:val="20"/>
                <w:szCs w:val="20"/>
              </w:rPr>
            </w:pPr>
            <w:r w:rsidRPr="003C4918">
              <w:rPr>
                <w:sz w:val="20"/>
                <w:szCs w:val="20"/>
              </w:rPr>
              <w:t>Electrical and Machinery</w:t>
            </w:r>
          </w:p>
        </w:tc>
        <w:tc>
          <w:tcPr>
            <w:tcW w:w="3955" w:type="dxa"/>
            <w:shd w:val="clear" w:color="auto" w:fill="FFFFFF" w:themeFill="background1"/>
          </w:tcPr>
          <w:p w14:paraId="2ED87155" w14:textId="77777777" w:rsidR="00827CF7" w:rsidRPr="003C4918" w:rsidRDefault="003C4918" w:rsidP="003C4918">
            <w:pPr>
              <w:rPr>
                <w:sz w:val="20"/>
                <w:szCs w:val="20"/>
              </w:rPr>
            </w:pPr>
            <w:r w:rsidRPr="003C4918">
              <w:rPr>
                <w:sz w:val="20"/>
                <w:szCs w:val="20"/>
              </w:rPr>
              <w:t>84, 85, 90, 91, 92</w:t>
            </w:r>
          </w:p>
        </w:tc>
      </w:tr>
      <w:tr w:rsidR="003C4918" w:rsidRPr="003C4918" w14:paraId="51ED58AA" w14:textId="77777777" w:rsidTr="003C4918">
        <w:trPr>
          <w:jc w:val="center"/>
        </w:trPr>
        <w:tc>
          <w:tcPr>
            <w:tcW w:w="985" w:type="dxa"/>
            <w:shd w:val="clear" w:color="auto" w:fill="FFFFFF" w:themeFill="background1"/>
          </w:tcPr>
          <w:p w14:paraId="203870FC" w14:textId="77777777" w:rsidR="00827CF7" w:rsidRPr="003C4918" w:rsidRDefault="00827CF7" w:rsidP="003C4918">
            <w:pPr>
              <w:jc w:val="center"/>
              <w:rPr>
                <w:sz w:val="20"/>
                <w:szCs w:val="20"/>
              </w:rPr>
            </w:pPr>
            <w:r w:rsidRPr="003C4918">
              <w:rPr>
                <w:sz w:val="20"/>
                <w:szCs w:val="20"/>
              </w:rPr>
              <w:t>10</w:t>
            </w:r>
          </w:p>
        </w:tc>
        <w:tc>
          <w:tcPr>
            <w:tcW w:w="4410" w:type="dxa"/>
            <w:shd w:val="clear" w:color="auto" w:fill="FFFFFF" w:themeFill="background1"/>
          </w:tcPr>
          <w:p w14:paraId="3053467E" w14:textId="77777777" w:rsidR="00827CF7" w:rsidRPr="003C4918" w:rsidRDefault="00827CF7" w:rsidP="003C4918">
            <w:pPr>
              <w:rPr>
                <w:sz w:val="20"/>
                <w:szCs w:val="20"/>
              </w:rPr>
            </w:pPr>
            <w:r w:rsidRPr="003C4918">
              <w:rPr>
                <w:sz w:val="20"/>
                <w:szCs w:val="20"/>
              </w:rPr>
              <w:t>Transport Equipment</w:t>
            </w:r>
          </w:p>
        </w:tc>
        <w:tc>
          <w:tcPr>
            <w:tcW w:w="3955" w:type="dxa"/>
            <w:shd w:val="clear" w:color="auto" w:fill="FFFFFF" w:themeFill="background1"/>
          </w:tcPr>
          <w:p w14:paraId="05C42C8A" w14:textId="77777777" w:rsidR="00827CF7" w:rsidRPr="003C4918" w:rsidRDefault="003C4918" w:rsidP="003C4918">
            <w:pPr>
              <w:rPr>
                <w:sz w:val="20"/>
                <w:szCs w:val="20"/>
              </w:rPr>
            </w:pPr>
            <w:r w:rsidRPr="003C4918">
              <w:rPr>
                <w:sz w:val="20"/>
                <w:szCs w:val="20"/>
              </w:rPr>
              <w:t>86, 87, 88, 89</w:t>
            </w:r>
          </w:p>
        </w:tc>
      </w:tr>
      <w:tr w:rsidR="003C4918" w:rsidRPr="003C4918" w14:paraId="6FCFF8B3" w14:textId="77777777" w:rsidTr="003C4918">
        <w:trPr>
          <w:jc w:val="center"/>
        </w:trPr>
        <w:tc>
          <w:tcPr>
            <w:tcW w:w="985" w:type="dxa"/>
            <w:shd w:val="clear" w:color="auto" w:fill="FFFFFF" w:themeFill="background1"/>
          </w:tcPr>
          <w:p w14:paraId="196F43E2" w14:textId="77777777" w:rsidR="00827CF7" w:rsidRPr="003C4918" w:rsidRDefault="00827CF7" w:rsidP="003C4918">
            <w:pPr>
              <w:jc w:val="center"/>
              <w:rPr>
                <w:sz w:val="20"/>
                <w:szCs w:val="20"/>
              </w:rPr>
            </w:pPr>
            <w:r w:rsidRPr="003C4918">
              <w:rPr>
                <w:sz w:val="20"/>
                <w:szCs w:val="20"/>
              </w:rPr>
              <w:t>11</w:t>
            </w:r>
          </w:p>
        </w:tc>
        <w:tc>
          <w:tcPr>
            <w:tcW w:w="4410" w:type="dxa"/>
            <w:shd w:val="clear" w:color="auto" w:fill="FFFFFF" w:themeFill="background1"/>
          </w:tcPr>
          <w:p w14:paraId="5C8BEB93" w14:textId="77777777" w:rsidR="00827CF7" w:rsidRPr="003C4918" w:rsidRDefault="00827CF7" w:rsidP="003C4918">
            <w:pPr>
              <w:rPr>
                <w:sz w:val="20"/>
                <w:szCs w:val="20"/>
              </w:rPr>
            </w:pPr>
            <w:r w:rsidRPr="003C4918">
              <w:rPr>
                <w:sz w:val="20"/>
                <w:szCs w:val="20"/>
              </w:rPr>
              <w:t>Other Manufacturing</w:t>
            </w:r>
          </w:p>
        </w:tc>
        <w:tc>
          <w:tcPr>
            <w:tcW w:w="3955" w:type="dxa"/>
            <w:shd w:val="clear" w:color="auto" w:fill="FFFFFF" w:themeFill="background1"/>
          </w:tcPr>
          <w:p w14:paraId="7ED94243" w14:textId="77777777" w:rsidR="00827CF7" w:rsidRPr="003C4918" w:rsidRDefault="003C4918" w:rsidP="003C4918">
            <w:pPr>
              <w:rPr>
                <w:sz w:val="20"/>
                <w:szCs w:val="20"/>
              </w:rPr>
            </w:pPr>
            <w:r w:rsidRPr="003C4918">
              <w:rPr>
                <w:sz w:val="20"/>
                <w:szCs w:val="20"/>
              </w:rPr>
              <w:t>39, 40, 64, 65, 66, 67, 68, 69, 70, 71, 93, 94, 95, 96, 97, 98</w:t>
            </w:r>
          </w:p>
        </w:tc>
      </w:tr>
      <w:tr w:rsidR="003C4918" w:rsidRPr="003C4918" w14:paraId="5429BEF8" w14:textId="77777777" w:rsidTr="003C4918">
        <w:trPr>
          <w:jc w:val="center"/>
        </w:trPr>
        <w:tc>
          <w:tcPr>
            <w:tcW w:w="985" w:type="dxa"/>
            <w:shd w:val="clear" w:color="auto" w:fill="FFFFFF" w:themeFill="background1"/>
          </w:tcPr>
          <w:p w14:paraId="1884EEAE" w14:textId="77777777" w:rsidR="00827CF7" w:rsidRPr="003C4918" w:rsidRDefault="00827CF7" w:rsidP="003C4918">
            <w:pPr>
              <w:jc w:val="center"/>
              <w:rPr>
                <w:sz w:val="20"/>
                <w:szCs w:val="20"/>
              </w:rPr>
            </w:pPr>
            <w:r w:rsidRPr="003C4918">
              <w:rPr>
                <w:sz w:val="20"/>
                <w:szCs w:val="20"/>
              </w:rPr>
              <w:t>12</w:t>
            </w:r>
          </w:p>
        </w:tc>
        <w:tc>
          <w:tcPr>
            <w:tcW w:w="4410" w:type="dxa"/>
            <w:shd w:val="clear" w:color="auto" w:fill="FFFFFF" w:themeFill="background1"/>
          </w:tcPr>
          <w:p w14:paraId="3EC5423B" w14:textId="77777777" w:rsidR="00827CF7" w:rsidRPr="003C4918" w:rsidRDefault="00827CF7" w:rsidP="003C4918">
            <w:pPr>
              <w:rPr>
                <w:sz w:val="20"/>
                <w:szCs w:val="20"/>
              </w:rPr>
            </w:pPr>
            <w:r w:rsidRPr="003C4918">
              <w:rPr>
                <w:sz w:val="20"/>
                <w:szCs w:val="20"/>
              </w:rPr>
              <w:t>Recycling</w:t>
            </w:r>
          </w:p>
        </w:tc>
        <w:tc>
          <w:tcPr>
            <w:tcW w:w="3955" w:type="dxa"/>
            <w:shd w:val="clear" w:color="auto" w:fill="FFFFFF" w:themeFill="background1"/>
          </w:tcPr>
          <w:p w14:paraId="308AB40A" w14:textId="77777777" w:rsidR="00827CF7" w:rsidRPr="003C4918" w:rsidRDefault="00827CF7" w:rsidP="003C4918">
            <w:pPr>
              <w:rPr>
                <w:sz w:val="20"/>
                <w:szCs w:val="20"/>
              </w:rPr>
            </w:pPr>
          </w:p>
        </w:tc>
      </w:tr>
      <w:tr w:rsidR="003C4918" w:rsidRPr="003C4918" w14:paraId="69D480DC" w14:textId="77777777" w:rsidTr="003C4918">
        <w:trPr>
          <w:jc w:val="center"/>
        </w:trPr>
        <w:tc>
          <w:tcPr>
            <w:tcW w:w="985" w:type="dxa"/>
            <w:shd w:val="clear" w:color="auto" w:fill="FFFFFF" w:themeFill="background1"/>
          </w:tcPr>
          <w:p w14:paraId="60901A0A" w14:textId="77777777" w:rsidR="00827CF7" w:rsidRPr="003C4918" w:rsidRDefault="00827CF7" w:rsidP="003C4918">
            <w:pPr>
              <w:jc w:val="center"/>
              <w:rPr>
                <w:sz w:val="20"/>
                <w:szCs w:val="20"/>
              </w:rPr>
            </w:pPr>
            <w:r w:rsidRPr="003C4918">
              <w:rPr>
                <w:sz w:val="20"/>
                <w:szCs w:val="20"/>
              </w:rPr>
              <w:t>13</w:t>
            </w:r>
          </w:p>
        </w:tc>
        <w:tc>
          <w:tcPr>
            <w:tcW w:w="4410" w:type="dxa"/>
            <w:shd w:val="clear" w:color="auto" w:fill="FFFFFF" w:themeFill="background1"/>
          </w:tcPr>
          <w:p w14:paraId="1343EBB2" w14:textId="77777777" w:rsidR="00827CF7" w:rsidRPr="003C4918" w:rsidRDefault="00827CF7" w:rsidP="003C4918">
            <w:pPr>
              <w:rPr>
                <w:sz w:val="20"/>
                <w:szCs w:val="20"/>
              </w:rPr>
            </w:pPr>
            <w:r w:rsidRPr="003C4918">
              <w:rPr>
                <w:sz w:val="20"/>
                <w:szCs w:val="20"/>
              </w:rPr>
              <w:t>Electricity, Gas and Water</w:t>
            </w:r>
          </w:p>
        </w:tc>
        <w:tc>
          <w:tcPr>
            <w:tcW w:w="3955" w:type="dxa"/>
            <w:shd w:val="clear" w:color="auto" w:fill="FFFFFF" w:themeFill="background1"/>
          </w:tcPr>
          <w:p w14:paraId="2FB5BB05" w14:textId="77777777" w:rsidR="00827CF7" w:rsidRPr="003C4918" w:rsidRDefault="00827CF7" w:rsidP="003C4918">
            <w:pPr>
              <w:rPr>
                <w:sz w:val="20"/>
                <w:szCs w:val="20"/>
              </w:rPr>
            </w:pPr>
          </w:p>
        </w:tc>
      </w:tr>
      <w:tr w:rsidR="003C4918" w:rsidRPr="003C4918" w14:paraId="017BF97C" w14:textId="77777777" w:rsidTr="003C4918">
        <w:trPr>
          <w:jc w:val="center"/>
        </w:trPr>
        <w:tc>
          <w:tcPr>
            <w:tcW w:w="985" w:type="dxa"/>
            <w:shd w:val="clear" w:color="auto" w:fill="FFFFFF" w:themeFill="background1"/>
          </w:tcPr>
          <w:p w14:paraId="18607428" w14:textId="77777777" w:rsidR="00827CF7" w:rsidRPr="003C4918" w:rsidRDefault="00827CF7" w:rsidP="003C4918">
            <w:pPr>
              <w:jc w:val="center"/>
              <w:rPr>
                <w:sz w:val="20"/>
                <w:szCs w:val="20"/>
              </w:rPr>
            </w:pPr>
            <w:r w:rsidRPr="003C4918">
              <w:rPr>
                <w:sz w:val="20"/>
                <w:szCs w:val="20"/>
              </w:rPr>
              <w:t>14</w:t>
            </w:r>
          </w:p>
        </w:tc>
        <w:tc>
          <w:tcPr>
            <w:tcW w:w="4410" w:type="dxa"/>
            <w:shd w:val="clear" w:color="auto" w:fill="FFFFFF" w:themeFill="background1"/>
          </w:tcPr>
          <w:p w14:paraId="4754DC27" w14:textId="77777777" w:rsidR="00827CF7" w:rsidRPr="003C4918" w:rsidRDefault="00827CF7" w:rsidP="003C4918">
            <w:pPr>
              <w:rPr>
                <w:sz w:val="20"/>
                <w:szCs w:val="20"/>
              </w:rPr>
            </w:pPr>
            <w:r w:rsidRPr="003C4918">
              <w:rPr>
                <w:sz w:val="20"/>
                <w:szCs w:val="20"/>
              </w:rPr>
              <w:t>Construction</w:t>
            </w:r>
          </w:p>
        </w:tc>
        <w:tc>
          <w:tcPr>
            <w:tcW w:w="3955" w:type="dxa"/>
            <w:shd w:val="clear" w:color="auto" w:fill="FFFFFF" w:themeFill="background1"/>
          </w:tcPr>
          <w:p w14:paraId="1D8E91CC" w14:textId="77777777" w:rsidR="00827CF7" w:rsidRPr="003C4918" w:rsidRDefault="00827CF7" w:rsidP="003C4918">
            <w:pPr>
              <w:rPr>
                <w:sz w:val="20"/>
                <w:szCs w:val="20"/>
              </w:rPr>
            </w:pPr>
          </w:p>
        </w:tc>
      </w:tr>
      <w:tr w:rsidR="003C4918" w:rsidRPr="003C4918" w14:paraId="46665741" w14:textId="77777777" w:rsidTr="003C4918">
        <w:trPr>
          <w:jc w:val="center"/>
        </w:trPr>
        <w:tc>
          <w:tcPr>
            <w:tcW w:w="985" w:type="dxa"/>
            <w:shd w:val="clear" w:color="auto" w:fill="FFFFFF" w:themeFill="background1"/>
          </w:tcPr>
          <w:p w14:paraId="0C1EAA45" w14:textId="77777777" w:rsidR="00827CF7" w:rsidRPr="003C4918" w:rsidRDefault="00827CF7" w:rsidP="003C4918">
            <w:pPr>
              <w:jc w:val="center"/>
              <w:rPr>
                <w:sz w:val="20"/>
                <w:szCs w:val="20"/>
              </w:rPr>
            </w:pPr>
            <w:r w:rsidRPr="003C4918">
              <w:rPr>
                <w:sz w:val="20"/>
                <w:szCs w:val="20"/>
              </w:rPr>
              <w:t>15</w:t>
            </w:r>
          </w:p>
        </w:tc>
        <w:tc>
          <w:tcPr>
            <w:tcW w:w="4410" w:type="dxa"/>
            <w:shd w:val="clear" w:color="auto" w:fill="FFFFFF" w:themeFill="background1"/>
          </w:tcPr>
          <w:p w14:paraId="0F76D098" w14:textId="77777777" w:rsidR="00827CF7" w:rsidRPr="003C4918" w:rsidRDefault="00827CF7" w:rsidP="003C4918">
            <w:pPr>
              <w:rPr>
                <w:sz w:val="20"/>
                <w:szCs w:val="20"/>
              </w:rPr>
            </w:pPr>
            <w:r w:rsidRPr="003C4918">
              <w:rPr>
                <w:sz w:val="20"/>
                <w:szCs w:val="20"/>
              </w:rPr>
              <w:t>Maintenance and Repair</w:t>
            </w:r>
          </w:p>
        </w:tc>
        <w:tc>
          <w:tcPr>
            <w:tcW w:w="3955" w:type="dxa"/>
            <w:shd w:val="clear" w:color="auto" w:fill="FFFFFF" w:themeFill="background1"/>
          </w:tcPr>
          <w:p w14:paraId="5C2D06AF" w14:textId="77777777" w:rsidR="00827CF7" w:rsidRPr="003C4918" w:rsidRDefault="00827CF7" w:rsidP="003C4918">
            <w:pPr>
              <w:rPr>
                <w:sz w:val="20"/>
                <w:szCs w:val="20"/>
              </w:rPr>
            </w:pPr>
          </w:p>
        </w:tc>
      </w:tr>
      <w:tr w:rsidR="003C4918" w:rsidRPr="003C4918" w14:paraId="5E2CC066" w14:textId="77777777" w:rsidTr="003C4918">
        <w:trPr>
          <w:jc w:val="center"/>
        </w:trPr>
        <w:tc>
          <w:tcPr>
            <w:tcW w:w="985" w:type="dxa"/>
            <w:shd w:val="clear" w:color="auto" w:fill="FFFFFF" w:themeFill="background1"/>
          </w:tcPr>
          <w:p w14:paraId="5F2E3B84" w14:textId="77777777" w:rsidR="00827CF7" w:rsidRPr="003C4918" w:rsidRDefault="00827CF7" w:rsidP="003C4918">
            <w:pPr>
              <w:jc w:val="center"/>
              <w:rPr>
                <w:sz w:val="20"/>
                <w:szCs w:val="20"/>
              </w:rPr>
            </w:pPr>
            <w:r w:rsidRPr="003C4918">
              <w:rPr>
                <w:sz w:val="20"/>
                <w:szCs w:val="20"/>
              </w:rPr>
              <w:t>16</w:t>
            </w:r>
          </w:p>
        </w:tc>
        <w:tc>
          <w:tcPr>
            <w:tcW w:w="4410" w:type="dxa"/>
            <w:shd w:val="clear" w:color="auto" w:fill="FFFFFF" w:themeFill="background1"/>
          </w:tcPr>
          <w:p w14:paraId="0BAE2E2B" w14:textId="77777777" w:rsidR="00827CF7" w:rsidRPr="003C4918" w:rsidRDefault="00827CF7" w:rsidP="003C4918">
            <w:pPr>
              <w:rPr>
                <w:sz w:val="20"/>
                <w:szCs w:val="20"/>
              </w:rPr>
            </w:pPr>
            <w:r w:rsidRPr="003C4918">
              <w:rPr>
                <w:sz w:val="20"/>
                <w:szCs w:val="20"/>
              </w:rPr>
              <w:t>Wholesale Trade</w:t>
            </w:r>
          </w:p>
        </w:tc>
        <w:tc>
          <w:tcPr>
            <w:tcW w:w="3955" w:type="dxa"/>
            <w:shd w:val="clear" w:color="auto" w:fill="FFFFFF" w:themeFill="background1"/>
          </w:tcPr>
          <w:p w14:paraId="342DDAB9" w14:textId="77777777" w:rsidR="00827CF7" w:rsidRPr="003C4918" w:rsidRDefault="00827CF7" w:rsidP="003C4918">
            <w:pPr>
              <w:rPr>
                <w:sz w:val="20"/>
                <w:szCs w:val="20"/>
              </w:rPr>
            </w:pPr>
          </w:p>
        </w:tc>
      </w:tr>
      <w:tr w:rsidR="003C4918" w:rsidRPr="003C4918" w14:paraId="32B7B87D" w14:textId="77777777" w:rsidTr="003C4918">
        <w:trPr>
          <w:jc w:val="center"/>
        </w:trPr>
        <w:tc>
          <w:tcPr>
            <w:tcW w:w="985" w:type="dxa"/>
            <w:shd w:val="clear" w:color="auto" w:fill="FFFFFF" w:themeFill="background1"/>
          </w:tcPr>
          <w:p w14:paraId="75DDF70C" w14:textId="77777777" w:rsidR="00827CF7" w:rsidRPr="003C4918" w:rsidRDefault="00827CF7" w:rsidP="003C4918">
            <w:pPr>
              <w:jc w:val="center"/>
              <w:rPr>
                <w:sz w:val="20"/>
                <w:szCs w:val="20"/>
              </w:rPr>
            </w:pPr>
            <w:r w:rsidRPr="003C4918">
              <w:rPr>
                <w:sz w:val="20"/>
                <w:szCs w:val="20"/>
              </w:rPr>
              <w:t>17</w:t>
            </w:r>
          </w:p>
        </w:tc>
        <w:tc>
          <w:tcPr>
            <w:tcW w:w="4410" w:type="dxa"/>
            <w:shd w:val="clear" w:color="auto" w:fill="FFFFFF" w:themeFill="background1"/>
          </w:tcPr>
          <w:p w14:paraId="5F5B7A13" w14:textId="77777777" w:rsidR="00827CF7" w:rsidRPr="003C4918" w:rsidRDefault="00827CF7" w:rsidP="003C4918">
            <w:pPr>
              <w:rPr>
                <w:sz w:val="20"/>
                <w:szCs w:val="20"/>
              </w:rPr>
            </w:pPr>
            <w:r w:rsidRPr="003C4918">
              <w:rPr>
                <w:sz w:val="20"/>
                <w:szCs w:val="20"/>
              </w:rPr>
              <w:t>Retail Trade</w:t>
            </w:r>
          </w:p>
        </w:tc>
        <w:tc>
          <w:tcPr>
            <w:tcW w:w="3955" w:type="dxa"/>
            <w:shd w:val="clear" w:color="auto" w:fill="FFFFFF" w:themeFill="background1"/>
          </w:tcPr>
          <w:p w14:paraId="53670856" w14:textId="77777777" w:rsidR="00827CF7" w:rsidRPr="003C4918" w:rsidRDefault="00827CF7" w:rsidP="003C4918">
            <w:pPr>
              <w:rPr>
                <w:sz w:val="20"/>
                <w:szCs w:val="20"/>
              </w:rPr>
            </w:pPr>
          </w:p>
        </w:tc>
      </w:tr>
      <w:tr w:rsidR="003C4918" w:rsidRPr="003C4918" w14:paraId="45876C6A" w14:textId="77777777" w:rsidTr="003C4918">
        <w:trPr>
          <w:jc w:val="center"/>
        </w:trPr>
        <w:tc>
          <w:tcPr>
            <w:tcW w:w="985" w:type="dxa"/>
            <w:shd w:val="clear" w:color="auto" w:fill="FFFFFF" w:themeFill="background1"/>
          </w:tcPr>
          <w:p w14:paraId="4D2D66CE" w14:textId="77777777" w:rsidR="00827CF7" w:rsidRPr="003C4918" w:rsidRDefault="00827CF7" w:rsidP="003C4918">
            <w:pPr>
              <w:jc w:val="center"/>
              <w:rPr>
                <w:sz w:val="20"/>
                <w:szCs w:val="20"/>
              </w:rPr>
            </w:pPr>
            <w:r w:rsidRPr="003C4918">
              <w:rPr>
                <w:sz w:val="20"/>
                <w:szCs w:val="20"/>
              </w:rPr>
              <w:t>18</w:t>
            </w:r>
          </w:p>
        </w:tc>
        <w:tc>
          <w:tcPr>
            <w:tcW w:w="4410" w:type="dxa"/>
            <w:shd w:val="clear" w:color="auto" w:fill="FFFFFF" w:themeFill="background1"/>
          </w:tcPr>
          <w:p w14:paraId="61CDCD0B" w14:textId="77777777" w:rsidR="00827CF7" w:rsidRPr="003C4918" w:rsidRDefault="00827CF7" w:rsidP="003C4918">
            <w:pPr>
              <w:rPr>
                <w:sz w:val="20"/>
                <w:szCs w:val="20"/>
              </w:rPr>
            </w:pPr>
            <w:r w:rsidRPr="003C4918">
              <w:rPr>
                <w:sz w:val="20"/>
                <w:szCs w:val="20"/>
              </w:rPr>
              <w:t>Hotels and Restaurants</w:t>
            </w:r>
          </w:p>
        </w:tc>
        <w:tc>
          <w:tcPr>
            <w:tcW w:w="3955" w:type="dxa"/>
            <w:shd w:val="clear" w:color="auto" w:fill="FFFFFF" w:themeFill="background1"/>
          </w:tcPr>
          <w:p w14:paraId="2F400187" w14:textId="77777777" w:rsidR="00827CF7" w:rsidRPr="003C4918" w:rsidRDefault="00827CF7" w:rsidP="003C4918">
            <w:pPr>
              <w:rPr>
                <w:sz w:val="20"/>
                <w:szCs w:val="20"/>
              </w:rPr>
            </w:pPr>
          </w:p>
        </w:tc>
      </w:tr>
      <w:tr w:rsidR="003C4918" w:rsidRPr="003C4918" w14:paraId="5C1CCC44" w14:textId="77777777" w:rsidTr="003C4918">
        <w:trPr>
          <w:jc w:val="center"/>
        </w:trPr>
        <w:tc>
          <w:tcPr>
            <w:tcW w:w="985" w:type="dxa"/>
            <w:shd w:val="clear" w:color="auto" w:fill="FFFFFF" w:themeFill="background1"/>
          </w:tcPr>
          <w:p w14:paraId="7756E636" w14:textId="77777777" w:rsidR="00827CF7" w:rsidRPr="003C4918" w:rsidRDefault="00827CF7" w:rsidP="003C4918">
            <w:pPr>
              <w:jc w:val="center"/>
              <w:rPr>
                <w:sz w:val="20"/>
                <w:szCs w:val="20"/>
              </w:rPr>
            </w:pPr>
            <w:r w:rsidRPr="003C4918">
              <w:rPr>
                <w:sz w:val="20"/>
                <w:szCs w:val="20"/>
              </w:rPr>
              <w:t>19</w:t>
            </w:r>
          </w:p>
        </w:tc>
        <w:tc>
          <w:tcPr>
            <w:tcW w:w="4410" w:type="dxa"/>
            <w:shd w:val="clear" w:color="auto" w:fill="FFFFFF" w:themeFill="background1"/>
          </w:tcPr>
          <w:p w14:paraId="5BCA9F4D" w14:textId="77777777" w:rsidR="00827CF7" w:rsidRPr="003C4918" w:rsidRDefault="00827CF7" w:rsidP="003C4918">
            <w:pPr>
              <w:rPr>
                <w:sz w:val="20"/>
                <w:szCs w:val="20"/>
              </w:rPr>
            </w:pPr>
            <w:r w:rsidRPr="003C4918">
              <w:rPr>
                <w:sz w:val="20"/>
                <w:szCs w:val="20"/>
              </w:rPr>
              <w:t>Transport</w:t>
            </w:r>
          </w:p>
        </w:tc>
        <w:tc>
          <w:tcPr>
            <w:tcW w:w="3955" w:type="dxa"/>
            <w:shd w:val="clear" w:color="auto" w:fill="FFFFFF" w:themeFill="background1"/>
          </w:tcPr>
          <w:p w14:paraId="074E2637" w14:textId="77777777" w:rsidR="00827CF7" w:rsidRPr="003C4918" w:rsidRDefault="00827CF7" w:rsidP="003C4918">
            <w:pPr>
              <w:rPr>
                <w:sz w:val="20"/>
                <w:szCs w:val="20"/>
              </w:rPr>
            </w:pPr>
          </w:p>
        </w:tc>
      </w:tr>
      <w:tr w:rsidR="003C4918" w:rsidRPr="003C4918" w14:paraId="73648C50" w14:textId="77777777" w:rsidTr="003C4918">
        <w:trPr>
          <w:jc w:val="center"/>
        </w:trPr>
        <w:tc>
          <w:tcPr>
            <w:tcW w:w="985" w:type="dxa"/>
            <w:shd w:val="clear" w:color="auto" w:fill="FFFFFF" w:themeFill="background1"/>
          </w:tcPr>
          <w:p w14:paraId="57D5470F" w14:textId="77777777" w:rsidR="00827CF7" w:rsidRPr="003C4918" w:rsidRDefault="00827CF7" w:rsidP="003C4918">
            <w:pPr>
              <w:jc w:val="center"/>
              <w:rPr>
                <w:sz w:val="20"/>
                <w:szCs w:val="20"/>
              </w:rPr>
            </w:pPr>
            <w:r w:rsidRPr="003C4918">
              <w:rPr>
                <w:sz w:val="20"/>
                <w:szCs w:val="20"/>
              </w:rPr>
              <w:t>20</w:t>
            </w:r>
          </w:p>
        </w:tc>
        <w:tc>
          <w:tcPr>
            <w:tcW w:w="4410" w:type="dxa"/>
            <w:shd w:val="clear" w:color="auto" w:fill="FFFFFF" w:themeFill="background1"/>
          </w:tcPr>
          <w:p w14:paraId="2C13FC0B" w14:textId="77777777" w:rsidR="00827CF7" w:rsidRPr="003C4918" w:rsidRDefault="00827CF7" w:rsidP="003C4918">
            <w:pPr>
              <w:rPr>
                <w:sz w:val="20"/>
                <w:szCs w:val="20"/>
              </w:rPr>
            </w:pPr>
            <w:r w:rsidRPr="003C4918">
              <w:rPr>
                <w:sz w:val="20"/>
                <w:szCs w:val="20"/>
              </w:rPr>
              <w:t>Post and Telecommunications</w:t>
            </w:r>
          </w:p>
        </w:tc>
        <w:tc>
          <w:tcPr>
            <w:tcW w:w="3955" w:type="dxa"/>
            <w:shd w:val="clear" w:color="auto" w:fill="FFFFFF" w:themeFill="background1"/>
          </w:tcPr>
          <w:p w14:paraId="15B8F390" w14:textId="77777777" w:rsidR="00827CF7" w:rsidRPr="003C4918" w:rsidRDefault="00827CF7" w:rsidP="003C4918">
            <w:pPr>
              <w:rPr>
                <w:sz w:val="20"/>
                <w:szCs w:val="20"/>
              </w:rPr>
            </w:pPr>
          </w:p>
        </w:tc>
      </w:tr>
      <w:tr w:rsidR="003C4918" w:rsidRPr="003C4918" w14:paraId="0CADAE46" w14:textId="77777777" w:rsidTr="003C4918">
        <w:trPr>
          <w:jc w:val="center"/>
        </w:trPr>
        <w:tc>
          <w:tcPr>
            <w:tcW w:w="985" w:type="dxa"/>
            <w:shd w:val="clear" w:color="auto" w:fill="FFFFFF" w:themeFill="background1"/>
          </w:tcPr>
          <w:p w14:paraId="7367D152" w14:textId="77777777" w:rsidR="00827CF7" w:rsidRPr="003C4918" w:rsidRDefault="00827CF7" w:rsidP="003C4918">
            <w:pPr>
              <w:jc w:val="center"/>
              <w:rPr>
                <w:sz w:val="20"/>
                <w:szCs w:val="20"/>
              </w:rPr>
            </w:pPr>
            <w:r w:rsidRPr="003C4918">
              <w:rPr>
                <w:sz w:val="20"/>
                <w:szCs w:val="20"/>
              </w:rPr>
              <w:t>21</w:t>
            </w:r>
          </w:p>
        </w:tc>
        <w:tc>
          <w:tcPr>
            <w:tcW w:w="4410" w:type="dxa"/>
            <w:shd w:val="clear" w:color="auto" w:fill="FFFFFF" w:themeFill="background1"/>
          </w:tcPr>
          <w:p w14:paraId="70D62528" w14:textId="77777777" w:rsidR="00827CF7" w:rsidRPr="003C4918" w:rsidRDefault="00827CF7" w:rsidP="003C4918">
            <w:pPr>
              <w:rPr>
                <w:sz w:val="20"/>
                <w:szCs w:val="20"/>
              </w:rPr>
            </w:pPr>
            <w:r w:rsidRPr="003C4918">
              <w:rPr>
                <w:sz w:val="20"/>
                <w:szCs w:val="20"/>
              </w:rPr>
              <w:t>Financial Intermediaries and Business</w:t>
            </w:r>
          </w:p>
        </w:tc>
        <w:tc>
          <w:tcPr>
            <w:tcW w:w="3955" w:type="dxa"/>
            <w:shd w:val="clear" w:color="auto" w:fill="FFFFFF" w:themeFill="background1"/>
          </w:tcPr>
          <w:p w14:paraId="625C5ECC" w14:textId="77777777" w:rsidR="00827CF7" w:rsidRPr="003C4918" w:rsidRDefault="00827CF7" w:rsidP="003C4918">
            <w:pPr>
              <w:rPr>
                <w:sz w:val="20"/>
                <w:szCs w:val="20"/>
              </w:rPr>
            </w:pPr>
          </w:p>
        </w:tc>
      </w:tr>
      <w:tr w:rsidR="003C4918" w:rsidRPr="003C4918" w14:paraId="19221C70" w14:textId="77777777" w:rsidTr="003C4918">
        <w:trPr>
          <w:jc w:val="center"/>
        </w:trPr>
        <w:tc>
          <w:tcPr>
            <w:tcW w:w="985" w:type="dxa"/>
            <w:shd w:val="clear" w:color="auto" w:fill="FFFFFF" w:themeFill="background1"/>
          </w:tcPr>
          <w:p w14:paraId="7E03780F" w14:textId="77777777" w:rsidR="00827CF7" w:rsidRPr="003C4918" w:rsidRDefault="00827CF7" w:rsidP="003C4918">
            <w:pPr>
              <w:jc w:val="center"/>
              <w:rPr>
                <w:sz w:val="20"/>
                <w:szCs w:val="20"/>
              </w:rPr>
            </w:pPr>
            <w:r w:rsidRPr="003C4918">
              <w:rPr>
                <w:sz w:val="20"/>
                <w:szCs w:val="20"/>
              </w:rPr>
              <w:t>22</w:t>
            </w:r>
          </w:p>
        </w:tc>
        <w:tc>
          <w:tcPr>
            <w:tcW w:w="4410" w:type="dxa"/>
            <w:shd w:val="clear" w:color="auto" w:fill="FFFFFF" w:themeFill="background1"/>
          </w:tcPr>
          <w:p w14:paraId="6621E656" w14:textId="77777777" w:rsidR="00827CF7" w:rsidRPr="003C4918" w:rsidRDefault="00827CF7" w:rsidP="003C4918">
            <w:pPr>
              <w:rPr>
                <w:sz w:val="20"/>
                <w:szCs w:val="20"/>
              </w:rPr>
            </w:pPr>
            <w:r w:rsidRPr="003C4918">
              <w:rPr>
                <w:sz w:val="20"/>
                <w:szCs w:val="20"/>
              </w:rPr>
              <w:t>Public Administration</w:t>
            </w:r>
          </w:p>
        </w:tc>
        <w:tc>
          <w:tcPr>
            <w:tcW w:w="3955" w:type="dxa"/>
            <w:shd w:val="clear" w:color="auto" w:fill="FFFFFF" w:themeFill="background1"/>
          </w:tcPr>
          <w:p w14:paraId="3D8E5A11" w14:textId="77777777" w:rsidR="00827CF7" w:rsidRPr="003C4918" w:rsidRDefault="00827CF7" w:rsidP="003C4918">
            <w:pPr>
              <w:rPr>
                <w:sz w:val="20"/>
                <w:szCs w:val="20"/>
              </w:rPr>
            </w:pPr>
          </w:p>
        </w:tc>
      </w:tr>
      <w:tr w:rsidR="003C4918" w:rsidRPr="003C4918" w14:paraId="466528BC" w14:textId="77777777" w:rsidTr="003C4918">
        <w:trPr>
          <w:jc w:val="center"/>
        </w:trPr>
        <w:tc>
          <w:tcPr>
            <w:tcW w:w="985" w:type="dxa"/>
            <w:shd w:val="clear" w:color="auto" w:fill="FFFFFF" w:themeFill="background1"/>
          </w:tcPr>
          <w:p w14:paraId="4CA9BB7F" w14:textId="77777777" w:rsidR="00827CF7" w:rsidRPr="003C4918" w:rsidRDefault="00827CF7" w:rsidP="003C4918">
            <w:pPr>
              <w:jc w:val="center"/>
              <w:rPr>
                <w:sz w:val="20"/>
                <w:szCs w:val="20"/>
              </w:rPr>
            </w:pPr>
            <w:r w:rsidRPr="003C4918">
              <w:rPr>
                <w:sz w:val="20"/>
                <w:szCs w:val="20"/>
              </w:rPr>
              <w:t>23</w:t>
            </w:r>
          </w:p>
        </w:tc>
        <w:tc>
          <w:tcPr>
            <w:tcW w:w="4410" w:type="dxa"/>
            <w:shd w:val="clear" w:color="auto" w:fill="FFFFFF" w:themeFill="background1"/>
          </w:tcPr>
          <w:p w14:paraId="268AC391" w14:textId="77777777" w:rsidR="00827CF7" w:rsidRPr="003C4918" w:rsidRDefault="00827CF7" w:rsidP="003C4918">
            <w:pPr>
              <w:rPr>
                <w:sz w:val="20"/>
                <w:szCs w:val="20"/>
              </w:rPr>
            </w:pPr>
            <w:r w:rsidRPr="003C4918">
              <w:rPr>
                <w:sz w:val="20"/>
                <w:szCs w:val="20"/>
              </w:rPr>
              <w:t>Education, Health, Other Services</w:t>
            </w:r>
          </w:p>
        </w:tc>
        <w:tc>
          <w:tcPr>
            <w:tcW w:w="3955" w:type="dxa"/>
            <w:shd w:val="clear" w:color="auto" w:fill="FFFFFF" w:themeFill="background1"/>
          </w:tcPr>
          <w:p w14:paraId="347D4FA4" w14:textId="77777777" w:rsidR="00827CF7" w:rsidRPr="003C4918" w:rsidRDefault="00827CF7" w:rsidP="003C4918">
            <w:pPr>
              <w:rPr>
                <w:sz w:val="20"/>
                <w:szCs w:val="20"/>
              </w:rPr>
            </w:pPr>
          </w:p>
        </w:tc>
      </w:tr>
      <w:tr w:rsidR="003C4918" w:rsidRPr="003C4918" w14:paraId="738C3502" w14:textId="77777777" w:rsidTr="003C4918">
        <w:trPr>
          <w:jc w:val="center"/>
        </w:trPr>
        <w:tc>
          <w:tcPr>
            <w:tcW w:w="985" w:type="dxa"/>
            <w:shd w:val="clear" w:color="auto" w:fill="FFFFFF" w:themeFill="background1"/>
          </w:tcPr>
          <w:p w14:paraId="31D88C30" w14:textId="77777777" w:rsidR="00827CF7" w:rsidRPr="003C4918" w:rsidRDefault="00827CF7" w:rsidP="003C4918">
            <w:pPr>
              <w:jc w:val="center"/>
              <w:rPr>
                <w:sz w:val="20"/>
                <w:szCs w:val="20"/>
              </w:rPr>
            </w:pPr>
            <w:r w:rsidRPr="003C4918">
              <w:rPr>
                <w:sz w:val="20"/>
                <w:szCs w:val="20"/>
              </w:rPr>
              <w:t>24</w:t>
            </w:r>
          </w:p>
        </w:tc>
        <w:tc>
          <w:tcPr>
            <w:tcW w:w="4410" w:type="dxa"/>
            <w:shd w:val="clear" w:color="auto" w:fill="FFFFFF" w:themeFill="background1"/>
          </w:tcPr>
          <w:p w14:paraId="5B86E9BF" w14:textId="77777777" w:rsidR="00827CF7" w:rsidRPr="003C4918" w:rsidRDefault="00827CF7" w:rsidP="003C4918">
            <w:pPr>
              <w:rPr>
                <w:sz w:val="20"/>
                <w:szCs w:val="20"/>
              </w:rPr>
            </w:pPr>
            <w:r w:rsidRPr="003C4918">
              <w:rPr>
                <w:sz w:val="20"/>
                <w:szCs w:val="20"/>
              </w:rPr>
              <w:t>Private Households</w:t>
            </w:r>
          </w:p>
        </w:tc>
        <w:tc>
          <w:tcPr>
            <w:tcW w:w="3955" w:type="dxa"/>
            <w:shd w:val="clear" w:color="auto" w:fill="FFFFFF" w:themeFill="background1"/>
          </w:tcPr>
          <w:p w14:paraId="61C23C32" w14:textId="77777777" w:rsidR="00827CF7" w:rsidRPr="003C4918" w:rsidRDefault="00827CF7" w:rsidP="003C4918">
            <w:pPr>
              <w:rPr>
                <w:sz w:val="20"/>
                <w:szCs w:val="20"/>
              </w:rPr>
            </w:pPr>
          </w:p>
        </w:tc>
      </w:tr>
      <w:tr w:rsidR="003C4918" w:rsidRPr="003C4918" w14:paraId="3FBF7D2B" w14:textId="77777777" w:rsidTr="003C4918">
        <w:trPr>
          <w:jc w:val="center"/>
        </w:trPr>
        <w:tc>
          <w:tcPr>
            <w:tcW w:w="985" w:type="dxa"/>
            <w:shd w:val="clear" w:color="auto" w:fill="FFFFFF" w:themeFill="background1"/>
          </w:tcPr>
          <w:p w14:paraId="64DA8EAD" w14:textId="77777777" w:rsidR="00827CF7" w:rsidRPr="003C4918" w:rsidRDefault="00827CF7" w:rsidP="003C4918">
            <w:pPr>
              <w:jc w:val="center"/>
              <w:rPr>
                <w:sz w:val="20"/>
                <w:szCs w:val="20"/>
              </w:rPr>
            </w:pPr>
            <w:r w:rsidRPr="003C4918">
              <w:rPr>
                <w:sz w:val="20"/>
                <w:szCs w:val="20"/>
              </w:rPr>
              <w:t>25</w:t>
            </w:r>
          </w:p>
        </w:tc>
        <w:tc>
          <w:tcPr>
            <w:tcW w:w="4410" w:type="dxa"/>
            <w:shd w:val="clear" w:color="auto" w:fill="FFFFFF" w:themeFill="background1"/>
          </w:tcPr>
          <w:p w14:paraId="2FA073EA" w14:textId="77777777" w:rsidR="00827CF7" w:rsidRPr="003C4918" w:rsidRDefault="00827CF7" w:rsidP="003C4918">
            <w:pPr>
              <w:rPr>
                <w:sz w:val="20"/>
                <w:szCs w:val="20"/>
              </w:rPr>
            </w:pPr>
            <w:r w:rsidRPr="003C4918">
              <w:rPr>
                <w:sz w:val="20"/>
                <w:szCs w:val="20"/>
              </w:rPr>
              <w:t>Others</w:t>
            </w:r>
          </w:p>
        </w:tc>
        <w:tc>
          <w:tcPr>
            <w:tcW w:w="3955" w:type="dxa"/>
            <w:shd w:val="clear" w:color="auto" w:fill="FFFFFF" w:themeFill="background1"/>
          </w:tcPr>
          <w:p w14:paraId="398BB585" w14:textId="77777777" w:rsidR="00827CF7" w:rsidRPr="003C4918" w:rsidRDefault="00827CF7" w:rsidP="003C4918">
            <w:pPr>
              <w:rPr>
                <w:sz w:val="20"/>
                <w:szCs w:val="20"/>
              </w:rPr>
            </w:pPr>
          </w:p>
        </w:tc>
      </w:tr>
      <w:tr w:rsidR="003C4918" w:rsidRPr="003C4918" w14:paraId="105BC551" w14:textId="77777777" w:rsidTr="003C4918">
        <w:trPr>
          <w:jc w:val="center"/>
        </w:trPr>
        <w:tc>
          <w:tcPr>
            <w:tcW w:w="985" w:type="dxa"/>
            <w:shd w:val="clear" w:color="auto" w:fill="FFFFFF" w:themeFill="background1"/>
          </w:tcPr>
          <w:p w14:paraId="3031A9E6" w14:textId="77777777" w:rsidR="00827CF7" w:rsidRPr="003C4918" w:rsidRDefault="00827CF7" w:rsidP="003C4918">
            <w:pPr>
              <w:jc w:val="center"/>
              <w:rPr>
                <w:sz w:val="20"/>
                <w:szCs w:val="20"/>
              </w:rPr>
            </w:pPr>
            <w:r w:rsidRPr="003C4918">
              <w:rPr>
                <w:sz w:val="20"/>
                <w:szCs w:val="20"/>
              </w:rPr>
              <w:t>26</w:t>
            </w:r>
          </w:p>
        </w:tc>
        <w:tc>
          <w:tcPr>
            <w:tcW w:w="4410" w:type="dxa"/>
            <w:shd w:val="clear" w:color="auto" w:fill="FFFFFF" w:themeFill="background1"/>
          </w:tcPr>
          <w:p w14:paraId="7C4F96C5" w14:textId="77777777" w:rsidR="00827CF7" w:rsidRPr="003C4918" w:rsidRDefault="00827CF7" w:rsidP="003C4918">
            <w:pPr>
              <w:rPr>
                <w:sz w:val="20"/>
                <w:szCs w:val="20"/>
              </w:rPr>
            </w:pPr>
            <w:r w:rsidRPr="003C4918">
              <w:rPr>
                <w:sz w:val="20"/>
                <w:szCs w:val="20"/>
              </w:rPr>
              <w:t>Re-export and Re-import</w:t>
            </w:r>
          </w:p>
        </w:tc>
        <w:tc>
          <w:tcPr>
            <w:tcW w:w="3955" w:type="dxa"/>
            <w:shd w:val="clear" w:color="auto" w:fill="FFFFFF" w:themeFill="background1"/>
          </w:tcPr>
          <w:p w14:paraId="145808F1" w14:textId="77777777" w:rsidR="00827CF7" w:rsidRPr="003C4918" w:rsidRDefault="00827CF7" w:rsidP="003C4918">
            <w:pPr>
              <w:rPr>
                <w:sz w:val="20"/>
                <w:szCs w:val="20"/>
              </w:rPr>
            </w:pPr>
          </w:p>
        </w:tc>
      </w:tr>
    </w:tbl>
    <w:p w14:paraId="2BAD7E02" w14:textId="77777777" w:rsidR="00827CF7" w:rsidRDefault="00827CF7"/>
    <w:p w14:paraId="39C7D470" w14:textId="77777777" w:rsidR="00827CF7" w:rsidRDefault="00827CF7">
      <w:pPr>
        <w:rPr>
          <w:rFonts w:asciiTheme="majorHAnsi" w:eastAsiaTheme="majorEastAsia" w:hAnsiTheme="majorHAnsi" w:cstheme="majorBidi"/>
          <w:color w:val="2E74B5" w:themeColor="accent1" w:themeShade="BF"/>
          <w:sz w:val="32"/>
          <w:szCs w:val="32"/>
        </w:rPr>
      </w:pPr>
      <w:r>
        <w:br w:type="page"/>
      </w:r>
    </w:p>
    <w:p w14:paraId="422DB1FE" w14:textId="4130F3C0" w:rsidR="00E41A18" w:rsidRDefault="003C4918" w:rsidP="00E41A18">
      <w:pPr>
        <w:pStyle w:val="Heading1"/>
      </w:pPr>
      <w:bookmarkStart w:id="1" w:name="_Toc41047416"/>
      <w:r>
        <w:lastRenderedPageBreak/>
        <w:t>2</w:t>
      </w:r>
      <w:r>
        <w:tab/>
      </w:r>
      <w:r w:rsidR="007220DD">
        <w:t>IEA-Eora correspondence</w:t>
      </w:r>
      <w:bookmarkEnd w:id="1"/>
    </w:p>
    <w:p w14:paraId="0E03DB81" w14:textId="450893AB" w:rsidR="007220DD" w:rsidRDefault="007220DD" w:rsidP="007220DD"/>
    <w:p w14:paraId="7515DC9D" w14:textId="491E2153" w:rsidR="007220DD" w:rsidRDefault="007220DD" w:rsidP="007220DD">
      <w:r>
        <w:t>The following table presents the correspondence between sectors in the International Energy Agency (IEA) World Energy Balances (WEB) and Eora-26.</w:t>
      </w:r>
    </w:p>
    <w:p w14:paraId="23F15BAC" w14:textId="61FA490B" w:rsidR="007220DD" w:rsidRDefault="007220DD" w:rsidP="007220DD"/>
    <w:tbl>
      <w:tblPr>
        <w:tblStyle w:val="TableGrid"/>
        <w:tblW w:w="0" w:type="auto"/>
        <w:jc w:val="center"/>
        <w:tblBorders>
          <w:insideV w:val="none" w:sz="0" w:space="0" w:color="auto"/>
        </w:tblBorders>
        <w:tblLook w:val="04A0" w:firstRow="1" w:lastRow="0" w:firstColumn="1" w:lastColumn="0" w:noHBand="0" w:noVBand="1"/>
      </w:tblPr>
      <w:tblGrid>
        <w:gridCol w:w="2785"/>
        <w:gridCol w:w="6565"/>
      </w:tblGrid>
      <w:tr w:rsidR="007220DD" w:rsidRPr="00B70F65" w14:paraId="7C1F637B" w14:textId="77777777" w:rsidTr="007220DD">
        <w:trPr>
          <w:jc w:val="center"/>
        </w:trPr>
        <w:tc>
          <w:tcPr>
            <w:tcW w:w="2785" w:type="dxa"/>
            <w:shd w:val="clear" w:color="auto" w:fill="D9D9D9" w:themeFill="background1" w:themeFillShade="D9"/>
          </w:tcPr>
          <w:p w14:paraId="48001A5F" w14:textId="309E1A78" w:rsidR="007220DD" w:rsidRPr="00B70F65" w:rsidRDefault="007220DD" w:rsidP="00561054">
            <w:pPr>
              <w:jc w:val="center"/>
              <w:rPr>
                <w:b/>
                <w:sz w:val="20"/>
                <w:szCs w:val="20"/>
              </w:rPr>
            </w:pPr>
            <w:r>
              <w:rPr>
                <w:b/>
                <w:sz w:val="20"/>
                <w:szCs w:val="20"/>
              </w:rPr>
              <w:t>Eora Sector</w:t>
            </w:r>
          </w:p>
        </w:tc>
        <w:tc>
          <w:tcPr>
            <w:tcW w:w="6565" w:type="dxa"/>
            <w:shd w:val="clear" w:color="auto" w:fill="D9D9D9" w:themeFill="background1" w:themeFillShade="D9"/>
          </w:tcPr>
          <w:p w14:paraId="4700934A" w14:textId="6B2586C2" w:rsidR="007220DD" w:rsidRPr="00B70F65" w:rsidRDefault="007220DD" w:rsidP="00561054">
            <w:pPr>
              <w:jc w:val="center"/>
              <w:rPr>
                <w:b/>
                <w:sz w:val="20"/>
                <w:szCs w:val="20"/>
              </w:rPr>
            </w:pPr>
            <w:r>
              <w:rPr>
                <w:b/>
                <w:sz w:val="20"/>
                <w:szCs w:val="20"/>
              </w:rPr>
              <w:t>IEA Sector(s)</w:t>
            </w:r>
          </w:p>
        </w:tc>
      </w:tr>
      <w:tr w:rsidR="007220DD" w:rsidRPr="00B70F65" w14:paraId="3E9D89EB" w14:textId="77777777" w:rsidTr="007220DD">
        <w:trPr>
          <w:jc w:val="center"/>
        </w:trPr>
        <w:tc>
          <w:tcPr>
            <w:tcW w:w="2785" w:type="dxa"/>
          </w:tcPr>
          <w:p w14:paraId="5B387193" w14:textId="0204B87D" w:rsidR="007220DD" w:rsidRPr="00B70F65" w:rsidRDefault="007220DD" w:rsidP="007220DD">
            <w:pPr>
              <w:jc w:val="center"/>
              <w:rPr>
                <w:sz w:val="20"/>
                <w:szCs w:val="20"/>
              </w:rPr>
            </w:pPr>
            <w:r>
              <w:rPr>
                <w:sz w:val="20"/>
                <w:szCs w:val="20"/>
              </w:rPr>
              <w:t>1</w:t>
            </w:r>
          </w:p>
        </w:tc>
        <w:tc>
          <w:tcPr>
            <w:tcW w:w="6565" w:type="dxa"/>
          </w:tcPr>
          <w:p w14:paraId="1F69F30A" w14:textId="5BE8F40E" w:rsidR="007220DD" w:rsidRPr="00B70F65" w:rsidRDefault="007220DD" w:rsidP="00561054">
            <w:pPr>
              <w:rPr>
                <w:sz w:val="20"/>
                <w:szCs w:val="20"/>
              </w:rPr>
            </w:pPr>
            <w:r>
              <w:rPr>
                <w:sz w:val="20"/>
                <w:szCs w:val="20"/>
              </w:rPr>
              <w:t>Agriculture/Forestry</w:t>
            </w:r>
          </w:p>
        </w:tc>
      </w:tr>
      <w:tr w:rsidR="007220DD" w:rsidRPr="00B70F65" w14:paraId="603BD4C1" w14:textId="77777777" w:rsidTr="007220DD">
        <w:trPr>
          <w:jc w:val="center"/>
        </w:trPr>
        <w:tc>
          <w:tcPr>
            <w:tcW w:w="2785" w:type="dxa"/>
          </w:tcPr>
          <w:p w14:paraId="01A683F9" w14:textId="66C4617A" w:rsidR="007220DD" w:rsidRDefault="007220DD" w:rsidP="007220DD">
            <w:pPr>
              <w:jc w:val="center"/>
              <w:rPr>
                <w:sz w:val="20"/>
                <w:szCs w:val="20"/>
              </w:rPr>
            </w:pPr>
            <w:r>
              <w:rPr>
                <w:sz w:val="20"/>
                <w:szCs w:val="20"/>
              </w:rPr>
              <w:t>2</w:t>
            </w:r>
          </w:p>
        </w:tc>
        <w:tc>
          <w:tcPr>
            <w:tcW w:w="6565" w:type="dxa"/>
          </w:tcPr>
          <w:p w14:paraId="6C219AC8" w14:textId="2C21D80A" w:rsidR="007220DD" w:rsidRPr="00B70F65" w:rsidRDefault="007220DD" w:rsidP="00561054">
            <w:pPr>
              <w:rPr>
                <w:sz w:val="20"/>
                <w:szCs w:val="20"/>
              </w:rPr>
            </w:pPr>
            <w:r>
              <w:rPr>
                <w:sz w:val="20"/>
                <w:szCs w:val="20"/>
              </w:rPr>
              <w:t>Fishing</w:t>
            </w:r>
          </w:p>
        </w:tc>
      </w:tr>
      <w:tr w:rsidR="007220DD" w:rsidRPr="00B70F65" w14:paraId="5268CFC4" w14:textId="77777777" w:rsidTr="007220DD">
        <w:trPr>
          <w:jc w:val="center"/>
        </w:trPr>
        <w:tc>
          <w:tcPr>
            <w:tcW w:w="2785" w:type="dxa"/>
          </w:tcPr>
          <w:p w14:paraId="06E4F2C9" w14:textId="16DC7258" w:rsidR="007220DD" w:rsidRDefault="007220DD" w:rsidP="007220DD">
            <w:pPr>
              <w:jc w:val="center"/>
              <w:rPr>
                <w:sz w:val="20"/>
                <w:szCs w:val="20"/>
              </w:rPr>
            </w:pPr>
            <w:r>
              <w:rPr>
                <w:sz w:val="20"/>
                <w:szCs w:val="20"/>
              </w:rPr>
              <w:t>3</w:t>
            </w:r>
          </w:p>
        </w:tc>
        <w:tc>
          <w:tcPr>
            <w:tcW w:w="6565" w:type="dxa"/>
          </w:tcPr>
          <w:p w14:paraId="1842B6BB" w14:textId="5B2C2BCB" w:rsidR="007220DD" w:rsidRPr="00B70F65" w:rsidRDefault="007220DD" w:rsidP="00561054">
            <w:pPr>
              <w:rPr>
                <w:sz w:val="20"/>
                <w:szCs w:val="20"/>
              </w:rPr>
            </w:pPr>
            <w:r>
              <w:rPr>
                <w:sz w:val="20"/>
                <w:szCs w:val="20"/>
              </w:rPr>
              <w:t>Mining and quarrying</w:t>
            </w:r>
          </w:p>
        </w:tc>
      </w:tr>
      <w:tr w:rsidR="007220DD" w:rsidRPr="00B70F65" w14:paraId="01C06841" w14:textId="77777777" w:rsidTr="007220DD">
        <w:trPr>
          <w:jc w:val="center"/>
        </w:trPr>
        <w:tc>
          <w:tcPr>
            <w:tcW w:w="2785" w:type="dxa"/>
          </w:tcPr>
          <w:p w14:paraId="7393F93D" w14:textId="221B5876" w:rsidR="007220DD" w:rsidRDefault="007220DD" w:rsidP="007220DD">
            <w:pPr>
              <w:jc w:val="center"/>
              <w:rPr>
                <w:sz w:val="20"/>
                <w:szCs w:val="20"/>
              </w:rPr>
            </w:pPr>
            <w:r>
              <w:rPr>
                <w:sz w:val="20"/>
                <w:szCs w:val="20"/>
              </w:rPr>
              <w:t>4</w:t>
            </w:r>
          </w:p>
        </w:tc>
        <w:tc>
          <w:tcPr>
            <w:tcW w:w="6565" w:type="dxa"/>
          </w:tcPr>
          <w:p w14:paraId="0ECDA1AF" w14:textId="68D75CE0" w:rsidR="007220DD" w:rsidRPr="00B70F65" w:rsidRDefault="007220DD" w:rsidP="00561054">
            <w:pPr>
              <w:rPr>
                <w:sz w:val="20"/>
                <w:szCs w:val="20"/>
              </w:rPr>
            </w:pPr>
            <w:r>
              <w:rPr>
                <w:sz w:val="20"/>
                <w:szCs w:val="20"/>
              </w:rPr>
              <w:t>Food and tobacco</w:t>
            </w:r>
          </w:p>
        </w:tc>
      </w:tr>
      <w:tr w:rsidR="007220DD" w:rsidRPr="00B70F65" w14:paraId="675907FD" w14:textId="77777777" w:rsidTr="007220DD">
        <w:trPr>
          <w:jc w:val="center"/>
        </w:trPr>
        <w:tc>
          <w:tcPr>
            <w:tcW w:w="2785" w:type="dxa"/>
          </w:tcPr>
          <w:p w14:paraId="4D6C497F" w14:textId="0E1D6D14" w:rsidR="007220DD" w:rsidRDefault="007220DD" w:rsidP="007220DD">
            <w:pPr>
              <w:jc w:val="center"/>
              <w:rPr>
                <w:sz w:val="20"/>
                <w:szCs w:val="20"/>
              </w:rPr>
            </w:pPr>
            <w:r>
              <w:rPr>
                <w:sz w:val="20"/>
                <w:szCs w:val="20"/>
              </w:rPr>
              <w:t>5</w:t>
            </w:r>
          </w:p>
        </w:tc>
        <w:tc>
          <w:tcPr>
            <w:tcW w:w="6565" w:type="dxa"/>
          </w:tcPr>
          <w:p w14:paraId="4E4C7CB5" w14:textId="2C48499B" w:rsidR="007220DD" w:rsidRPr="00B70F65" w:rsidRDefault="007220DD" w:rsidP="00561054">
            <w:pPr>
              <w:rPr>
                <w:sz w:val="20"/>
                <w:szCs w:val="20"/>
              </w:rPr>
            </w:pPr>
            <w:r>
              <w:rPr>
                <w:sz w:val="20"/>
                <w:szCs w:val="20"/>
              </w:rPr>
              <w:t>Textile and leather</w:t>
            </w:r>
          </w:p>
        </w:tc>
      </w:tr>
      <w:tr w:rsidR="007220DD" w:rsidRPr="00B70F65" w14:paraId="0D1B1E10" w14:textId="77777777" w:rsidTr="007220DD">
        <w:trPr>
          <w:jc w:val="center"/>
        </w:trPr>
        <w:tc>
          <w:tcPr>
            <w:tcW w:w="2785" w:type="dxa"/>
          </w:tcPr>
          <w:p w14:paraId="5D9465C0" w14:textId="19EE5350" w:rsidR="007220DD" w:rsidRDefault="007220DD" w:rsidP="007220DD">
            <w:pPr>
              <w:jc w:val="center"/>
              <w:rPr>
                <w:sz w:val="20"/>
                <w:szCs w:val="20"/>
              </w:rPr>
            </w:pPr>
            <w:r>
              <w:rPr>
                <w:sz w:val="20"/>
                <w:szCs w:val="20"/>
              </w:rPr>
              <w:t>6</w:t>
            </w:r>
          </w:p>
        </w:tc>
        <w:tc>
          <w:tcPr>
            <w:tcW w:w="6565" w:type="dxa"/>
          </w:tcPr>
          <w:p w14:paraId="211065B9" w14:textId="13FCD0D5" w:rsidR="007220DD" w:rsidRPr="00B70F65" w:rsidRDefault="007220DD" w:rsidP="00561054">
            <w:pPr>
              <w:rPr>
                <w:sz w:val="20"/>
                <w:szCs w:val="20"/>
              </w:rPr>
            </w:pPr>
            <w:r>
              <w:rPr>
                <w:sz w:val="20"/>
                <w:szCs w:val="20"/>
              </w:rPr>
              <w:t>Wood and wood products; Paper, pulp and print; Memo: Non-energy use in wood and wood products; Memo: Non-energy use in paper/pulp printing</w:t>
            </w:r>
          </w:p>
        </w:tc>
      </w:tr>
      <w:tr w:rsidR="007220DD" w:rsidRPr="00B70F65" w14:paraId="6F34428C" w14:textId="77777777" w:rsidTr="007220DD">
        <w:trPr>
          <w:jc w:val="center"/>
        </w:trPr>
        <w:tc>
          <w:tcPr>
            <w:tcW w:w="2785" w:type="dxa"/>
          </w:tcPr>
          <w:p w14:paraId="02A01909" w14:textId="66FEDCA2" w:rsidR="007220DD" w:rsidRDefault="007220DD" w:rsidP="007220DD">
            <w:pPr>
              <w:jc w:val="center"/>
              <w:rPr>
                <w:sz w:val="20"/>
                <w:szCs w:val="20"/>
              </w:rPr>
            </w:pPr>
            <w:r>
              <w:rPr>
                <w:sz w:val="20"/>
                <w:szCs w:val="20"/>
              </w:rPr>
              <w:t>7</w:t>
            </w:r>
          </w:p>
        </w:tc>
        <w:tc>
          <w:tcPr>
            <w:tcW w:w="6565" w:type="dxa"/>
          </w:tcPr>
          <w:p w14:paraId="52ED286A" w14:textId="0320CDAD" w:rsidR="007220DD" w:rsidRPr="00B70F65" w:rsidRDefault="007220DD" w:rsidP="00561054">
            <w:pPr>
              <w:rPr>
                <w:sz w:val="20"/>
                <w:szCs w:val="20"/>
              </w:rPr>
            </w:pPr>
            <w:r>
              <w:rPr>
                <w:sz w:val="20"/>
                <w:szCs w:val="20"/>
              </w:rPr>
              <w:t>Chemical and petrochemical; Non-metallic products</w:t>
            </w:r>
          </w:p>
        </w:tc>
      </w:tr>
      <w:tr w:rsidR="007220DD" w:rsidRPr="00B70F65" w14:paraId="483F70C7" w14:textId="77777777" w:rsidTr="007220DD">
        <w:trPr>
          <w:jc w:val="center"/>
        </w:trPr>
        <w:tc>
          <w:tcPr>
            <w:tcW w:w="2785" w:type="dxa"/>
          </w:tcPr>
          <w:p w14:paraId="42E9F61C" w14:textId="5A631202" w:rsidR="007220DD" w:rsidRDefault="007220DD" w:rsidP="007220DD">
            <w:pPr>
              <w:jc w:val="center"/>
              <w:rPr>
                <w:sz w:val="20"/>
                <w:szCs w:val="20"/>
              </w:rPr>
            </w:pPr>
            <w:r>
              <w:rPr>
                <w:sz w:val="20"/>
                <w:szCs w:val="20"/>
              </w:rPr>
              <w:t>8</w:t>
            </w:r>
          </w:p>
        </w:tc>
        <w:tc>
          <w:tcPr>
            <w:tcW w:w="6565" w:type="dxa"/>
          </w:tcPr>
          <w:p w14:paraId="249376C0" w14:textId="57F696B0" w:rsidR="007220DD" w:rsidRPr="00B70F65" w:rsidRDefault="007220DD" w:rsidP="00561054">
            <w:pPr>
              <w:rPr>
                <w:sz w:val="20"/>
                <w:szCs w:val="20"/>
              </w:rPr>
            </w:pPr>
            <w:r>
              <w:rPr>
                <w:sz w:val="20"/>
                <w:szCs w:val="20"/>
              </w:rPr>
              <w:t>Iron and steel; Non-ferrous metals; Machinery; Memo: Non-energy use in non-ferrous metals; Memo: Non-energy use in iron and steel</w:t>
            </w:r>
          </w:p>
        </w:tc>
      </w:tr>
      <w:tr w:rsidR="007220DD" w:rsidRPr="00B70F65" w14:paraId="3D0414E0" w14:textId="77777777" w:rsidTr="007220DD">
        <w:trPr>
          <w:jc w:val="center"/>
        </w:trPr>
        <w:tc>
          <w:tcPr>
            <w:tcW w:w="2785" w:type="dxa"/>
          </w:tcPr>
          <w:p w14:paraId="44D651A4" w14:textId="25B6CACB" w:rsidR="007220DD" w:rsidRDefault="007220DD" w:rsidP="007220DD">
            <w:pPr>
              <w:jc w:val="center"/>
              <w:rPr>
                <w:sz w:val="20"/>
                <w:szCs w:val="20"/>
              </w:rPr>
            </w:pPr>
            <w:r>
              <w:rPr>
                <w:sz w:val="20"/>
                <w:szCs w:val="20"/>
              </w:rPr>
              <w:t>9</w:t>
            </w:r>
          </w:p>
        </w:tc>
        <w:tc>
          <w:tcPr>
            <w:tcW w:w="6565" w:type="dxa"/>
          </w:tcPr>
          <w:p w14:paraId="6D06E820" w14:textId="0ECD317F" w:rsidR="007220DD" w:rsidRPr="00B70F65" w:rsidRDefault="007220DD" w:rsidP="00561054">
            <w:pPr>
              <w:rPr>
                <w:sz w:val="20"/>
                <w:szCs w:val="20"/>
              </w:rPr>
            </w:pPr>
            <w:r>
              <w:rPr>
                <w:sz w:val="20"/>
                <w:szCs w:val="20"/>
              </w:rPr>
              <w:t>Machinery</w:t>
            </w:r>
          </w:p>
        </w:tc>
      </w:tr>
      <w:tr w:rsidR="007220DD" w:rsidRPr="00B70F65" w14:paraId="23028055" w14:textId="77777777" w:rsidTr="007220DD">
        <w:trPr>
          <w:jc w:val="center"/>
        </w:trPr>
        <w:tc>
          <w:tcPr>
            <w:tcW w:w="2785" w:type="dxa"/>
          </w:tcPr>
          <w:p w14:paraId="1AEE0B79" w14:textId="28140175" w:rsidR="007220DD" w:rsidRDefault="007220DD" w:rsidP="007220DD">
            <w:pPr>
              <w:jc w:val="center"/>
              <w:rPr>
                <w:sz w:val="20"/>
                <w:szCs w:val="20"/>
              </w:rPr>
            </w:pPr>
            <w:r>
              <w:rPr>
                <w:sz w:val="20"/>
                <w:szCs w:val="20"/>
              </w:rPr>
              <w:t>10</w:t>
            </w:r>
          </w:p>
        </w:tc>
        <w:tc>
          <w:tcPr>
            <w:tcW w:w="6565" w:type="dxa"/>
          </w:tcPr>
          <w:p w14:paraId="393AE225" w14:textId="05828442" w:rsidR="007220DD" w:rsidRPr="00B70F65" w:rsidRDefault="007220DD" w:rsidP="00561054">
            <w:pPr>
              <w:rPr>
                <w:sz w:val="20"/>
                <w:szCs w:val="20"/>
              </w:rPr>
            </w:pPr>
            <w:r>
              <w:rPr>
                <w:sz w:val="20"/>
                <w:szCs w:val="20"/>
              </w:rPr>
              <w:t>Transport equipment</w:t>
            </w:r>
          </w:p>
        </w:tc>
      </w:tr>
      <w:tr w:rsidR="007220DD" w:rsidRPr="00B70F65" w14:paraId="6F2E5AD8" w14:textId="77777777" w:rsidTr="007220DD">
        <w:trPr>
          <w:jc w:val="center"/>
        </w:trPr>
        <w:tc>
          <w:tcPr>
            <w:tcW w:w="2785" w:type="dxa"/>
          </w:tcPr>
          <w:p w14:paraId="3201FD05" w14:textId="6E0E1F18" w:rsidR="007220DD" w:rsidRDefault="007220DD" w:rsidP="007220DD">
            <w:pPr>
              <w:jc w:val="center"/>
              <w:rPr>
                <w:sz w:val="20"/>
                <w:szCs w:val="20"/>
              </w:rPr>
            </w:pPr>
            <w:r>
              <w:rPr>
                <w:sz w:val="20"/>
                <w:szCs w:val="20"/>
              </w:rPr>
              <w:t>11</w:t>
            </w:r>
          </w:p>
        </w:tc>
        <w:tc>
          <w:tcPr>
            <w:tcW w:w="6565" w:type="dxa"/>
          </w:tcPr>
          <w:p w14:paraId="11546EE1" w14:textId="64980388" w:rsidR="007220DD" w:rsidRPr="00B70F65" w:rsidRDefault="007220DD" w:rsidP="00561054">
            <w:pPr>
              <w:rPr>
                <w:sz w:val="20"/>
                <w:szCs w:val="20"/>
              </w:rPr>
            </w:pPr>
            <w:r>
              <w:rPr>
                <w:sz w:val="20"/>
                <w:szCs w:val="20"/>
              </w:rPr>
              <w:t>Non-specified (industry)</w:t>
            </w:r>
          </w:p>
        </w:tc>
      </w:tr>
      <w:tr w:rsidR="007220DD" w:rsidRPr="00B70F65" w14:paraId="5A09584F" w14:textId="77777777" w:rsidTr="007220DD">
        <w:trPr>
          <w:jc w:val="center"/>
        </w:trPr>
        <w:tc>
          <w:tcPr>
            <w:tcW w:w="2785" w:type="dxa"/>
          </w:tcPr>
          <w:p w14:paraId="605FF7A5" w14:textId="5B201CBE" w:rsidR="007220DD" w:rsidRDefault="007220DD" w:rsidP="007220DD">
            <w:pPr>
              <w:jc w:val="center"/>
              <w:rPr>
                <w:sz w:val="20"/>
                <w:szCs w:val="20"/>
              </w:rPr>
            </w:pPr>
            <w:r>
              <w:rPr>
                <w:sz w:val="20"/>
                <w:szCs w:val="20"/>
              </w:rPr>
              <w:t>12</w:t>
            </w:r>
          </w:p>
        </w:tc>
        <w:tc>
          <w:tcPr>
            <w:tcW w:w="6565" w:type="dxa"/>
          </w:tcPr>
          <w:p w14:paraId="5CAC536D" w14:textId="125BFD1E" w:rsidR="007220DD" w:rsidRPr="00B70F65" w:rsidRDefault="007220DD" w:rsidP="00561054">
            <w:pPr>
              <w:rPr>
                <w:sz w:val="20"/>
                <w:szCs w:val="20"/>
              </w:rPr>
            </w:pPr>
            <w:r>
              <w:rPr>
                <w:sz w:val="20"/>
                <w:szCs w:val="20"/>
              </w:rPr>
              <w:t>Transfers</w:t>
            </w:r>
          </w:p>
        </w:tc>
      </w:tr>
      <w:tr w:rsidR="007220DD" w:rsidRPr="00B70F65" w14:paraId="5597C35A" w14:textId="77777777" w:rsidTr="007220DD">
        <w:trPr>
          <w:jc w:val="center"/>
        </w:trPr>
        <w:tc>
          <w:tcPr>
            <w:tcW w:w="2785" w:type="dxa"/>
          </w:tcPr>
          <w:p w14:paraId="34A740DC" w14:textId="420201A7" w:rsidR="007220DD" w:rsidRDefault="007220DD" w:rsidP="007220DD">
            <w:pPr>
              <w:jc w:val="center"/>
              <w:rPr>
                <w:sz w:val="20"/>
                <w:szCs w:val="20"/>
              </w:rPr>
            </w:pPr>
            <w:r>
              <w:rPr>
                <w:sz w:val="20"/>
                <w:szCs w:val="20"/>
              </w:rPr>
              <w:t>13</w:t>
            </w:r>
          </w:p>
        </w:tc>
        <w:tc>
          <w:tcPr>
            <w:tcW w:w="6565" w:type="dxa"/>
          </w:tcPr>
          <w:p w14:paraId="0F6FF85D" w14:textId="42FFE90E" w:rsidR="007220DD" w:rsidRPr="00B70F65" w:rsidRDefault="007220DD" w:rsidP="00561054">
            <w:pPr>
              <w:rPr>
                <w:sz w:val="20"/>
                <w:szCs w:val="20"/>
              </w:rPr>
            </w:pPr>
            <w:r>
              <w:rPr>
                <w:sz w:val="20"/>
                <w:szCs w:val="20"/>
              </w:rPr>
              <w:t>Main activity producer electricity plants (transf.); Main activity producers heat plants (transf.)</w:t>
            </w:r>
          </w:p>
        </w:tc>
      </w:tr>
      <w:tr w:rsidR="007220DD" w:rsidRPr="00B70F65" w14:paraId="6CDB11CE" w14:textId="77777777" w:rsidTr="007220DD">
        <w:trPr>
          <w:jc w:val="center"/>
        </w:trPr>
        <w:tc>
          <w:tcPr>
            <w:tcW w:w="2785" w:type="dxa"/>
          </w:tcPr>
          <w:p w14:paraId="3A2E3D0C" w14:textId="252A6DA0" w:rsidR="007220DD" w:rsidRDefault="007220DD" w:rsidP="007220DD">
            <w:pPr>
              <w:jc w:val="center"/>
              <w:rPr>
                <w:sz w:val="20"/>
                <w:szCs w:val="20"/>
              </w:rPr>
            </w:pPr>
            <w:r>
              <w:rPr>
                <w:sz w:val="20"/>
                <w:szCs w:val="20"/>
              </w:rPr>
              <w:t>14</w:t>
            </w:r>
          </w:p>
        </w:tc>
        <w:tc>
          <w:tcPr>
            <w:tcW w:w="6565" w:type="dxa"/>
          </w:tcPr>
          <w:p w14:paraId="1AE8B7AC" w14:textId="55031EF1" w:rsidR="007220DD" w:rsidRPr="00B70F65" w:rsidRDefault="007220DD" w:rsidP="00561054">
            <w:pPr>
              <w:rPr>
                <w:sz w:val="20"/>
                <w:szCs w:val="20"/>
              </w:rPr>
            </w:pPr>
            <w:r>
              <w:rPr>
                <w:sz w:val="20"/>
                <w:szCs w:val="20"/>
              </w:rPr>
              <w:t>Construction</w:t>
            </w:r>
          </w:p>
        </w:tc>
      </w:tr>
      <w:tr w:rsidR="007220DD" w:rsidRPr="00B70F65" w14:paraId="6A5DB257" w14:textId="77777777" w:rsidTr="007220DD">
        <w:trPr>
          <w:jc w:val="center"/>
        </w:trPr>
        <w:tc>
          <w:tcPr>
            <w:tcW w:w="2785" w:type="dxa"/>
          </w:tcPr>
          <w:p w14:paraId="2B470140" w14:textId="3D940C1E" w:rsidR="007220DD" w:rsidRDefault="007220DD" w:rsidP="007220DD">
            <w:pPr>
              <w:jc w:val="center"/>
              <w:rPr>
                <w:sz w:val="20"/>
                <w:szCs w:val="20"/>
              </w:rPr>
            </w:pPr>
            <w:r>
              <w:rPr>
                <w:sz w:val="20"/>
                <w:szCs w:val="20"/>
              </w:rPr>
              <w:t>15</w:t>
            </w:r>
          </w:p>
        </w:tc>
        <w:tc>
          <w:tcPr>
            <w:tcW w:w="6565" w:type="dxa"/>
          </w:tcPr>
          <w:p w14:paraId="5E07C000" w14:textId="4A0D820B" w:rsidR="007220DD" w:rsidRPr="00B70F65" w:rsidRDefault="007220DD" w:rsidP="00561054">
            <w:pPr>
              <w:rPr>
                <w:sz w:val="20"/>
                <w:szCs w:val="20"/>
              </w:rPr>
            </w:pPr>
            <w:r>
              <w:rPr>
                <w:sz w:val="20"/>
                <w:szCs w:val="20"/>
              </w:rPr>
              <w:t>Commercial and public services</w:t>
            </w:r>
          </w:p>
        </w:tc>
      </w:tr>
      <w:tr w:rsidR="007220DD" w:rsidRPr="00B70F65" w14:paraId="20E0A71B" w14:textId="77777777" w:rsidTr="007220DD">
        <w:trPr>
          <w:jc w:val="center"/>
        </w:trPr>
        <w:tc>
          <w:tcPr>
            <w:tcW w:w="2785" w:type="dxa"/>
          </w:tcPr>
          <w:p w14:paraId="278F947D" w14:textId="1C3B185F" w:rsidR="007220DD" w:rsidRDefault="007220DD" w:rsidP="007220DD">
            <w:pPr>
              <w:jc w:val="center"/>
              <w:rPr>
                <w:sz w:val="20"/>
                <w:szCs w:val="20"/>
              </w:rPr>
            </w:pPr>
            <w:r>
              <w:rPr>
                <w:sz w:val="20"/>
                <w:szCs w:val="20"/>
              </w:rPr>
              <w:t>16</w:t>
            </w:r>
          </w:p>
        </w:tc>
        <w:tc>
          <w:tcPr>
            <w:tcW w:w="6565" w:type="dxa"/>
          </w:tcPr>
          <w:p w14:paraId="4A4053EE" w14:textId="0044758B" w:rsidR="007220DD" w:rsidRPr="00B70F65" w:rsidRDefault="007220DD" w:rsidP="00561054">
            <w:pPr>
              <w:rPr>
                <w:sz w:val="20"/>
                <w:szCs w:val="20"/>
              </w:rPr>
            </w:pPr>
            <w:r>
              <w:rPr>
                <w:sz w:val="20"/>
                <w:szCs w:val="20"/>
              </w:rPr>
              <w:t>[Not specified]</w:t>
            </w:r>
          </w:p>
        </w:tc>
      </w:tr>
      <w:tr w:rsidR="007220DD" w:rsidRPr="00B70F65" w14:paraId="142A30C1" w14:textId="77777777" w:rsidTr="007220DD">
        <w:trPr>
          <w:jc w:val="center"/>
        </w:trPr>
        <w:tc>
          <w:tcPr>
            <w:tcW w:w="2785" w:type="dxa"/>
          </w:tcPr>
          <w:p w14:paraId="657781E3" w14:textId="285F51E4" w:rsidR="007220DD" w:rsidRDefault="007220DD" w:rsidP="007220DD">
            <w:pPr>
              <w:jc w:val="center"/>
              <w:rPr>
                <w:sz w:val="20"/>
                <w:szCs w:val="20"/>
              </w:rPr>
            </w:pPr>
            <w:r>
              <w:rPr>
                <w:sz w:val="20"/>
                <w:szCs w:val="20"/>
              </w:rPr>
              <w:t>17</w:t>
            </w:r>
          </w:p>
        </w:tc>
        <w:tc>
          <w:tcPr>
            <w:tcW w:w="6565" w:type="dxa"/>
          </w:tcPr>
          <w:p w14:paraId="34BEBB74" w14:textId="31B571EE" w:rsidR="007220DD" w:rsidRPr="00B70F65" w:rsidRDefault="007220DD" w:rsidP="00561054">
            <w:pPr>
              <w:rPr>
                <w:sz w:val="20"/>
                <w:szCs w:val="20"/>
              </w:rPr>
            </w:pPr>
            <w:r>
              <w:rPr>
                <w:sz w:val="20"/>
                <w:szCs w:val="20"/>
              </w:rPr>
              <w:t>[Not specified]</w:t>
            </w:r>
          </w:p>
        </w:tc>
      </w:tr>
      <w:tr w:rsidR="007220DD" w:rsidRPr="00B70F65" w14:paraId="5B694A1D" w14:textId="77777777" w:rsidTr="007220DD">
        <w:trPr>
          <w:jc w:val="center"/>
        </w:trPr>
        <w:tc>
          <w:tcPr>
            <w:tcW w:w="2785" w:type="dxa"/>
          </w:tcPr>
          <w:p w14:paraId="319D06E6" w14:textId="75514BFB" w:rsidR="007220DD" w:rsidRDefault="007220DD" w:rsidP="007220DD">
            <w:pPr>
              <w:jc w:val="center"/>
              <w:rPr>
                <w:sz w:val="20"/>
                <w:szCs w:val="20"/>
              </w:rPr>
            </w:pPr>
            <w:r>
              <w:rPr>
                <w:sz w:val="20"/>
                <w:szCs w:val="20"/>
              </w:rPr>
              <w:t>18</w:t>
            </w:r>
          </w:p>
        </w:tc>
        <w:tc>
          <w:tcPr>
            <w:tcW w:w="6565" w:type="dxa"/>
          </w:tcPr>
          <w:p w14:paraId="701E7487" w14:textId="317E5CD0" w:rsidR="007220DD" w:rsidRPr="00B70F65" w:rsidRDefault="007220DD" w:rsidP="00561054">
            <w:pPr>
              <w:rPr>
                <w:sz w:val="20"/>
                <w:szCs w:val="20"/>
              </w:rPr>
            </w:pPr>
            <w:r>
              <w:rPr>
                <w:sz w:val="20"/>
                <w:szCs w:val="20"/>
              </w:rPr>
              <w:t>Commercial and public services</w:t>
            </w:r>
          </w:p>
        </w:tc>
      </w:tr>
      <w:tr w:rsidR="007220DD" w:rsidRPr="00B70F65" w14:paraId="32C8608B" w14:textId="77777777" w:rsidTr="007220DD">
        <w:trPr>
          <w:jc w:val="center"/>
        </w:trPr>
        <w:tc>
          <w:tcPr>
            <w:tcW w:w="2785" w:type="dxa"/>
          </w:tcPr>
          <w:p w14:paraId="714D2A1A" w14:textId="15AF1756" w:rsidR="007220DD" w:rsidRDefault="007220DD" w:rsidP="007220DD">
            <w:pPr>
              <w:jc w:val="center"/>
              <w:rPr>
                <w:sz w:val="20"/>
                <w:szCs w:val="20"/>
              </w:rPr>
            </w:pPr>
            <w:r>
              <w:rPr>
                <w:sz w:val="20"/>
                <w:szCs w:val="20"/>
              </w:rPr>
              <w:t>19</w:t>
            </w:r>
          </w:p>
        </w:tc>
        <w:tc>
          <w:tcPr>
            <w:tcW w:w="6565" w:type="dxa"/>
          </w:tcPr>
          <w:p w14:paraId="3855130B" w14:textId="58820EB9" w:rsidR="007220DD" w:rsidRPr="00B70F65" w:rsidRDefault="007220DD" w:rsidP="00561054">
            <w:pPr>
              <w:rPr>
                <w:sz w:val="20"/>
                <w:szCs w:val="20"/>
              </w:rPr>
            </w:pPr>
            <w:r>
              <w:rPr>
                <w:sz w:val="20"/>
                <w:szCs w:val="20"/>
              </w:rPr>
              <w:t>Transport</w:t>
            </w:r>
          </w:p>
        </w:tc>
      </w:tr>
      <w:tr w:rsidR="007220DD" w:rsidRPr="00B70F65" w14:paraId="19C61CC0" w14:textId="77777777" w:rsidTr="007220DD">
        <w:trPr>
          <w:jc w:val="center"/>
        </w:trPr>
        <w:tc>
          <w:tcPr>
            <w:tcW w:w="2785" w:type="dxa"/>
          </w:tcPr>
          <w:p w14:paraId="4C2C7C47" w14:textId="343185BF" w:rsidR="007220DD" w:rsidRDefault="007220DD" w:rsidP="007220DD">
            <w:pPr>
              <w:jc w:val="center"/>
              <w:rPr>
                <w:sz w:val="20"/>
                <w:szCs w:val="20"/>
              </w:rPr>
            </w:pPr>
            <w:r>
              <w:rPr>
                <w:sz w:val="20"/>
                <w:szCs w:val="20"/>
              </w:rPr>
              <w:t>20</w:t>
            </w:r>
          </w:p>
        </w:tc>
        <w:tc>
          <w:tcPr>
            <w:tcW w:w="6565" w:type="dxa"/>
          </w:tcPr>
          <w:p w14:paraId="61A88A14" w14:textId="57BB639E" w:rsidR="007220DD" w:rsidRPr="00B70F65" w:rsidRDefault="007220DD" w:rsidP="00561054">
            <w:pPr>
              <w:rPr>
                <w:sz w:val="20"/>
                <w:szCs w:val="20"/>
              </w:rPr>
            </w:pPr>
            <w:r>
              <w:rPr>
                <w:sz w:val="20"/>
                <w:szCs w:val="20"/>
              </w:rPr>
              <w:t>Commercial and public services</w:t>
            </w:r>
          </w:p>
        </w:tc>
      </w:tr>
      <w:tr w:rsidR="007220DD" w:rsidRPr="00B70F65" w14:paraId="0751E62C" w14:textId="77777777" w:rsidTr="007220DD">
        <w:trPr>
          <w:jc w:val="center"/>
        </w:trPr>
        <w:tc>
          <w:tcPr>
            <w:tcW w:w="2785" w:type="dxa"/>
          </w:tcPr>
          <w:p w14:paraId="6049B269" w14:textId="676B1684" w:rsidR="007220DD" w:rsidRDefault="007220DD" w:rsidP="007220DD">
            <w:pPr>
              <w:jc w:val="center"/>
              <w:rPr>
                <w:sz w:val="20"/>
                <w:szCs w:val="20"/>
              </w:rPr>
            </w:pPr>
            <w:r>
              <w:rPr>
                <w:sz w:val="20"/>
                <w:szCs w:val="20"/>
              </w:rPr>
              <w:t>21</w:t>
            </w:r>
          </w:p>
        </w:tc>
        <w:tc>
          <w:tcPr>
            <w:tcW w:w="6565" w:type="dxa"/>
          </w:tcPr>
          <w:p w14:paraId="064E5CFC" w14:textId="4AE97CE3" w:rsidR="007220DD" w:rsidRPr="00B70F65" w:rsidRDefault="007220DD" w:rsidP="00561054">
            <w:pPr>
              <w:rPr>
                <w:sz w:val="20"/>
                <w:szCs w:val="20"/>
              </w:rPr>
            </w:pPr>
            <w:r>
              <w:rPr>
                <w:sz w:val="20"/>
                <w:szCs w:val="20"/>
              </w:rPr>
              <w:t>Commercial and public services</w:t>
            </w:r>
          </w:p>
        </w:tc>
      </w:tr>
      <w:tr w:rsidR="007220DD" w:rsidRPr="00B70F65" w14:paraId="649A834E" w14:textId="77777777" w:rsidTr="007220DD">
        <w:trPr>
          <w:jc w:val="center"/>
        </w:trPr>
        <w:tc>
          <w:tcPr>
            <w:tcW w:w="2785" w:type="dxa"/>
          </w:tcPr>
          <w:p w14:paraId="6BF7E96B" w14:textId="7B3AF509" w:rsidR="007220DD" w:rsidRDefault="007220DD" w:rsidP="007220DD">
            <w:pPr>
              <w:jc w:val="center"/>
              <w:rPr>
                <w:sz w:val="20"/>
                <w:szCs w:val="20"/>
              </w:rPr>
            </w:pPr>
            <w:r>
              <w:rPr>
                <w:sz w:val="20"/>
                <w:szCs w:val="20"/>
              </w:rPr>
              <w:t>22</w:t>
            </w:r>
          </w:p>
        </w:tc>
        <w:tc>
          <w:tcPr>
            <w:tcW w:w="6565" w:type="dxa"/>
          </w:tcPr>
          <w:p w14:paraId="20C299FF" w14:textId="7A68FE28" w:rsidR="007220DD" w:rsidRPr="00B70F65" w:rsidRDefault="007220DD" w:rsidP="00561054">
            <w:pPr>
              <w:rPr>
                <w:sz w:val="20"/>
                <w:szCs w:val="20"/>
              </w:rPr>
            </w:pPr>
            <w:r>
              <w:rPr>
                <w:sz w:val="20"/>
                <w:szCs w:val="20"/>
              </w:rPr>
              <w:t>Commercial and public services</w:t>
            </w:r>
          </w:p>
        </w:tc>
      </w:tr>
      <w:tr w:rsidR="007220DD" w:rsidRPr="00B70F65" w14:paraId="5A18EA85" w14:textId="77777777" w:rsidTr="007220DD">
        <w:trPr>
          <w:jc w:val="center"/>
        </w:trPr>
        <w:tc>
          <w:tcPr>
            <w:tcW w:w="2785" w:type="dxa"/>
          </w:tcPr>
          <w:p w14:paraId="16AC45F8" w14:textId="210A847C" w:rsidR="007220DD" w:rsidRDefault="007220DD" w:rsidP="007220DD">
            <w:pPr>
              <w:jc w:val="center"/>
              <w:rPr>
                <w:sz w:val="20"/>
                <w:szCs w:val="20"/>
              </w:rPr>
            </w:pPr>
            <w:r>
              <w:rPr>
                <w:sz w:val="20"/>
                <w:szCs w:val="20"/>
              </w:rPr>
              <w:t>23</w:t>
            </w:r>
          </w:p>
        </w:tc>
        <w:tc>
          <w:tcPr>
            <w:tcW w:w="6565" w:type="dxa"/>
          </w:tcPr>
          <w:p w14:paraId="6A04ED85" w14:textId="28EB41BD" w:rsidR="007220DD" w:rsidRPr="00B70F65" w:rsidRDefault="007220DD" w:rsidP="00561054">
            <w:pPr>
              <w:rPr>
                <w:sz w:val="20"/>
                <w:szCs w:val="20"/>
              </w:rPr>
            </w:pPr>
            <w:r>
              <w:rPr>
                <w:sz w:val="20"/>
                <w:szCs w:val="20"/>
              </w:rPr>
              <w:t>Commercial and public services</w:t>
            </w:r>
          </w:p>
        </w:tc>
      </w:tr>
      <w:tr w:rsidR="007220DD" w:rsidRPr="00B70F65" w14:paraId="18CC0ABB" w14:textId="77777777" w:rsidTr="007220DD">
        <w:trPr>
          <w:jc w:val="center"/>
        </w:trPr>
        <w:tc>
          <w:tcPr>
            <w:tcW w:w="2785" w:type="dxa"/>
          </w:tcPr>
          <w:p w14:paraId="08E9DD0B" w14:textId="4F1F6198" w:rsidR="007220DD" w:rsidRDefault="007220DD" w:rsidP="007220DD">
            <w:pPr>
              <w:jc w:val="center"/>
              <w:rPr>
                <w:sz w:val="20"/>
                <w:szCs w:val="20"/>
              </w:rPr>
            </w:pPr>
            <w:r>
              <w:rPr>
                <w:sz w:val="20"/>
                <w:szCs w:val="20"/>
              </w:rPr>
              <w:t>24</w:t>
            </w:r>
          </w:p>
        </w:tc>
        <w:tc>
          <w:tcPr>
            <w:tcW w:w="6565" w:type="dxa"/>
          </w:tcPr>
          <w:p w14:paraId="0ED1919E" w14:textId="18E07880" w:rsidR="007220DD" w:rsidRPr="00B70F65" w:rsidRDefault="007220DD" w:rsidP="00561054">
            <w:pPr>
              <w:rPr>
                <w:sz w:val="20"/>
                <w:szCs w:val="20"/>
              </w:rPr>
            </w:pPr>
            <w:r>
              <w:rPr>
                <w:sz w:val="20"/>
                <w:szCs w:val="20"/>
              </w:rPr>
              <w:t>[Not specified]</w:t>
            </w:r>
          </w:p>
        </w:tc>
      </w:tr>
      <w:tr w:rsidR="007220DD" w:rsidRPr="00B70F65" w14:paraId="6C0923BA" w14:textId="77777777" w:rsidTr="007220DD">
        <w:trPr>
          <w:jc w:val="center"/>
        </w:trPr>
        <w:tc>
          <w:tcPr>
            <w:tcW w:w="2785" w:type="dxa"/>
          </w:tcPr>
          <w:p w14:paraId="0955CC37" w14:textId="44AAAB5E" w:rsidR="007220DD" w:rsidRDefault="007220DD" w:rsidP="007220DD">
            <w:pPr>
              <w:jc w:val="center"/>
              <w:rPr>
                <w:sz w:val="20"/>
                <w:szCs w:val="20"/>
              </w:rPr>
            </w:pPr>
            <w:r>
              <w:rPr>
                <w:sz w:val="20"/>
                <w:szCs w:val="20"/>
              </w:rPr>
              <w:t>25</w:t>
            </w:r>
          </w:p>
        </w:tc>
        <w:tc>
          <w:tcPr>
            <w:tcW w:w="6565" w:type="dxa"/>
          </w:tcPr>
          <w:p w14:paraId="3B8803DE" w14:textId="767B9373" w:rsidR="007220DD" w:rsidRPr="00B70F65" w:rsidRDefault="007220DD" w:rsidP="00561054">
            <w:pPr>
              <w:rPr>
                <w:sz w:val="20"/>
                <w:szCs w:val="20"/>
              </w:rPr>
            </w:pPr>
            <w:r>
              <w:rPr>
                <w:sz w:val="20"/>
                <w:szCs w:val="20"/>
              </w:rPr>
              <w:t>[Not specified]</w:t>
            </w:r>
          </w:p>
        </w:tc>
      </w:tr>
      <w:tr w:rsidR="007220DD" w:rsidRPr="00B70F65" w14:paraId="08888EDC" w14:textId="77777777" w:rsidTr="007220DD">
        <w:trPr>
          <w:jc w:val="center"/>
        </w:trPr>
        <w:tc>
          <w:tcPr>
            <w:tcW w:w="2785" w:type="dxa"/>
          </w:tcPr>
          <w:p w14:paraId="35AC8CBC" w14:textId="72E2CF83" w:rsidR="007220DD" w:rsidRDefault="007220DD" w:rsidP="007220DD">
            <w:pPr>
              <w:jc w:val="center"/>
              <w:rPr>
                <w:sz w:val="20"/>
                <w:szCs w:val="20"/>
              </w:rPr>
            </w:pPr>
            <w:r>
              <w:rPr>
                <w:sz w:val="20"/>
                <w:szCs w:val="20"/>
              </w:rPr>
              <w:t>26</w:t>
            </w:r>
          </w:p>
        </w:tc>
        <w:tc>
          <w:tcPr>
            <w:tcW w:w="6565" w:type="dxa"/>
          </w:tcPr>
          <w:p w14:paraId="379FCD02" w14:textId="7DD49185" w:rsidR="007220DD" w:rsidRPr="00B70F65" w:rsidRDefault="007220DD" w:rsidP="00561054">
            <w:pPr>
              <w:rPr>
                <w:sz w:val="20"/>
                <w:szCs w:val="20"/>
              </w:rPr>
            </w:pPr>
            <w:r>
              <w:rPr>
                <w:sz w:val="20"/>
                <w:szCs w:val="20"/>
              </w:rPr>
              <w:t>[Not specified]</w:t>
            </w:r>
          </w:p>
        </w:tc>
      </w:tr>
    </w:tbl>
    <w:p w14:paraId="147F883B" w14:textId="7B99FA06" w:rsidR="005569B4" w:rsidRDefault="005569B4" w:rsidP="005569B4"/>
    <w:p w14:paraId="5D19BA07" w14:textId="3F029681" w:rsidR="005569B4" w:rsidRDefault="005569B4" w:rsidP="005569B4"/>
    <w:p w14:paraId="6154A548" w14:textId="0755B3DF" w:rsidR="005569B4" w:rsidRDefault="005569B4" w:rsidP="005569B4"/>
    <w:p w14:paraId="7DE21706" w14:textId="659A370A" w:rsidR="005569B4" w:rsidRDefault="005569B4" w:rsidP="005569B4"/>
    <w:p w14:paraId="683E7031" w14:textId="3E6307C7" w:rsidR="005569B4" w:rsidRDefault="005569B4" w:rsidP="005569B4"/>
    <w:p w14:paraId="782E406C" w14:textId="77777777" w:rsidR="005569B4" w:rsidRPr="005569B4" w:rsidRDefault="005569B4" w:rsidP="005569B4"/>
    <w:p w14:paraId="53F1C701" w14:textId="15703668" w:rsidR="007220DD" w:rsidRDefault="007220DD" w:rsidP="007220DD">
      <w:pPr>
        <w:pStyle w:val="Heading1"/>
      </w:pPr>
      <w:bookmarkStart w:id="2" w:name="_Toc41047417"/>
      <w:r>
        <w:lastRenderedPageBreak/>
        <w:t>3</w:t>
      </w:r>
      <w:r>
        <w:tab/>
      </w:r>
      <w:r w:rsidR="00561054">
        <w:t>Energy types in IEA-HOMIES</w:t>
      </w:r>
      <w:bookmarkEnd w:id="2"/>
    </w:p>
    <w:p w14:paraId="6C278B58" w14:textId="4419A20F" w:rsidR="00561054" w:rsidRDefault="00561054" w:rsidP="00561054"/>
    <w:tbl>
      <w:tblPr>
        <w:tblStyle w:val="TableGrid"/>
        <w:tblW w:w="0" w:type="auto"/>
        <w:jc w:val="center"/>
        <w:tblBorders>
          <w:insideV w:val="none" w:sz="0" w:space="0" w:color="auto"/>
        </w:tblBorders>
        <w:tblLook w:val="04A0" w:firstRow="1" w:lastRow="0" w:firstColumn="1" w:lastColumn="0" w:noHBand="0" w:noVBand="1"/>
      </w:tblPr>
      <w:tblGrid>
        <w:gridCol w:w="3600"/>
        <w:gridCol w:w="4495"/>
      </w:tblGrid>
      <w:tr w:rsidR="00561054" w:rsidRPr="003C4918" w14:paraId="03CA9410" w14:textId="77777777" w:rsidTr="00FA2175">
        <w:trPr>
          <w:jc w:val="center"/>
        </w:trPr>
        <w:tc>
          <w:tcPr>
            <w:tcW w:w="3600" w:type="dxa"/>
            <w:shd w:val="clear" w:color="auto" w:fill="D9D9D9" w:themeFill="background1" w:themeFillShade="D9"/>
          </w:tcPr>
          <w:p w14:paraId="70042F8D" w14:textId="44F39E03" w:rsidR="00561054" w:rsidRPr="003C4918" w:rsidRDefault="00561054" w:rsidP="00561054">
            <w:pPr>
              <w:jc w:val="center"/>
              <w:rPr>
                <w:b/>
                <w:sz w:val="20"/>
                <w:szCs w:val="20"/>
              </w:rPr>
            </w:pPr>
            <w:r>
              <w:rPr>
                <w:b/>
                <w:sz w:val="20"/>
                <w:szCs w:val="20"/>
              </w:rPr>
              <w:t>HOMIES</w:t>
            </w:r>
          </w:p>
        </w:tc>
        <w:tc>
          <w:tcPr>
            <w:tcW w:w="4495" w:type="dxa"/>
            <w:shd w:val="clear" w:color="auto" w:fill="D9D9D9" w:themeFill="background1" w:themeFillShade="D9"/>
          </w:tcPr>
          <w:p w14:paraId="6BA133F9" w14:textId="786B1454" w:rsidR="00561054" w:rsidRPr="003C4918" w:rsidRDefault="00561054" w:rsidP="00561054">
            <w:pPr>
              <w:jc w:val="center"/>
              <w:rPr>
                <w:b/>
                <w:sz w:val="20"/>
                <w:szCs w:val="20"/>
              </w:rPr>
            </w:pPr>
            <w:r>
              <w:rPr>
                <w:b/>
                <w:sz w:val="20"/>
                <w:szCs w:val="20"/>
              </w:rPr>
              <w:t>IEA</w:t>
            </w:r>
          </w:p>
        </w:tc>
      </w:tr>
      <w:tr w:rsidR="00561054" w:rsidRPr="003C4918" w14:paraId="2E55503D" w14:textId="77777777" w:rsidTr="00FA2175">
        <w:trPr>
          <w:jc w:val="center"/>
        </w:trPr>
        <w:tc>
          <w:tcPr>
            <w:tcW w:w="3600" w:type="dxa"/>
            <w:shd w:val="clear" w:color="auto" w:fill="FFFFFF" w:themeFill="background1"/>
          </w:tcPr>
          <w:p w14:paraId="0D9ED247" w14:textId="48632436" w:rsidR="00561054" w:rsidRPr="003C4918" w:rsidRDefault="00FA2175" w:rsidP="00561054">
            <w:pPr>
              <w:jc w:val="center"/>
              <w:rPr>
                <w:sz w:val="20"/>
                <w:szCs w:val="20"/>
              </w:rPr>
            </w:pPr>
            <w:r>
              <w:rPr>
                <w:sz w:val="20"/>
                <w:szCs w:val="20"/>
              </w:rPr>
              <w:t>Coal</w:t>
            </w:r>
          </w:p>
        </w:tc>
        <w:tc>
          <w:tcPr>
            <w:tcW w:w="4495" w:type="dxa"/>
            <w:shd w:val="clear" w:color="auto" w:fill="FFFFFF" w:themeFill="background1"/>
          </w:tcPr>
          <w:p w14:paraId="20F5A491" w14:textId="113F57B8" w:rsidR="00561054" w:rsidRPr="003C4918" w:rsidRDefault="00FA2175" w:rsidP="00FA2175">
            <w:pPr>
              <w:rPr>
                <w:sz w:val="20"/>
                <w:szCs w:val="20"/>
              </w:rPr>
            </w:pPr>
            <w:r>
              <w:rPr>
                <w:sz w:val="20"/>
                <w:szCs w:val="20"/>
              </w:rPr>
              <w:t>Coal mines (energy)</w:t>
            </w:r>
          </w:p>
        </w:tc>
      </w:tr>
      <w:tr w:rsidR="00561054" w:rsidRPr="003C4918" w14:paraId="6341DEC7" w14:textId="77777777" w:rsidTr="00FA2175">
        <w:trPr>
          <w:jc w:val="center"/>
        </w:trPr>
        <w:tc>
          <w:tcPr>
            <w:tcW w:w="3600" w:type="dxa"/>
            <w:shd w:val="clear" w:color="auto" w:fill="FFFFFF" w:themeFill="background1"/>
          </w:tcPr>
          <w:p w14:paraId="19F412DF" w14:textId="52DAD5D0" w:rsidR="00561054" w:rsidRPr="003C4918" w:rsidRDefault="00FA2175" w:rsidP="00561054">
            <w:pPr>
              <w:jc w:val="center"/>
              <w:rPr>
                <w:sz w:val="20"/>
                <w:szCs w:val="20"/>
              </w:rPr>
            </w:pPr>
            <w:r>
              <w:rPr>
                <w:sz w:val="20"/>
                <w:szCs w:val="20"/>
              </w:rPr>
              <w:t>Crude Oil</w:t>
            </w:r>
          </w:p>
        </w:tc>
        <w:tc>
          <w:tcPr>
            <w:tcW w:w="4495" w:type="dxa"/>
            <w:shd w:val="clear" w:color="auto" w:fill="FFFFFF" w:themeFill="background1"/>
          </w:tcPr>
          <w:p w14:paraId="4384BF44" w14:textId="66738A10" w:rsidR="00561054" w:rsidRPr="003C4918" w:rsidRDefault="00FA2175" w:rsidP="00FA2175">
            <w:pPr>
              <w:rPr>
                <w:sz w:val="20"/>
                <w:szCs w:val="20"/>
              </w:rPr>
            </w:pPr>
            <w:r>
              <w:rPr>
                <w:sz w:val="20"/>
                <w:szCs w:val="20"/>
              </w:rPr>
              <w:t>Oil and gas extraction (energy) (scaled)</w:t>
            </w:r>
          </w:p>
        </w:tc>
      </w:tr>
      <w:tr w:rsidR="00561054" w:rsidRPr="003C4918" w14:paraId="5A451B47" w14:textId="77777777" w:rsidTr="00FA2175">
        <w:trPr>
          <w:jc w:val="center"/>
        </w:trPr>
        <w:tc>
          <w:tcPr>
            <w:tcW w:w="3600" w:type="dxa"/>
            <w:shd w:val="clear" w:color="auto" w:fill="FFFFFF" w:themeFill="background1"/>
          </w:tcPr>
          <w:p w14:paraId="710C6BAE" w14:textId="5BAED873" w:rsidR="00561054" w:rsidRPr="003C4918" w:rsidRDefault="00FA2175" w:rsidP="00561054">
            <w:pPr>
              <w:jc w:val="center"/>
              <w:rPr>
                <w:sz w:val="20"/>
                <w:szCs w:val="20"/>
              </w:rPr>
            </w:pPr>
            <w:r>
              <w:rPr>
                <w:sz w:val="20"/>
                <w:szCs w:val="20"/>
              </w:rPr>
              <w:t>Bioenergy</w:t>
            </w:r>
          </w:p>
        </w:tc>
        <w:tc>
          <w:tcPr>
            <w:tcW w:w="4495" w:type="dxa"/>
            <w:shd w:val="clear" w:color="auto" w:fill="FFFFFF" w:themeFill="background1"/>
          </w:tcPr>
          <w:p w14:paraId="048BE7ED" w14:textId="106AA430" w:rsidR="00561054" w:rsidRPr="003C4918" w:rsidRDefault="00FA2175" w:rsidP="00FA2175">
            <w:pPr>
              <w:rPr>
                <w:sz w:val="20"/>
                <w:szCs w:val="20"/>
              </w:rPr>
            </w:pPr>
            <w:r>
              <w:rPr>
                <w:sz w:val="20"/>
                <w:szCs w:val="20"/>
              </w:rPr>
              <w:t>Agriculture (scaled)</w:t>
            </w:r>
          </w:p>
        </w:tc>
      </w:tr>
      <w:tr w:rsidR="00561054" w:rsidRPr="003C4918" w14:paraId="349301F5" w14:textId="77777777" w:rsidTr="00FA2175">
        <w:trPr>
          <w:jc w:val="center"/>
        </w:trPr>
        <w:tc>
          <w:tcPr>
            <w:tcW w:w="3600" w:type="dxa"/>
            <w:shd w:val="clear" w:color="auto" w:fill="FFFFFF" w:themeFill="background1"/>
          </w:tcPr>
          <w:p w14:paraId="2834552D" w14:textId="6149974B" w:rsidR="00561054" w:rsidRPr="003C4918" w:rsidRDefault="00FA2175" w:rsidP="00561054">
            <w:pPr>
              <w:jc w:val="center"/>
              <w:rPr>
                <w:sz w:val="20"/>
                <w:szCs w:val="20"/>
              </w:rPr>
            </w:pPr>
            <w:r>
              <w:rPr>
                <w:sz w:val="20"/>
                <w:szCs w:val="20"/>
              </w:rPr>
              <w:t>Natural Gas</w:t>
            </w:r>
          </w:p>
        </w:tc>
        <w:tc>
          <w:tcPr>
            <w:tcW w:w="4495" w:type="dxa"/>
            <w:shd w:val="clear" w:color="auto" w:fill="FFFFFF" w:themeFill="background1"/>
          </w:tcPr>
          <w:p w14:paraId="7AB465C7" w14:textId="3DB17B1E" w:rsidR="00561054" w:rsidRPr="003C4918" w:rsidRDefault="00FA2175" w:rsidP="00FA2175">
            <w:pPr>
              <w:rPr>
                <w:sz w:val="20"/>
                <w:szCs w:val="20"/>
              </w:rPr>
            </w:pPr>
            <w:r>
              <w:rPr>
                <w:sz w:val="20"/>
                <w:szCs w:val="20"/>
              </w:rPr>
              <w:t>Oil and gas extraction (energy) (scaled)</w:t>
            </w:r>
          </w:p>
        </w:tc>
      </w:tr>
      <w:tr w:rsidR="00561054" w:rsidRPr="003C4918" w14:paraId="03C89D81" w14:textId="77777777" w:rsidTr="00FA2175">
        <w:trPr>
          <w:jc w:val="center"/>
        </w:trPr>
        <w:tc>
          <w:tcPr>
            <w:tcW w:w="3600" w:type="dxa"/>
            <w:shd w:val="clear" w:color="auto" w:fill="FFFFFF" w:themeFill="background1"/>
          </w:tcPr>
          <w:p w14:paraId="06BED4F8" w14:textId="43BF3F5D" w:rsidR="00561054" w:rsidRPr="003C4918" w:rsidRDefault="00FA2175" w:rsidP="00561054">
            <w:pPr>
              <w:jc w:val="center"/>
              <w:rPr>
                <w:sz w:val="20"/>
                <w:szCs w:val="20"/>
              </w:rPr>
            </w:pPr>
            <w:r>
              <w:rPr>
                <w:sz w:val="20"/>
                <w:szCs w:val="20"/>
              </w:rPr>
              <w:t>Uranium</w:t>
            </w:r>
          </w:p>
        </w:tc>
        <w:tc>
          <w:tcPr>
            <w:tcW w:w="4495" w:type="dxa"/>
            <w:shd w:val="clear" w:color="auto" w:fill="FFFFFF" w:themeFill="background1"/>
          </w:tcPr>
          <w:p w14:paraId="61FCF413" w14:textId="554AC055" w:rsidR="00561054" w:rsidRPr="003C4918" w:rsidRDefault="00FA2175" w:rsidP="00FA2175">
            <w:pPr>
              <w:rPr>
                <w:sz w:val="20"/>
                <w:szCs w:val="20"/>
              </w:rPr>
            </w:pPr>
            <w:r>
              <w:rPr>
                <w:sz w:val="20"/>
                <w:szCs w:val="20"/>
              </w:rPr>
              <w:t>Nuclear industry</w:t>
            </w:r>
          </w:p>
        </w:tc>
      </w:tr>
      <w:tr w:rsidR="00561054" w:rsidRPr="003C4918" w14:paraId="7EAB15BA" w14:textId="77777777" w:rsidTr="00FA2175">
        <w:trPr>
          <w:jc w:val="center"/>
        </w:trPr>
        <w:tc>
          <w:tcPr>
            <w:tcW w:w="3600" w:type="dxa"/>
            <w:shd w:val="clear" w:color="auto" w:fill="FFFFFF" w:themeFill="background1"/>
          </w:tcPr>
          <w:p w14:paraId="424F1589" w14:textId="6FCF8DC6" w:rsidR="00561054" w:rsidRPr="003C4918" w:rsidRDefault="00FA2175" w:rsidP="00561054">
            <w:pPr>
              <w:jc w:val="center"/>
              <w:rPr>
                <w:sz w:val="20"/>
                <w:szCs w:val="20"/>
              </w:rPr>
            </w:pPr>
            <w:r>
              <w:rPr>
                <w:sz w:val="20"/>
                <w:szCs w:val="20"/>
              </w:rPr>
              <w:t>Hydro (Water)</w:t>
            </w:r>
          </w:p>
        </w:tc>
        <w:tc>
          <w:tcPr>
            <w:tcW w:w="4495" w:type="dxa"/>
            <w:shd w:val="clear" w:color="auto" w:fill="FFFFFF" w:themeFill="background1"/>
          </w:tcPr>
          <w:p w14:paraId="6EFA0108" w14:textId="7C186B01" w:rsidR="00561054" w:rsidRPr="003C4918" w:rsidRDefault="00FA2175" w:rsidP="00FA2175">
            <w:pPr>
              <w:rPr>
                <w:sz w:val="20"/>
                <w:szCs w:val="20"/>
              </w:rPr>
            </w:pPr>
            <w:r>
              <w:rPr>
                <w:sz w:val="20"/>
                <w:szCs w:val="20"/>
              </w:rPr>
              <w:t>N/A</w:t>
            </w:r>
          </w:p>
        </w:tc>
      </w:tr>
      <w:tr w:rsidR="00561054" w:rsidRPr="003C4918" w14:paraId="3D551DC1" w14:textId="77777777" w:rsidTr="00FA2175">
        <w:trPr>
          <w:jc w:val="center"/>
        </w:trPr>
        <w:tc>
          <w:tcPr>
            <w:tcW w:w="3600" w:type="dxa"/>
            <w:shd w:val="clear" w:color="auto" w:fill="FFFFFF" w:themeFill="background1"/>
          </w:tcPr>
          <w:p w14:paraId="046D7443" w14:textId="712CB738" w:rsidR="00561054" w:rsidRPr="003C4918" w:rsidRDefault="00FA2175" w:rsidP="00561054">
            <w:pPr>
              <w:jc w:val="center"/>
              <w:rPr>
                <w:sz w:val="20"/>
                <w:szCs w:val="20"/>
              </w:rPr>
            </w:pPr>
            <w:r>
              <w:rPr>
                <w:sz w:val="20"/>
                <w:szCs w:val="20"/>
              </w:rPr>
              <w:t>Fossil-fuel based electricity</w:t>
            </w:r>
          </w:p>
        </w:tc>
        <w:tc>
          <w:tcPr>
            <w:tcW w:w="4495" w:type="dxa"/>
            <w:shd w:val="clear" w:color="auto" w:fill="FFFFFF" w:themeFill="background1"/>
          </w:tcPr>
          <w:p w14:paraId="7611F332" w14:textId="5AFBD739" w:rsidR="00561054" w:rsidRPr="003C4918" w:rsidRDefault="00FA2175" w:rsidP="00FA2175">
            <w:pPr>
              <w:rPr>
                <w:sz w:val="20"/>
                <w:szCs w:val="20"/>
              </w:rPr>
            </w:pPr>
            <w:r>
              <w:rPr>
                <w:sz w:val="20"/>
                <w:szCs w:val="20"/>
              </w:rPr>
              <w:t>Main activity producer electricity plants (transf.)</w:t>
            </w:r>
          </w:p>
        </w:tc>
      </w:tr>
      <w:tr w:rsidR="00FA2175" w:rsidRPr="003C4918" w14:paraId="30B0B83B" w14:textId="77777777" w:rsidTr="00FA2175">
        <w:trPr>
          <w:jc w:val="center"/>
        </w:trPr>
        <w:tc>
          <w:tcPr>
            <w:tcW w:w="3600" w:type="dxa"/>
            <w:shd w:val="clear" w:color="auto" w:fill="FFFFFF" w:themeFill="background1"/>
          </w:tcPr>
          <w:p w14:paraId="05635B78" w14:textId="237EDEEF" w:rsidR="00FA2175" w:rsidRPr="003C4918" w:rsidRDefault="00FA2175" w:rsidP="00FA2175">
            <w:pPr>
              <w:jc w:val="center"/>
              <w:rPr>
                <w:sz w:val="20"/>
                <w:szCs w:val="20"/>
              </w:rPr>
            </w:pPr>
            <w:r>
              <w:rPr>
                <w:sz w:val="20"/>
                <w:szCs w:val="20"/>
              </w:rPr>
              <w:t>Nuclear-based electricity</w:t>
            </w:r>
          </w:p>
        </w:tc>
        <w:tc>
          <w:tcPr>
            <w:tcW w:w="4495" w:type="dxa"/>
            <w:shd w:val="clear" w:color="auto" w:fill="FFFFFF" w:themeFill="background1"/>
          </w:tcPr>
          <w:p w14:paraId="4FB8C2B7" w14:textId="1A886E0D" w:rsidR="00FA2175" w:rsidRPr="003C4918" w:rsidRDefault="00FA2175" w:rsidP="00FA2175">
            <w:pPr>
              <w:rPr>
                <w:sz w:val="20"/>
                <w:szCs w:val="20"/>
              </w:rPr>
            </w:pPr>
            <w:r>
              <w:rPr>
                <w:sz w:val="20"/>
                <w:szCs w:val="20"/>
              </w:rPr>
              <w:t>Main activity producer electricity plants (transf.)</w:t>
            </w:r>
          </w:p>
        </w:tc>
      </w:tr>
      <w:tr w:rsidR="00FA2175" w:rsidRPr="003C4918" w14:paraId="78F911C8" w14:textId="77777777" w:rsidTr="00FA2175">
        <w:trPr>
          <w:jc w:val="center"/>
        </w:trPr>
        <w:tc>
          <w:tcPr>
            <w:tcW w:w="3600" w:type="dxa"/>
            <w:shd w:val="clear" w:color="auto" w:fill="FFFFFF" w:themeFill="background1"/>
          </w:tcPr>
          <w:p w14:paraId="06986E9A" w14:textId="2226B1A5" w:rsidR="00FA2175" w:rsidRPr="003C4918" w:rsidRDefault="00FA2175" w:rsidP="00FA2175">
            <w:pPr>
              <w:jc w:val="center"/>
              <w:rPr>
                <w:sz w:val="20"/>
                <w:szCs w:val="20"/>
              </w:rPr>
            </w:pPr>
            <w:r>
              <w:rPr>
                <w:sz w:val="20"/>
                <w:szCs w:val="20"/>
              </w:rPr>
              <w:t>Hydro-based electricity</w:t>
            </w:r>
          </w:p>
        </w:tc>
        <w:tc>
          <w:tcPr>
            <w:tcW w:w="4495" w:type="dxa"/>
            <w:shd w:val="clear" w:color="auto" w:fill="FFFFFF" w:themeFill="background1"/>
          </w:tcPr>
          <w:p w14:paraId="20D7C225" w14:textId="2BFF2E1B" w:rsidR="00FA2175" w:rsidRPr="003C4918" w:rsidRDefault="00FA2175" w:rsidP="00FA2175">
            <w:pPr>
              <w:rPr>
                <w:sz w:val="20"/>
                <w:szCs w:val="20"/>
              </w:rPr>
            </w:pPr>
            <w:r>
              <w:rPr>
                <w:sz w:val="20"/>
                <w:szCs w:val="20"/>
              </w:rPr>
              <w:t>Main activity producer electricity plants (transf.)</w:t>
            </w:r>
          </w:p>
        </w:tc>
      </w:tr>
      <w:tr w:rsidR="00FA2175" w:rsidRPr="003C4918" w14:paraId="5C49FB6A" w14:textId="77777777" w:rsidTr="00FA2175">
        <w:trPr>
          <w:jc w:val="center"/>
        </w:trPr>
        <w:tc>
          <w:tcPr>
            <w:tcW w:w="3600" w:type="dxa"/>
            <w:shd w:val="clear" w:color="auto" w:fill="FFFFFF" w:themeFill="background1"/>
          </w:tcPr>
          <w:p w14:paraId="062C0B7D" w14:textId="1F237253" w:rsidR="00FA2175" w:rsidRPr="003C4918" w:rsidRDefault="00FA2175" w:rsidP="00FA2175">
            <w:pPr>
              <w:jc w:val="center"/>
              <w:rPr>
                <w:sz w:val="20"/>
                <w:szCs w:val="20"/>
              </w:rPr>
            </w:pPr>
            <w:r>
              <w:rPr>
                <w:sz w:val="20"/>
                <w:szCs w:val="20"/>
              </w:rPr>
              <w:t>Renewables-based electricity</w:t>
            </w:r>
          </w:p>
        </w:tc>
        <w:tc>
          <w:tcPr>
            <w:tcW w:w="4495" w:type="dxa"/>
            <w:shd w:val="clear" w:color="auto" w:fill="FFFFFF" w:themeFill="background1"/>
          </w:tcPr>
          <w:p w14:paraId="62C16831" w14:textId="3F86ED1E" w:rsidR="00FA2175" w:rsidRPr="003C4918" w:rsidRDefault="00FA2175" w:rsidP="00FA2175">
            <w:pPr>
              <w:rPr>
                <w:sz w:val="20"/>
                <w:szCs w:val="20"/>
              </w:rPr>
            </w:pPr>
            <w:r>
              <w:rPr>
                <w:sz w:val="20"/>
                <w:szCs w:val="20"/>
              </w:rPr>
              <w:t>Main activity producer electricity plants (transf.)</w:t>
            </w:r>
          </w:p>
        </w:tc>
      </w:tr>
      <w:tr w:rsidR="00FA2175" w:rsidRPr="003C4918" w14:paraId="6AC527AC" w14:textId="77777777" w:rsidTr="00FA2175">
        <w:trPr>
          <w:jc w:val="center"/>
        </w:trPr>
        <w:tc>
          <w:tcPr>
            <w:tcW w:w="3600" w:type="dxa"/>
            <w:shd w:val="clear" w:color="auto" w:fill="FFFFFF" w:themeFill="background1"/>
          </w:tcPr>
          <w:p w14:paraId="1D3EE9A0" w14:textId="47A31481" w:rsidR="00FA2175" w:rsidRPr="003C4918" w:rsidRDefault="00FA2175" w:rsidP="00FA2175">
            <w:pPr>
              <w:jc w:val="center"/>
              <w:rPr>
                <w:sz w:val="20"/>
                <w:szCs w:val="20"/>
              </w:rPr>
            </w:pPr>
            <w:r>
              <w:rPr>
                <w:sz w:val="20"/>
                <w:szCs w:val="20"/>
              </w:rPr>
              <w:t>Renewables (primary)</w:t>
            </w:r>
          </w:p>
        </w:tc>
        <w:tc>
          <w:tcPr>
            <w:tcW w:w="4495" w:type="dxa"/>
            <w:shd w:val="clear" w:color="auto" w:fill="FFFFFF" w:themeFill="background1"/>
          </w:tcPr>
          <w:p w14:paraId="119569FB" w14:textId="5C26A33A" w:rsidR="00FA2175" w:rsidRPr="003C4918" w:rsidRDefault="00FA2175" w:rsidP="00FA2175">
            <w:pPr>
              <w:rPr>
                <w:sz w:val="20"/>
                <w:szCs w:val="20"/>
              </w:rPr>
            </w:pPr>
            <w:r>
              <w:rPr>
                <w:sz w:val="20"/>
                <w:szCs w:val="20"/>
              </w:rPr>
              <w:t>N/A</w:t>
            </w:r>
          </w:p>
        </w:tc>
      </w:tr>
      <w:tr w:rsidR="00FA2175" w:rsidRPr="003C4918" w14:paraId="59D16979" w14:textId="77777777" w:rsidTr="00FA2175">
        <w:trPr>
          <w:jc w:val="center"/>
        </w:trPr>
        <w:tc>
          <w:tcPr>
            <w:tcW w:w="3600" w:type="dxa"/>
            <w:shd w:val="clear" w:color="auto" w:fill="FFFFFF" w:themeFill="background1"/>
          </w:tcPr>
          <w:p w14:paraId="288FE7DF" w14:textId="2A397ADD" w:rsidR="00FA2175" w:rsidRPr="003C4918" w:rsidRDefault="00FA2175" w:rsidP="00FA2175">
            <w:pPr>
              <w:jc w:val="center"/>
              <w:rPr>
                <w:sz w:val="20"/>
                <w:szCs w:val="20"/>
              </w:rPr>
            </w:pPr>
            <w:r>
              <w:rPr>
                <w:sz w:val="20"/>
                <w:szCs w:val="20"/>
              </w:rPr>
              <w:t>Petroleum</w:t>
            </w:r>
          </w:p>
        </w:tc>
        <w:tc>
          <w:tcPr>
            <w:tcW w:w="4495" w:type="dxa"/>
            <w:shd w:val="clear" w:color="auto" w:fill="FFFFFF" w:themeFill="background1"/>
          </w:tcPr>
          <w:p w14:paraId="33BF2F8D" w14:textId="349B5B9B" w:rsidR="00FA2175" w:rsidRPr="003C4918" w:rsidRDefault="00FA2175" w:rsidP="00FA2175">
            <w:pPr>
              <w:rPr>
                <w:sz w:val="20"/>
                <w:szCs w:val="20"/>
              </w:rPr>
            </w:pPr>
            <w:r>
              <w:rPr>
                <w:sz w:val="20"/>
                <w:szCs w:val="20"/>
              </w:rPr>
              <w:t>Oil refineries (energy)</w:t>
            </w:r>
          </w:p>
        </w:tc>
      </w:tr>
      <w:tr w:rsidR="00FA2175" w:rsidRPr="003C4918" w14:paraId="384ED3EB" w14:textId="77777777" w:rsidTr="00FA2175">
        <w:trPr>
          <w:jc w:val="center"/>
        </w:trPr>
        <w:tc>
          <w:tcPr>
            <w:tcW w:w="3600" w:type="dxa"/>
            <w:shd w:val="clear" w:color="auto" w:fill="FFFFFF" w:themeFill="background1"/>
          </w:tcPr>
          <w:p w14:paraId="51C83A0C" w14:textId="4FE3AD14" w:rsidR="00FA2175" w:rsidRPr="003C4918" w:rsidRDefault="00FA2175" w:rsidP="00FA2175">
            <w:pPr>
              <w:jc w:val="center"/>
              <w:rPr>
                <w:sz w:val="20"/>
                <w:szCs w:val="20"/>
              </w:rPr>
            </w:pPr>
            <w:r>
              <w:rPr>
                <w:sz w:val="20"/>
                <w:szCs w:val="20"/>
              </w:rPr>
              <w:t>Losses</w:t>
            </w:r>
          </w:p>
        </w:tc>
        <w:tc>
          <w:tcPr>
            <w:tcW w:w="4495" w:type="dxa"/>
            <w:shd w:val="clear" w:color="auto" w:fill="FFFFFF" w:themeFill="background1"/>
          </w:tcPr>
          <w:p w14:paraId="0967B834" w14:textId="0D931A2A" w:rsidR="00FA2175" w:rsidRPr="003C4918" w:rsidRDefault="00FA2175" w:rsidP="00FA2175">
            <w:pPr>
              <w:rPr>
                <w:sz w:val="20"/>
                <w:szCs w:val="20"/>
              </w:rPr>
            </w:pPr>
            <w:r>
              <w:rPr>
                <w:sz w:val="20"/>
                <w:szCs w:val="20"/>
              </w:rPr>
              <w:t>N/A</w:t>
            </w:r>
          </w:p>
        </w:tc>
      </w:tr>
    </w:tbl>
    <w:p w14:paraId="266AF34A" w14:textId="216A54FD" w:rsidR="00561054" w:rsidRDefault="00561054" w:rsidP="00561054"/>
    <w:p w14:paraId="074B3B2A" w14:textId="6C297825" w:rsidR="005569B4" w:rsidRDefault="005569B4" w:rsidP="00561054"/>
    <w:p w14:paraId="0DF324FF" w14:textId="43DF005C" w:rsidR="005569B4" w:rsidRDefault="005569B4" w:rsidP="00561054"/>
    <w:p w14:paraId="5D1DAC53" w14:textId="5668E35D" w:rsidR="005569B4" w:rsidRDefault="005569B4" w:rsidP="00561054"/>
    <w:p w14:paraId="10E74041" w14:textId="1298AC72" w:rsidR="005569B4" w:rsidRDefault="005569B4" w:rsidP="00561054"/>
    <w:p w14:paraId="061C590D" w14:textId="79A8FA98" w:rsidR="005569B4" w:rsidRDefault="005569B4" w:rsidP="00561054"/>
    <w:p w14:paraId="62A29719" w14:textId="128B79EB" w:rsidR="005569B4" w:rsidRDefault="005569B4" w:rsidP="00561054"/>
    <w:p w14:paraId="0BD0EC10" w14:textId="68FCE46C" w:rsidR="005569B4" w:rsidRDefault="005569B4" w:rsidP="00561054"/>
    <w:p w14:paraId="48D3EF6E" w14:textId="059533E5" w:rsidR="005569B4" w:rsidRDefault="005569B4" w:rsidP="00561054"/>
    <w:p w14:paraId="47F47F01" w14:textId="09B926A7" w:rsidR="005569B4" w:rsidRDefault="005569B4" w:rsidP="00561054"/>
    <w:p w14:paraId="1F0C8D9E" w14:textId="3FA19BAC" w:rsidR="005569B4" w:rsidRDefault="005569B4" w:rsidP="00561054"/>
    <w:p w14:paraId="35DDF4F2" w14:textId="1F0AAB21" w:rsidR="005569B4" w:rsidRDefault="005569B4" w:rsidP="00561054"/>
    <w:p w14:paraId="7753C1D7" w14:textId="63403F6D" w:rsidR="005569B4" w:rsidRDefault="005569B4" w:rsidP="00561054"/>
    <w:p w14:paraId="32CE2F36" w14:textId="2AF5F2B3" w:rsidR="005569B4" w:rsidRDefault="005569B4" w:rsidP="00561054"/>
    <w:p w14:paraId="386C8CD4" w14:textId="376365A7" w:rsidR="005569B4" w:rsidRDefault="005569B4" w:rsidP="00561054"/>
    <w:p w14:paraId="7B3F79D4" w14:textId="4D31A2C4" w:rsidR="005569B4" w:rsidRDefault="005569B4" w:rsidP="00561054"/>
    <w:p w14:paraId="043E10A6" w14:textId="5C1162CE" w:rsidR="005569B4" w:rsidRDefault="005569B4" w:rsidP="00561054"/>
    <w:p w14:paraId="22086303" w14:textId="77777777" w:rsidR="005569B4" w:rsidRPr="00561054" w:rsidRDefault="005569B4" w:rsidP="00561054"/>
    <w:p w14:paraId="6E1226ED" w14:textId="2B705BDF" w:rsidR="003C4918" w:rsidRDefault="005569B4" w:rsidP="00561054">
      <w:pPr>
        <w:pStyle w:val="Heading1"/>
      </w:pPr>
      <w:bookmarkStart w:id="3" w:name="_Toc41047418"/>
      <w:r>
        <w:lastRenderedPageBreak/>
        <w:t>4</w:t>
      </w:r>
      <w:r w:rsidR="00561054">
        <w:tab/>
        <w:t>Regional classification of countries</w:t>
      </w:r>
      <w:bookmarkEnd w:id="3"/>
    </w:p>
    <w:p w14:paraId="496C4124" w14:textId="77777777" w:rsidR="003C4918" w:rsidRDefault="003C4918">
      <w:r>
        <w:t>The following table presents the regional classifications used in the hybridized model.</w:t>
      </w:r>
    </w:p>
    <w:p w14:paraId="590BE369" w14:textId="77777777" w:rsidR="003C4918" w:rsidRDefault="003C4918"/>
    <w:tbl>
      <w:tblPr>
        <w:tblStyle w:val="TableGrid"/>
        <w:tblW w:w="0" w:type="auto"/>
        <w:tblBorders>
          <w:insideV w:val="none" w:sz="0" w:space="0" w:color="auto"/>
        </w:tblBorders>
        <w:tblLook w:val="04A0" w:firstRow="1" w:lastRow="0" w:firstColumn="1" w:lastColumn="0" w:noHBand="0" w:noVBand="1"/>
      </w:tblPr>
      <w:tblGrid>
        <w:gridCol w:w="2785"/>
        <w:gridCol w:w="6565"/>
      </w:tblGrid>
      <w:tr w:rsidR="003C4918" w:rsidRPr="00B70F65" w14:paraId="67B87377" w14:textId="77777777" w:rsidTr="00B70F65">
        <w:tc>
          <w:tcPr>
            <w:tcW w:w="2785" w:type="dxa"/>
            <w:shd w:val="clear" w:color="auto" w:fill="D9D9D9" w:themeFill="background1" w:themeFillShade="D9"/>
          </w:tcPr>
          <w:p w14:paraId="38200B1C" w14:textId="77777777" w:rsidR="003C4918" w:rsidRPr="00B70F65" w:rsidRDefault="003C4918" w:rsidP="003C4918">
            <w:pPr>
              <w:jc w:val="center"/>
              <w:rPr>
                <w:b/>
                <w:sz w:val="20"/>
                <w:szCs w:val="20"/>
              </w:rPr>
            </w:pPr>
            <w:r w:rsidRPr="00B70F65">
              <w:rPr>
                <w:b/>
                <w:sz w:val="20"/>
                <w:szCs w:val="20"/>
              </w:rPr>
              <w:t>Region</w:t>
            </w:r>
          </w:p>
        </w:tc>
        <w:tc>
          <w:tcPr>
            <w:tcW w:w="6565" w:type="dxa"/>
            <w:shd w:val="clear" w:color="auto" w:fill="D9D9D9" w:themeFill="background1" w:themeFillShade="D9"/>
          </w:tcPr>
          <w:p w14:paraId="40571474" w14:textId="77777777" w:rsidR="003C4918" w:rsidRPr="00B70F65" w:rsidRDefault="003C4918" w:rsidP="003C4918">
            <w:pPr>
              <w:jc w:val="center"/>
              <w:rPr>
                <w:b/>
                <w:sz w:val="20"/>
                <w:szCs w:val="20"/>
              </w:rPr>
            </w:pPr>
            <w:r w:rsidRPr="00B70F65">
              <w:rPr>
                <w:b/>
                <w:sz w:val="20"/>
                <w:szCs w:val="20"/>
              </w:rPr>
              <w:t>Countries</w:t>
            </w:r>
            <w:r w:rsidR="00C576D7" w:rsidRPr="00B70F65">
              <w:rPr>
                <w:b/>
                <w:sz w:val="20"/>
                <w:szCs w:val="20"/>
              </w:rPr>
              <w:t>/Territories</w:t>
            </w:r>
          </w:p>
        </w:tc>
      </w:tr>
      <w:tr w:rsidR="003C4918" w:rsidRPr="00B70F65" w14:paraId="19DC81A5" w14:textId="77777777" w:rsidTr="00B70F65">
        <w:tc>
          <w:tcPr>
            <w:tcW w:w="2785" w:type="dxa"/>
          </w:tcPr>
          <w:p w14:paraId="2A328774" w14:textId="77777777" w:rsidR="003C4918" w:rsidRPr="00B70F65" w:rsidRDefault="003C4918">
            <w:pPr>
              <w:rPr>
                <w:sz w:val="20"/>
                <w:szCs w:val="20"/>
              </w:rPr>
            </w:pPr>
            <w:r w:rsidRPr="00B70F65">
              <w:rPr>
                <w:sz w:val="20"/>
                <w:szCs w:val="20"/>
              </w:rPr>
              <w:t>Africa</w:t>
            </w:r>
          </w:p>
        </w:tc>
        <w:tc>
          <w:tcPr>
            <w:tcW w:w="6565" w:type="dxa"/>
          </w:tcPr>
          <w:p w14:paraId="6F834434" w14:textId="77777777" w:rsidR="003C4918" w:rsidRPr="00B70F65" w:rsidRDefault="003C4918">
            <w:pPr>
              <w:rPr>
                <w:sz w:val="20"/>
                <w:szCs w:val="20"/>
              </w:rPr>
            </w:pPr>
            <w:r w:rsidRPr="00B70F65">
              <w:rPr>
                <w:sz w:val="20"/>
                <w:szCs w:val="20"/>
              </w:rPr>
              <w:t xml:space="preserve">Algeria, Angola, Benin, Botswana, </w:t>
            </w:r>
            <w:r w:rsidR="00C576D7" w:rsidRPr="00B70F65">
              <w:rPr>
                <w:sz w:val="20"/>
                <w:szCs w:val="20"/>
              </w:rPr>
              <w:t xml:space="preserve">Burkina Faso, Burundi, </w:t>
            </w:r>
            <w:r w:rsidRPr="00B70F65">
              <w:rPr>
                <w:sz w:val="20"/>
                <w:szCs w:val="20"/>
              </w:rPr>
              <w:t xml:space="preserve">Cameroon, </w:t>
            </w:r>
            <w:r w:rsidR="00C576D7" w:rsidRPr="00B70F65">
              <w:rPr>
                <w:sz w:val="20"/>
                <w:szCs w:val="20"/>
              </w:rPr>
              <w:t xml:space="preserve">Cape Verde, Central African Republic, Chad, Comoros, </w:t>
            </w:r>
            <w:r w:rsidRPr="00B70F65">
              <w:rPr>
                <w:sz w:val="20"/>
                <w:szCs w:val="20"/>
              </w:rPr>
              <w:t xml:space="preserve">Republic of the Congo, Democratic Republic of the Congo, Cote d’Ivoire, </w:t>
            </w:r>
            <w:r w:rsidR="00C576D7" w:rsidRPr="00B70F65">
              <w:rPr>
                <w:sz w:val="20"/>
                <w:szCs w:val="20"/>
              </w:rPr>
              <w:t xml:space="preserve">Djibouti, </w:t>
            </w:r>
            <w:r w:rsidRPr="00B70F65">
              <w:rPr>
                <w:sz w:val="20"/>
                <w:szCs w:val="20"/>
              </w:rPr>
              <w:t xml:space="preserve">Egypt, Eritrea, Gabon, Gambia, Ghana, </w:t>
            </w:r>
            <w:r w:rsidR="00C576D7" w:rsidRPr="00B70F65">
              <w:rPr>
                <w:sz w:val="20"/>
                <w:szCs w:val="20"/>
              </w:rPr>
              <w:t xml:space="preserve">Guinea, Guinea-Bissau, Equatorial Guinea, </w:t>
            </w:r>
            <w:r w:rsidRPr="00B70F65">
              <w:rPr>
                <w:sz w:val="20"/>
                <w:szCs w:val="20"/>
              </w:rPr>
              <w:t>Kenya, L</w:t>
            </w:r>
            <w:r w:rsidR="00C576D7" w:rsidRPr="00B70F65">
              <w:rPr>
                <w:sz w:val="20"/>
                <w:szCs w:val="20"/>
              </w:rPr>
              <w:t>esotho, Liberia, L</w:t>
            </w:r>
            <w:r w:rsidRPr="00B70F65">
              <w:rPr>
                <w:sz w:val="20"/>
                <w:szCs w:val="20"/>
              </w:rPr>
              <w:t>ibya,</w:t>
            </w:r>
            <w:r w:rsidR="00C576D7" w:rsidRPr="00B70F65">
              <w:rPr>
                <w:sz w:val="20"/>
                <w:szCs w:val="20"/>
              </w:rPr>
              <w:t xml:space="preserve"> Madagascar, Malawi, Mali,</w:t>
            </w:r>
            <w:r w:rsidRPr="00B70F65">
              <w:rPr>
                <w:sz w:val="20"/>
                <w:szCs w:val="20"/>
              </w:rPr>
              <w:t xml:space="preserve"> Mauritius, Morocco, Mozambique, Namibia, Niger, Nigeria, </w:t>
            </w:r>
            <w:r w:rsidR="00C576D7" w:rsidRPr="00B70F65">
              <w:rPr>
                <w:sz w:val="20"/>
                <w:szCs w:val="20"/>
              </w:rPr>
              <w:t xml:space="preserve">Reunion, Rwanda, Sao Tome and Principe, Republic of Seychelles, Sierra Leone, Somalia, Swaziland, </w:t>
            </w:r>
            <w:r w:rsidRPr="00B70F65">
              <w:rPr>
                <w:sz w:val="20"/>
                <w:szCs w:val="20"/>
              </w:rPr>
              <w:t>Senegal, South Africa, South Sudan (Sudan), Tanzania, Togo, Tunisia, Uganda</w:t>
            </w:r>
            <w:r w:rsidR="00C576D7" w:rsidRPr="00B70F65">
              <w:rPr>
                <w:sz w:val="20"/>
                <w:szCs w:val="20"/>
              </w:rPr>
              <w:t>, Zambia, Zimbabwe</w:t>
            </w:r>
          </w:p>
        </w:tc>
      </w:tr>
      <w:tr w:rsidR="003C4918" w:rsidRPr="00B70F65" w14:paraId="59F787DA" w14:textId="77777777" w:rsidTr="00B70F65">
        <w:tc>
          <w:tcPr>
            <w:tcW w:w="2785" w:type="dxa"/>
          </w:tcPr>
          <w:p w14:paraId="3B664912" w14:textId="77777777" w:rsidR="003C4918" w:rsidRPr="00B70F65" w:rsidRDefault="003C4918">
            <w:pPr>
              <w:rPr>
                <w:sz w:val="20"/>
                <w:szCs w:val="20"/>
              </w:rPr>
            </w:pPr>
            <w:r w:rsidRPr="00B70F65">
              <w:rPr>
                <w:sz w:val="20"/>
                <w:szCs w:val="20"/>
              </w:rPr>
              <w:t>China</w:t>
            </w:r>
          </w:p>
        </w:tc>
        <w:tc>
          <w:tcPr>
            <w:tcW w:w="6565" w:type="dxa"/>
          </w:tcPr>
          <w:p w14:paraId="5E0DFEDF" w14:textId="77777777" w:rsidR="003C4918" w:rsidRPr="00B70F65" w:rsidRDefault="00C576D7">
            <w:pPr>
              <w:rPr>
                <w:sz w:val="20"/>
                <w:szCs w:val="20"/>
              </w:rPr>
            </w:pPr>
            <w:r w:rsidRPr="00B70F65">
              <w:rPr>
                <w:sz w:val="20"/>
                <w:szCs w:val="20"/>
              </w:rPr>
              <w:t>China</w:t>
            </w:r>
          </w:p>
        </w:tc>
      </w:tr>
      <w:tr w:rsidR="003C4918" w:rsidRPr="00B70F65" w14:paraId="223EB9C0" w14:textId="77777777" w:rsidTr="00B70F65">
        <w:tc>
          <w:tcPr>
            <w:tcW w:w="2785" w:type="dxa"/>
          </w:tcPr>
          <w:p w14:paraId="0823A40B" w14:textId="77777777" w:rsidR="003C4918" w:rsidRPr="00B70F65" w:rsidRDefault="003C4918">
            <w:pPr>
              <w:rPr>
                <w:sz w:val="20"/>
                <w:szCs w:val="20"/>
              </w:rPr>
            </w:pPr>
            <w:r w:rsidRPr="00B70F65">
              <w:rPr>
                <w:sz w:val="20"/>
                <w:szCs w:val="20"/>
              </w:rPr>
              <w:t>East Asia</w:t>
            </w:r>
          </w:p>
        </w:tc>
        <w:tc>
          <w:tcPr>
            <w:tcW w:w="6565" w:type="dxa"/>
          </w:tcPr>
          <w:p w14:paraId="5A58F869" w14:textId="77777777" w:rsidR="003C4918" w:rsidRPr="00B70F65" w:rsidRDefault="00C576D7">
            <w:pPr>
              <w:rPr>
                <w:sz w:val="20"/>
                <w:szCs w:val="20"/>
              </w:rPr>
            </w:pPr>
            <w:r w:rsidRPr="00B70F65">
              <w:rPr>
                <w:sz w:val="20"/>
                <w:szCs w:val="20"/>
              </w:rPr>
              <w:t>Hong Kong, Japan, Democratic People’s Republic of Korea, South Korea, Macau, Mongolia</w:t>
            </w:r>
          </w:p>
        </w:tc>
      </w:tr>
      <w:tr w:rsidR="003C4918" w:rsidRPr="00B70F65" w14:paraId="35D4B15B" w14:textId="77777777" w:rsidTr="00B70F65">
        <w:tc>
          <w:tcPr>
            <w:tcW w:w="2785" w:type="dxa"/>
          </w:tcPr>
          <w:p w14:paraId="5B68B9EA" w14:textId="77777777" w:rsidR="003C4918" w:rsidRPr="00B70F65" w:rsidRDefault="003C4918">
            <w:pPr>
              <w:rPr>
                <w:sz w:val="20"/>
                <w:szCs w:val="20"/>
              </w:rPr>
            </w:pPr>
            <w:r w:rsidRPr="00B70F65">
              <w:rPr>
                <w:sz w:val="20"/>
                <w:szCs w:val="20"/>
              </w:rPr>
              <w:t>Europe</w:t>
            </w:r>
          </w:p>
        </w:tc>
        <w:tc>
          <w:tcPr>
            <w:tcW w:w="6565" w:type="dxa"/>
          </w:tcPr>
          <w:p w14:paraId="5BB12491" w14:textId="77777777" w:rsidR="003C4918" w:rsidRPr="00B70F65" w:rsidRDefault="00C576D7">
            <w:pPr>
              <w:rPr>
                <w:sz w:val="20"/>
                <w:szCs w:val="20"/>
              </w:rPr>
            </w:pPr>
            <w:r w:rsidRPr="00B70F65">
              <w:rPr>
                <w:sz w:val="20"/>
                <w:szCs w:val="20"/>
              </w:rPr>
              <w:t>Andorra, Albania, Austria, Belarus, Belgium, Bosnia and Herzegovina, Bulgaria, Croatia, Czech Republic, Denmark, Estonia, Finland, France, Germany Gibraltar, Greece, Hungary, Ireland, Italy, Latvia, Lithuania, Luxembourg, Former Yugoslav Republic of Macedonia, Malta, Moldova, Montenegro, Netherlands, Norway, Poland, Portugal, Romania, Russia, Serbia, Slovak Republic, Slovenia, Spain, Sweden, Switzerland, Ukraine, United Kingdom</w:t>
            </w:r>
          </w:p>
        </w:tc>
      </w:tr>
      <w:tr w:rsidR="003C4918" w:rsidRPr="00B70F65" w14:paraId="20F49E1B" w14:textId="77777777" w:rsidTr="00B70F65">
        <w:tc>
          <w:tcPr>
            <w:tcW w:w="2785" w:type="dxa"/>
          </w:tcPr>
          <w:p w14:paraId="3BA4D25D" w14:textId="77777777" w:rsidR="003C4918" w:rsidRPr="00B70F65" w:rsidRDefault="003C4918">
            <w:pPr>
              <w:rPr>
                <w:sz w:val="20"/>
                <w:szCs w:val="20"/>
              </w:rPr>
            </w:pPr>
            <w:r w:rsidRPr="00B70F65">
              <w:rPr>
                <w:sz w:val="20"/>
                <w:szCs w:val="20"/>
              </w:rPr>
              <w:t>Latin America</w:t>
            </w:r>
          </w:p>
        </w:tc>
        <w:tc>
          <w:tcPr>
            <w:tcW w:w="6565" w:type="dxa"/>
          </w:tcPr>
          <w:p w14:paraId="3D271F9D" w14:textId="77777777" w:rsidR="003C4918" w:rsidRPr="00B70F65" w:rsidRDefault="009A231E">
            <w:pPr>
              <w:rPr>
                <w:sz w:val="20"/>
                <w:szCs w:val="20"/>
              </w:rPr>
            </w:pPr>
            <w:r w:rsidRPr="00B70F65">
              <w:rPr>
                <w:sz w:val="20"/>
                <w:szCs w:val="20"/>
              </w:rPr>
              <w:t>Argentina, Bolivia, Brazil, Chile, Colombi</w:t>
            </w:r>
            <w:r w:rsidR="00F6680F" w:rsidRPr="00B70F65">
              <w:rPr>
                <w:sz w:val="20"/>
                <w:szCs w:val="20"/>
              </w:rPr>
              <w:t>a, Ecuador, Guyana, Paraguay, Peru, Suriname, Uruguay, Venezuela, Bolivarian Republic of Venezuela</w:t>
            </w:r>
          </w:p>
        </w:tc>
      </w:tr>
      <w:tr w:rsidR="003C4918" w:rsidRPr="00B70F65" w14:paraId="2EA74F5D" w14:textId="77777777" w:rsidTr="00B70F65">
        <w:tc>
          <w:tcPr>
            <w:tcW w:w="2785" w:type="dxa"/>
          </w:tcPr>
          <w:p w14:paraId="63624401" w14:textId="77777777" w:rsidR="003C4918" w:rsidRPr="00B70F65" w:rsidRDefault="003C4918">
            <w:pPr>
              <w:rPr>
                <w:sz w:val="20"/>
                <w:szCs w:val="20"/>
              </w:rPr>
            </w:pPr>
            <w:r w:rsidRPr="00B70F65">
              <w:rPr>
                <w:sz w:val="20"/>
                <w:szCs w:val="20"/>
              </w:rPr>
              <w:t>North and Central America</w:t>
            </w:r>
          </w:p>
        </w:tc>
        <w:tc>
          <w:tcPr>
            <w:tcW w:w="6565" w:type="dxa"/>
          </w:tcPr>
          <w:p w14:paraId="4BD7BE2B" w14:textId="77777777" w:rsidR="003C4918" w:rsidRPr="00B70F65" w:rsidRDefault="00F6680F">
            <w:pPr>
              <w:rPr>
                <w:sz w:val="20"/>
                <w:szCs w:val="20"/>
              </w:rPr>
            </w:pPr>
            <w:r w:rsidRPr="00B70F65">
              <w:rPr>
                <w:sz w:val="20"/>
                <w:szCs w:val="20"/>
              </w:rPr>
              <w:t xml:space="preserve">Belize, Bermuda, Canada, Costa Rica, El Salvador, Guatemala, Honduras, </w:t>
            </w:r>
            <w:proofErr w:type="gramStart"/>
            <w:r w:rsidRPr="00B70F65">
              <w:rPr>
                <w:sz w:val="20"/>
                <w:szCs w:val="20"/>
              </w:rPr>
              <w:t>Mexico ,Nicaragua</w:t>
            </w:r>
            <w:proofErr w:type="gramEnd"/>
            <w:r w:rsidRPr="00B70F65">
              <w:rPr>
                <w:sz w:val="20"/>
                <w:szCs w:val="20"/>
              </w:rPr>
              <w:t>, Panama, United States</w:t>
            </w:r>
          </w:p>
        </w:tc>
      </w:tr>
      <w:tr w:rsidR="003C4918" w:rsidRPr="00B70F65" w14:paraId="46FF3D3A" w14:textId="77777777" w:rsidTr="00B70F65">
        <w:tc>
          <w:tcPr>
            <w:tcW w:w="2785" w:type="dxa"/>
          </w:tcPr>
          <w:p w14:paraId="639C7129" w14:textId="77777777" w:rsidR="003C4918" w:rsidRPr="00B70F65" w:rsidRDefault="003C4918">
            <w:pPr>
              <w:rPr>
                <w:sz w:val="20"/>
                <w:szCs w:val="20"/>
              </w:rPr>
            </w:pPr>
            <w:r w:rsidRPr="00B70F65">
              <w:rPr>
                <w:sz w:val="20"/>
                <w:szCs w:val="20"/>
              </w:rPr>
              <w:t>Oceania</w:t>
            </w:r>
          </w:p>
        </w:tc>
        <w:tc>
          <w:tcPr>
            <w:tcW w:w="6565" w:type="dxa"/>
          </w:tcPr>
          <w:p w14:paraId="03AE0B96" w14:textId="77777777" w:rsidR="003C4918" w:rsidRPr="00B70F65" w:rsidRDefault="00F6680F">
            <w:pPr>
              <w:rPr>
                <w:sz w:val="20"/>
                <w:szCs w:val="20"/>
              </w:rPr>
            </w:pPr>
            <w:r w:rsidRPr="00B70F65">
              <w:rPr>
                <w:sz w:val="20"/>
                <w:szCs w:val="20"/>
              </w:rPr>
              <w:t>American Samoa, Australia, Cook Islands, Fiji, French Polynesia, Guam, Republic of Kiribati, Marshall Islands, Federated States of Micronesia, Republic of Nauru, New Caledonia, New Zealand, Niue, Norfolk Island, Northern Mariana Islands, Palau, Papua New Guinea, Samoa, Solomon Islands, Tonga, Tuvalu, Vanuatu</w:t>
            </w:r>
          </w:p>
        </w:tc>
      </w:tr>
      <w:tr w:rsidR="003C4918" w:rsidRPr="00B70F65" w14:paraId="1062D873" w14:textId="77777777" w:rsidTr="00B70F65">
        <w:tc>
          <w:tcPr>
            <w:tcW w:w="2785" w:type="dxa"/>
          </w:tcPr>
          <w:p w14:paraId="48DCBBB4" w14:textId="77777777" w:rsidR="003C4918" w:rsidRPr="00B70F65" w:rsidRDefault="003C4918">
            <w:pPr>
              <w:rPr>
                <w:sz w:val="20"/>
                <w:szCs w:val="20"/>
              </w:rPr>
            </w:pPr>
            <w:r w:rsidRPr="00B70F65">
              <w:rPr>
                <w:sz w:val="20"/>
                <w:szCs w:val="20"/>
              </w:rPr>
              <w:t>Persian Gulf Countries</w:t>
            </w:r>
          </w:p>
        </w:tc>
        <w:tc>
          <w:tcPr>
            <w:tcW w:w="6565" w:type="dxa"/>
          </w:tcPr>
          <w:p w14:paraId="5719B5DE" w14:textId="77777777" w:rsidR="003C4918" w:rsidRPr="00B70F65" w:rsidRDefault="00F6680F">
            <w:pPr>
              <w:rPr>
                <w:sz w:val="20"/>
                <w:szCs w:val="20"/>
              </w:rPr>
            </w:pPr>
            <w:r w:rsidRPr="00B70F65">
              <w:rPr>
                <w:sz w:val="20"/>
                <w:szCs w:val="20"/>
              </w:rPr>
              <w:t>Bahrain, Iran, Iraq, Kuwait, Oman, Qatar, Saudi Arabia, United Arab Emirates</w:t>
            </w:r>
          </w:p>
        </w:tc>
      </w:tr>
      <w:tr w:rsidR="003C4918" w:rsidRPr="00B70F65" w14:paraId="40B6CDFB" w14:textId="77777777" w:rsidTr="00B70F65">
        <w:tc>
          <w:tcPr>
            <w:tcW w:w="2785" w:type="dxa"/>
          </w:tcPr>
          <w:p w14:paraId="3B165C3D" w14:textId="77777777" w:rsidR="003C4918" w:rsidRPr="00B70F65" w:rsidRDefault="003C4918">
            <w:pPr>
              <w:rPr>
                <w:sz w:val="20"/>
                <w:szCs w:val="20"/>
              </w:rPr>
            </w:pPr>
            <w:r w:rsidRPr="00B70F65">
              <w:rPr>
                <w:sz w:val="20"/>
                <w:szCs w:val="20"/>
              </w:rPr>
              <w:t>South Asia</w:t>
            </w:r>
          </w:p>
        </w:tc>
        <w:tc>
          <w:tcPr>
            <w:tcW w:w="6565" w:type="dxa"/>
          </w:tcPr>
          <w:p w14:paraId="63DD6D4B" w14:textId="77777777" w:rsidR="003C4918" w:rsidRPr="00B70F65" w:rsidRDefault="00F6680F" w:rsidP="00F6680F">
            <w:pPr>
              <w:rPr>
                <w:sz w:val="20"/>
                <w:szCs w:val="20"/>
              </w:rPr>
            </w:pPr>
            <w:r w:rsidRPr="00B70F65">
              <w:rPr>
                <w:sz w:val="20"/>
                <w:szCs w:val="20"/>
              </w:rPr>
              <w:t>Afghanistan, Bangladesh, Bhutan, Brunei Darussalam, Cambodia, India, Indonesia, Laos, Malaysia, Myanmar, Nepal, Pakistan, Philippines, Singapore, Sri Lanka, Thailand, Timor-Leste, Viet Nam</w:t>
            </w:r>
          </w:p>
        </w:tc>
      </w:tr>
      <w:tr w:rsidR="003C4918" w:rsidRPr="00B70F65" w14:paraId="2162DCF0" w14:textId="77777777" w:rsidTr="00B70F65">
        <w:tc>
          <w:tcPr>
            <w:tcW w:w="2785" w:type="dxa"/>
          </w:tcPr>
          <w:p w14:paraId="4008FA10" w14:textId="77777777" w:rsidR="003C4918" w:rsidRPr="00B70F65" w:rsidRDefault="003C4918">
            <w:pPr>
              <w:rPr>
                <w:sz w:val="20"/>
                <w:szCs w:val="20"/>
              </w:rPr>
            </w:pPr>
            <w:r w:rsidRPr="00B70F65">
              <w:rPr>
                <w:sz w:val="20"/>
                <w:szCs w:val="20"/>
              </w:rPr>
              <w:t>West and Central Asia</w:t>
            </w:r>
          </w:p>
        </w:tc>
        <w:tc>
          <w:tcPr>
            <w:tcW w:w="6565" w:type="dxa"/>
          </w:tcPr>
          <w:p w14:paraId="336E1686" w14:textId="77777777" w:rsidR="003C4918" w:rsidRPr="00B70F65" w:rsidRDefault="00F6680F">
            <w:pPr>
              <w:rPr>
                <w:sz w:val="20"/>
                <w:szCs w:val="20"/>
              </w:rPr>
            </w:pPr>
            <w:r w:rsidRPr="00B70F65">
              <w:rPr>
                <w:sz w:val="20"/>
                <w:szCs w:val="20"/>
              </w:rPr>
              <w:t>Armenia, Azerbaijan, Cyprus, Georgia, Israel, Jordan, Kazakhstan, Kyrgyzstan, Lebanon, Syrian Arab Republic, Tajikistan, Turkey, Turkmenistan, Uzbekistan, Yemen</w:t>
            </w:r>
          </w:p>
        </w:tc>
      </w:tr>
    </w:tbl>
    <w:p w14:paraId="68C296E3" w14:textId="77777777" w:rsidR="00E41A18" w:rsidRDefault="00E41A18">
      <w:r>
        <w:br w:type="page"/>
      </w:r>
    </w:p>
    <w:p w14:paraId="7D47878C" w14:textId="688172EE" w:rsidR="00E06B60" w:rsidRDefault="00E06B60" w:rsidP="00E06B60">
      <w:pPr>
        <w:pStyle w:val="Heading1"/>
      </w:pPr>
      <w:bookmarkStart w:id="4" w:name="_Toc41047419"/>
      <w:r>
        <w:lastRenderedPageBreak/>
        <w:t>5</w:t>
      </w:r>
      <w:r>
        <w:tab/>
        <w:t>Illustrative representation of HOMIES</w:t>
      </w:r>
      <w:bookmarkEnd w:id="4"/>
    </w:p>
    <w:p w14:paraId="49230680" w14:textId="5FBD47DF" w:rsidR="00E06B60" w:rsidRDefault="00E06B60" w:rsidP="00E06B60"/>
    <w:p w14:paraId="7B7B1B03" w14:textId="2100CC70" w:rsidR="00E06B60" w:rsidRDefault="00E06B60" w:rsidP="00E06B60">
      <w:r>
        <w:t xml:space="preserve">The following figure presents an illustrative example of what HOMIES looks like for each year of our analysis. In this example, we include three countries to demonstrate how intersectoral flows are mapped. However, note that HOMIES </w:t>
      </w:r>
      <w:proofErr w:type="gramStart"/>
      <w:r>
        <w:t>includes</w:t>
      </w:r>
      <w:proofErr w:type="gramEnd"/>
      <w:r>
        <w:t xml:space="preserve"> the transactions among 136 countries, 26 non-energy sectors, and 13 energy sectors.</w:t>
      </w:r>
    </w:p>
    <w:p w14:paraId="36AFB95B" w14:textId="0E66BBA4" w:rsidR="00E06B60" w:rsidRDefault="00E06B60" w:rsidP="00E06B60"/>
    <w:p w14:paraId="1639456B" w14:textId="29E28655" w:rsidR="00E06B60" w:rsidRDefault="00E06B60" w:rsidP="00E06B60">
      <w:pPr>
        <w:jc w:val="center"/>
      </w:pPr>
      <w:r w:rsidRPr="00E06B60">
        <w:rPr>
          <w:noProof/>
        </w:rPr>
        <w:drawing>
          <wp:inline distT="0" distB="0" distL="0" distR="0" wp14:anchorId="33846F27" wp14:editId="4CF8B11F">
            <wp:extent cx="3411352" cy="3314039"/>
            <wp:effectExtent l="0" t="0" r="0" b="0"/>
            <wp:docPr id="9" name="Picture 8">
              <a:extLst xmlns:a="http://schemas.openxmlformats.org/drawingml/2006/main">
                <a:ext uri="{FF2B5EF4-FFF2-40B4-BE49-F238E27FC236}">
                  <a16:creationId xmlns:a16="http://schemas.microsoft.com/office/drawing/2014/main" id="{44A002FC-F045-441E-ABBE-5384D29A9D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4A002FC-F045-441E-ABBE-5384D29A9DDD}"/>
                        </a:ext>
                      </a:extLst>
                    </pic:cNvPr>
                    <pic:cNvPicPr>
                      <a:picLocks noChangeAspect="1"/>
                    </pic:cNvPicPr>
                  </pic:nvPicPr>
                  <pic:blipFill>
                    <a:blip r:embed="rId6"/>
                    <a:stretch>
                      <a:fillRect/>
                    </a:stretch>
                  </pic:blipFill>
                  <pic:spPr>
                    <a:xfrm>
                      <a:off x="0" y="0"/>
                      <a:ext cx="3415182" cy="3317760"/>
                    </a:xfrm>
                    <a:prstGeom prst="rect">
                      <a:avLst/>
                    </a:prstGeom>
                  </pic:spPr>
                </pic:pic>
              </a:graphicData>
            </a:graphic>
          </wp:inline>
        </w:drawing>
      </w:r>
    </w:p>
    <w:p w14:paraId="5635F392" w14:textId="77777777" w:rsidR="00E06B60" w:rsidRDefault="00E06B60" w:rsidP="00E06B60">
      <w:pPr>
        <w:jc w:val="both"/>
        <w:rPr>
          <w:sz w:val="20"/>
          <w:szCs w:val="20"/>
        </w:rPr>
      </w:pPr>
      <w:r w:rsidRPr="00BE744E">
        <w:rPr>
          <w:b/>
          <w:sz w:val="20"/>
          <w:szCs w:val="20"/>
        </w:rPr>
        <w:t xml:space="preserve">Fig. 1. </w:t>
      </w:r>
      <w:r>
        <w:rPr>
          <w:b/>
          <w:sz w:val="20"/>
          <w:szCs w:val="20"/>
        </w:rPr>
        <w:t xml:space="preserve">Illustrative example of HOMIES for three countries. </w:t>
      </w:r>
      <w:r>
        <w:rPr>
          <w:sz w:val="20"/>
          <w:szCs w:val="20"/>
        </w:rPr>
        <w:t>Red cells represent energy to energy flows (TJ to TJ), green cells represent non-energy to energy flows (USD to TJ), orange cells represent energy to non-energy flows (TJ to USD), and blue cells represent non-energy to non-energy flows (USD to USD).</w:t>
      </w:r>
    </w:p>
    <w:p w14:paraId="6F6A4F13" w14:textId="2D27EF5B" w:rsidR="00E06B60" w:rsidRDefault="00E06B60" w:rsidP="00E06B60">
      <w:pPr>
        <w:jc w:val="both"/>
        <w:rPr>
          <w:sz w:val="20"/>
          <w:szCs w:val="20"/>
        </w:rPr>
      </w:pPr>
    </w:p>
    <w:p w14:paraId="70164A6D" w14:textId="4C3FF192" w:rsidR="00E06B60" w:rsidRDefault="00E06B60" w:rsidP="00E06B60">
      <w:pPr>
        <w:jc w:val="both"/>
        <w:rPr>
          <w:sz w:val="20"/>
          <w:szCs w:val="20"/>
        </w:rPr>
      </w:pPr>
      <w:r>
        <w:t xml:space="preserve">In this figure, the colored submatrices correspond to the submatrices </w:t>
      </w:r>
      <m:oMath>
        <m:sSub>
          <m:sSubPr>
            <m:ctrlPr>
              <w:rPr>
                <w:rFonts w:ascii="Cambria Math" w:hAnsi="Cambria Math" w:cstheme="majorHAnsi"/>
              </w:rPr>
            </m:ctrlPr>
          </m:sSubPr>
          <m:e>
            <m:r>
              <m:rPr>
                <m:sty m:val="p"/>
              </m:rPr>
              <w:rPr>
                <w:rFonts w:ascii="Cambria Math" w:hAnsi="Cambria Math" w:cstheme="majorHAnsi"/>
              </w:rPr>
              <m:t>E</m:t>
            </m:r>
          </m:e>
          <m:sub>
            <m:r>
              <m:rPr>
                <m:sty m:val="p"/>
              </m:rPr>
              <w:rPr>
                <w:rFonts w:ascii="Cambria Math" w:hAnsi="Cambria Math" w:cstheme="majorHAnsi"/>
              </w:rPr>
              <m:t>θ</m:t>
            </m:r>
          </m:sub>
        </m:sSub>
      </m:oMath>
      <w:r>
        <w:t xml:space="preserve">, </w:t>
      </w:r>
      <m:oMath>
        <m:sSub>
          <m:sSubPr>
            <m:ctrlPr>
              <w:rPr>
                <w:rFonts w:ascii="Cambria Math" w:hAnsi="Cambria Math" w:cstheme="majorHAnsi"/>
              </w:rPr>
            </m:ctrlPr>
          </m:sSubPr>
          <m:e>
            <m:r>
              <m:rPr>
                <m:sty m:val="p"/>
              </m:rPr>
              <w:rPr>
                <w:rFonts w:ascii="Cambria Math" w:hAnsi="Cambria Math" w:cstheme="majorHAnsi"/>
              </w:rPr>
              <m:t>E</m:t>
            </m:r>
          </m:e>
          <m:sub>
            <m:r>
              <m:rPr>
                <m:sty m:val="p"/>
              </m:rPr>
              <w:rPr>
                <w:rFonts w:ascii="Cambria Math" w:hAnsi="Cambria Math" w:cstheme="majorHAnsi"/>
              </w:rPr>
              <m:t>τ</m:t>
            </m:r>
          </m:sub>
        </m:sSub>
      </m:oMath>
      <w:r>
        <w:t xml:space="preserve">, </w:t>
      </w:r>
      <m:oMath>
        <m:sSub>
          <m:sSubPr>
            <m:ctrlPr>
              <w:rPr>
                <w:rFonts w:ascii="Cambria Math" w:hAnsi="Cambria Math" w:cstheme="majorHAnsi"/>
              </w:rPr>
            </m:ctrlPr>
          </m:sSubPr>
          <m:e>
            <m:r>
              <m:rPr>
                <m:sty m:val="p"/>
              </m:rPr>
              <w:rPr>
                <w:rFonts w:ascii="Cambria Math" w:hAnsi="Cambria Math" w:cstheme="majorHAnsi"/>
              </w:rPr>
              <m:t>Z</m:t>
            </m:r>
          </m:e>
          <m:sub>
            <m:r>
              <m:rPr>
                <m:sty m:val="p"/>
              </m:rPr>
              <w:rPr>
                <w:rFonts w:ascii="Cambria Math" w:hAnsi="Cambria Math" w:cstheme="majorHAnsi"/>
              </w:rPr>
              <m:t>π</m:t>
            </m:r>
          </m:sub>
        </m:sSub>
      </m:oMath>
      <w:r>
        <w:t xml:space="preserve">, and </w:t>
      </w:r>
      <m:oMath>
        <m:sSub>
          <m:sSubPr>
            <m:ctrlPr>
              <w:rPr>
                <w:rFonts w:ascii="Cambria Math" w:hAnsi="Cambria Math" w:cstheme="majorHAnsi"/>
              </w:rPr>
            </m:ctrlPr>
          </m:sSubPr>
          <m:e>
            <m:r>
              <m:rPr>
                <m:sty m:val="p"/>
              </m:rPr>
              <w:rPr>
                <w:rFonts w:ascii="Cambria Math" w:hAnsi="Cambria Math" w:cstheme="majorHAnsi"/>
              </w:rPr>
              <m:t>Z</m:t>
            </m:r>
          </m:e>
          <m:sub>
            <m:r>
              <m:rPr>
                <m:sty m:val="p"/>
              </m:rPr>
              <w:rPr>
                <w:rFonts w:ascii="Cambria Math" w:hAnsi="Cambria Math" w:cstheme="majorHAnsi"/>
              </w:rPr>
              <m:t>ϕ</m:t>
            </m:r>
          </m:sub>
        </m:sSub>
      </m:oMath>
      <w:r>
        <w:t xml:space="preserve">, as defined in Section 2.3 of the main text. The red submatrix of energy transactions corresponds to </w:t>
      </w:r>
      <m:oMath>
        <m:sSub>
          <m:sSubPr>
            <m:ctrlPr>
              <w:rPr>
                <w:rFonts w:ascii="Cambria Math" w:hAnsi="Cambria Math" w:cstheme="majorHAnsi"/>
              </w:rPr>
            </m:ctrlPr>
          </m:sSubPr>
          <m:e>
            <m:r>
              <m:rPr>
                <m:sty m:val="p"/>
              </m:rPr>
              <w:rPr>
                <w:rFonts w:ascii="Cambria Math" w:hAnsi="Cambria Math" w:cstheme="majorHAnsi"/>
              </w:rPr>
              <m:t>E</m:t>
            </m:r>
          </m:e>
          <m:sub>
            <m:r>
              <m:rPr>
                <m:sty m:val="p"/>
              </m:rPr>
              <w:rPr>
                <w:rFonts w:ascii="Cambria Math" w:hAnsi="Cambria Math" w:cstheme="majorHAnsi"/>
              </w:rPr>
              <m:t>θ</m:t>
            </m:r>
          </m:sub>
        </m:sSub>
      </m:oMath>
      <w:r>
        <w:t xml:space="preserve">; the green submatrix corresponds to </w:t>
      </w:r>
      <m:oMath>
        <m:sSub>
          <m:sSubPr>
            <m:ctrlPr>
              <w:rPr>
                <w:rFonts w:ascii="Cambria Math" w:hAnsi="Cambria Math" w:cstheme="majorHAnsi"/>
              </w:rPr>
            </m:ctrlPr>
          </m:sSubPr>
          <m:e>
            <m:r>
              <m:rPr>
                <m:sty m:val="p"/>
              </m:rPr>
              <w:rPr>
                <w:rFonts w:ascii="Cambria Math" w:hAnsi="Cambria Math" w:cstheme="majorHAnsi"/>
              </w:rPr>
              <m:t>Z</m:t>
            </m:r>
          </m:e>
          <m:sub>
            <m:r>
              <m:rPr>
                <m:sty m:val="p"/>
              </m:rPr>
              <w:rPr>
                <w:rFonts w:ascii="Cambria Math" w:hAnsi="Cambria Math" w:cstheme="majorHAnsi"/>
              </w:rPr>
              <m:t>π</m:t>
            </m:r>
          </m:sub>
        </m:sSub>
      </m:oMath>
      <w:r>
        <w:t xml:space="preserve">; the orange submatrix corresponds to </w:t>
      </w:r>
      <m:oMath>
        <m:sSub>
          <m:sSubPr>
            <m:ctrlPr>
              <w:rPr>
                <w:rFonts w:ascii="Cambria Math" w:hAnsi="Cambria Math" w:cstheme="majorHAnsi"/>
              </w:rPr>
            </m:ctrlPr>
          </m:sSubPr>
          <m:e>
            <m:r>
              <m:rPr>
                <m:sty m:val="p"/>
              </m:rPr>
              <w:rPr>
                <w:rFonts w:ascii="Cambria Math" w:hAnsi="Cambria Math" w:cstheme="majorHAnsi"/>
              </w:rPr>
              <m:t>E</m:t>
            </m:r>
          </m:e>
          <m:sub>
            <m:r>
              <m:rPr>
                <m:sty m:val="p"/>
              </m:rPr>
              <w:rPr>
                <w:rFonts w:ascii="Cambria Math" w:hAnsi="Cambria Math" w:cstheme="majorHAnsi"/>
              </w:rPr>
              <m:t>τ</m:t>
            </m:r>
          </m:sub>
        </m:sSub>
      </m:oMath>
      <w:r>
        <w:t xml:space="preserve">, and the blue submatrix corresponds to </w:t>
      </w:r>
      <m:oMath>
        <m:sSub>
          <m:sSubPr>
            <m:ctrlPr>
              <w:rPr>
                <w:rFonts w:ascii="Cambria Math" w:hAnsi="Cambria Math" w:cstheme="majorHAnsi"/>
              </w:rPr>
            </m:ctrlPr>
          </m:sSubPr>
          <m:e>
            <m:r>
              <m:rPr>
                <m:sty m:val="p"/>
              </m:rPr>
              <w:rPr>
                <w:rFonts w:ascii="Cambria Math" w:hAnsi="Cambria Math" w:cstheme="majorHAnsi"/>
              </w:rPr>
              <m:t>Z</m:t>
            </m:r>
          </m:e>
          <m:sub>
            <m:r>
              <m:rPr>
                <m:sty m:val="p"/>
              </m:rPr>
              <w:rPr>
                <w:rFonts w:ascii="Cambria Math" w:hAnsi="Cambria Math" w:cstheme="majorHAnsi"/>
              </w:rPr>
              <m:t>ϕ</m:t>
            </m:r>
          </m:sub>
        </m:sSub>
      </m:oMath>
      <w:r>
        <w:t>.</w:t>
      </w:r>
    </w:p>
    <w:p w14:paraId="5D3CB70E" w14:textId="2727CAD6" w:rsidR="00E06B60" w:rsidRPr="00916911" w:rsidRDefault="00E06B60" w:rsidP="00916911">
      <w:pPr>
        <w:jc w:val="both"/>
        <w:rPr>
          <w:sz w:val="20"/>
          <w:szCs w:val="20"/>
        </w:rPr>
      </w:pPr>
      <w:r w:rsidRPr="00BE744E">
        <w:rPr>
          <w:sz w:val="20"/>
          <w:szCs w:val="20"/>
        </w:rPr>
        <w:t xml:space="preserve"> </w:t>
      </w:r>
    </w:p>
    <w:p w14:paraId="1468C3A4" w14:textId="122618F6" w:rsidR="00BA252C" w:rsidRDefault="00BA252C" w:rsidP="00BA252C"/>
    <w:p w14:paraId="5A98598D" w14:textId="557122FD" w:rsidR="00BA252C" w:rsidRDefault="00BA252C" w:rsidP="00BA252C"/>
    <w:p w14:paraId="70583A38" w14:textId="77777777" w:rsidR="00916911" w:rsidRPr="00BA252C" w:rsidRDefault="00916911" w:rsidP="00BA252C"/>
    <w:p w14:paraId="0A41FF7A" w14:textId="3C9D36E1" w:rsidR="00F77D9A" w:rsidRDefault="00E06B60" w:rsidP="00CD35E5">
      <w:pPr>
        <w:pStyle w:val="Heading1"/>
      </w:pPr>
      <w:bookmarkStart w:id="5" w:name="_Toc41047420"/>
      <w:r>
        <w:lastRenderedPageBreak/>
        <w:t>6</w:t>
      </w:r>
      <w:r w:rsidR="00F77D9A">
        <w:tab/>
      </w:r>
      <w:r w:rsidR="006E217C">
        <w:t>Back-calculating primary energy</w:t>
      </w:r>
      <w:bookmarkEnd w:id="5"/>
    </w:p>
    <w:p w14:paraId="738A07ED" w14:textId="115F0137" w:rsidR="006E217C" w:rsidRDefault="006E217C" w:rsidP="006E217C"/>
    <w:p w14:paraId="04BE6709" w14:textId="4DFE3C01" w:rsidR="006E217C" w:rsidRDefault="006E217C" w:rsidP="006E217C">
      <w:r>
        <w:t>To back-calculate the primary energy input required for secondary energy, we apply standard efficiencies by electricity-generating technology. This is particularly important for electricity generated by renewable resources (e.g. solar, wind) and uranium. In the latter case, we use the value that we back-calculate to constraint uranium trade flows between countries. This teases out the energy component of uranium trading.</w:t>
      </w:r>
    </w:p>
    <w:p w14:paraId="2D50DD70" w14:textId="62ACBD99" w:rsidR="006E217C" w:rsidRDefault="006E217C" w:rsidP="006E217C">
      <w:r>
        <w:t xml:space="preserve">The following table lists the </w:t>
      </w:r>
      <w:r w:rsidR="000F1F8D">
        <w:t>notational efficiencies we use in HOMIES</w:t>
      </w:r>
      <w:r>
        <w:t>.</w:t>
      </w:r>
      <w:r w:rsidR="000F1F8D">
        <w:t xml:space="preserve"> We back-calculate by taking the magnitude of energy flow (TJ) coming out of a secondary energy source and dividing it by the technology’s notational efficiency. For instance, the </w:t>
      </w:r>
      <w:r w:rsidR="00792B2C">
        <w:t xml:space="preserve">average </w:t>
      </w:r>
      <w:r w:rsidR="000F1F8D">
        <w:t xml:space="preserve">notational efficiency of </w:t>
      </w:r>
      <w:r w:rsidR="00792B2C">
        <w:t>solar power</w:t>
      </w:r>
      <w:r w:rsidR="000F1F8D">
        <w:t xml:space="preserve"> is listed as </w:t>
      </w:r>
      <w:r w:rsidR="00792B2C">
        <w:t>0.17</w:t>
      </w:r>
      <w:r w:rsidR="000F1F8D">
        <w:t xml:space="preserve">. If a country produces 20% of its 100TJ of electricity from </w:t>
      </w:r>
      <w:r w:rsidR="00792B2C">
        <w:t>solar</w:t>
      </w:r>
      <w:r w:rsidR="000F1F8D">
        <w:t xml:space="preserve">, then the amount </w:t>
      </w:r>
      <w:r w:rsidR="00792B2C">
        <w:t>of solar</w:t>
      </w:r>
      <w:r w:rsidR="000F1F8D">
        <w:t xml:space="preserve"> primary energy required would be: 0.20(100TJ)/0.</w:t>
      </w:r>
      <w:r w:rsidR="00792B2C">
        <w:t>17</w:t>
      </w:r>
      <w:r w:rsidR="000F1F8D">
        <w:t xml:space="preserve"> = </w:t>
      </w:r>
      <w:r w:rsidR="00792B2C">
        <w:t>118</w:t>
      </w:r>
      <w:r w:rsidR="000F1F8D">
        <w:t xml:space="preserve">TJ. </w:t>
      </w:r>
      <w:r w:rsidR="00792B2C">
        <w:t>Of course, this energy is not tangible or attributable to any given country. For the purposes of this analysis, we assign solar, geothermal, wind, and hydro as domestic resources.</w:t>
      </w:r>
    </w:p>
    <w:p w14:paraId="061AFC8B" w14:textId="1E5C4C43" w:rsidR="000F1F8D" w:rsidRDefault="000F1F8D" w:rsidP="006E217C"/>
    <w:tbl>
      <w:tblPr>
        <w:tblStyle w:val="TableGrid"/>
        <w:tblW w:w="0" w:type="auto"/>
        <w:tblLook w:val="04A0" w:firstRow="1" w:lastRow="0" w:firstColumn="1" w:lastColumn="0" w:noHBand="0" w:noVBand="1"/>
      </w:tblPr>
      <w:tblGrid>
        <w:gridCol w:w="4675"/>
        <w:gridCol w:w="4675"/>
      </w:tblGrid>
      <w:tr w:rsidR="000F1F8D" w14:paraId="7525BB5C" w14:textId="77777777" w:rsidTr="00C135A9">
        <w:tc>
          <w:tcPr>
            <w:tcW w:w="4675" w:type="dxa"/>
            <w:shd w:val="clear" w:color="auto" w:fill="F2F2F2" w:themeFill="background1" w:themeFillShade="F2"/>
          </w:tcPr>
          <w:p w14:paraId="3F415CCB" w14:textId="0B004072" w:rsidR="000F1F8D" w:rsidRPr="00C135A9" w:rsidRDefault="000F1F8D" w:rsidP="006E217C">
            <w:pPr>
              <w:rPr>
                <w:b/>
              </w:rPr>
            </w:pPr>
            <w:r w:rsidRPr="00C135A9">
              <w:rPr>
                <w:b/>
              </w:rPr>
              <w:t>Technology</w:t>
            </w:r>
          </w:p>
        </w:tc>
        <w:tc>
          <w:tcPr>
            <w:tcW w:w="4675" w:type="dxa"/>
            <w:shd w:val="clear" w:color="auto" w:fill="F2F2F2" w:themeFill="background1" w:themeFillShade="F2"/>
          </w:tcPr>
          <w:p w14:paraId="4991B050" w14:textId="0E36C11D" w:rsidR="000F1F8D" w:rsidRPr="00C135A9" w:rsidRDefault="000F1F8D" w:rsidP="006E217C">
            <w:pPr>
              <w:rPr>
                <w:b/>
              </w:rPr>
            </w:pPr>
            <w:r w:rsidRPr="00C135A9">
              <w:rPr>
                <w:b/>
              </w:rPr>
              <w:t>Notational efficiency</w:t>
            </w:r>
            <w:r w:rsidR="00C135A9" w:rsidRPr="00C135A9">
              <w:rPr>
                <w:b/>
              </w:rPr>
              <w:t xml:space="preserve"> </w:t>
            </w:r>
            <w:r w:rsidRPr="00C135A9">
              <w:rPr>
                <w:b/>
              </w:rPr>
              <w:fldChar w:fldCharType="begin" w:fldLock="1"/>
            </w:r>
            <w:r w:rsidR="00C135A9" w:rsidRPr="00C135A9">
              <w:rPr>
                <w:b/>
              </w:rPr>
              <w:instrText>ADDIN CSL_CITATION {"citationItems":[{"id":"ITEM-1","itemData":{"author":[{"dropping-particle":"","family":"U.S. Energy Information Administration","given":"","non-dropping-particle":"","parse-names":false,"suffix":""}],"id":"ITEM-1","issued":{"date-parts":[["2011"]]},"publisher-place":"Washington, DC","title":"Annual Energy Review: Table F.1, Conversion Efficiencies of Non-combustible Renewable Energy Resources","type":"report"},"uris":["http://www.mendeley.com/documents/?uuid=20b9f7b7-4cfe-4ba3-b29c-eb18f9e1c10e"]},{"id":"ITEM-2","itemData":{"URL":"https://www.eia.gov/electricity/annual/html/epa_08_01.html","author":[{"dropping-particle":"","family":"U.S. Energy Information Administration","given":"","non-dropping-particle":"","parse-names":false,"suffix":""}],"container-title":"Power Plant Operations Report","id":"ITEM-2","issued":{"date-parts":[["2018"]]},"title":"Average Operating Heat Rate for Selected Energy Sources (Table 8.1)","type":"webpage"},"uris":["http://www.mendeley.com/documents/?uuid=90afc6df-5458-4e22-97c8-129bdcfca560"]}],"mendeley":{"formattedCitation":"[2,3]","plainTextFormattedCitation":"[2,3]","previouslyFormattedCitation":"[2,3]"},"properties":{"noteIndex":0},"schema":"https://github.com/citation-style-language/schema/raw/master/csl-citation.json"}</w:instrText>
            </w:r>
            <w:r w:rsidRPr="00C135A9">
              <w:rPr>
                <w:b/>
              </w:rPr>
              <w:fldChar w:fldCharType="separate"/>
            </w:r>
            <w:r w:rsidR="00C135A9" w:rsidRPr="00C135A9">
              <w:rPr>
                <w:b/>
                <w:noProof/>
              </w:rPr>
              <w:t>[2,3]</w:t>
            </w:r>
            <w:r w:rsidRPr="00C135A9">
              <w:rPr>
                <w:b/>
              </w:rPr>
              <w:fldChar w:fldCharType="end"/>
            </w:r>
          </w:p>
        </w:tc>
      </w:tr>
      <w:tr w:rsidR="000F1F8D" w14:paraId="6BCB56E2" w14:textId="77777777" w:rsidTr="000F1F8D">
        <w:tc>
          <w:tcPr>
            <w:tcW w:w="4675" w:type="dxa"/>
          </w:tcPr>
          <w:p w14:paraId="4391B182" w14:textId="3C2D9F55" w:rsidR="000F1F8D" w:rsidRDefault="000F1F8D" w:rsidP="006E217C">
            <w:r>
              <w:t>Geothermal</w:t>
            </w:r>
          </w:p>
        </w:tc>
        <w:tc>
          <w:tcPr>
            <w:tcW w:w="4675" w:type="dxa"/>
          </w:tcPr>
          <w:p w14:paraId="47539015" w14:textId="689007DD" w:rsidR="000F1F8D" w:rsidRDefault="000F1F8D" w:rsidP="006E217C">
            <w:r>
              <w:t>0.16</w:t>
            </w:r>
          </w:p>
        </w:tc>
      </w:tr>
      <w:tr w:rsidR="000F1F8D" w14:paraId="2DA96CF7" w14:textId="77777777" w:rsidTr="000F1F8D">
        <w:tc>
          <w:tcPr>
            <w:tcW w:w="4675" w:type="dxa"/>
          </w:tcPr>
          <w:p w14:paraId="72D11376" w14:textId="2373162D" w:rsidR="000F1F8D" w:rsidRDefault="000F1F8D" w:rsidP="006E217C">
            <w:r>
              <w:t>Conventional hydroelectric</w:t>
            </w:r>
          </w:p>
        </w:tc>
        <w:tc>
          <w:tcPr>
            <w:tcW w:w="4675" w:type="dxa"/>
          </w:tcPr>
          <w:p w14:paraId="59E47D58" w14:textId="631E4FD6" w:rsidR="000F1F8D" w:rsidRDefault="000F1F8D" w:rsidP="006E217C">
            <w:r>
              <w:t>0.90</w:t>
            </w:r>
          </w:p>
        </w:tc>
      </w:tr>
      <w:tr w:rsidR="000F1F8D" w14:paraId="6F8AC1D3" w14:textId="77777777" w:rsidTr="000F1F8D">
        <w:tc>
          <w:tcPr>
            <w:tcW w:w="4675" w:type="dxa"/>
          </w:tcPr>
          <w:p w14:paraId="57C60AF5" w14:textId="54D8E53F" w:rsidR="000F1F8D" w:rsidRDefault="000F1F8D" w:rsidP="006E217C">
            <w:r>
              <w:t>Solar photovoltaic</w:t>
            </w:r>
          </w:p>
        </w:tc>
        <w:tc>
          <w:tcPr>
            <w:tcW w:w="4675" w:type="dxa"/>
          </w:tcPr>
          <w:p w14:paraId="639F40ED" w14:textId="0E3F7BB4" w:rsidR="000F1F8D" w:rsidRDefault="000F1F8D" w:rsidP="006E217C">
            <w:r>
              <w:t>0.12</w:t>
            </w:r>
          </w:p>
        </w:tc>
      </w:tr>
      <w:tr w:rsidR="000F1F8D" w14:paraId="67E2C248" w14:textId="77777777" w:rsidTr="000F1F8D">
        <w:tc>
          <w:tcPr>
            <w:tcW w:w="4675" w:type="dxa"/>
          </w:tcPr>
          <w:p w14:paraId="393AB3EA" w14:textId="4A830D13" w:rsidR="000F1F8D" w:rsidRDefault="000F1F8D" w:rsidP="006E217C">
            <w:r>
              <w:t>Solar thermal power</w:t>
            </w:r>
          </w:p>
        </w:tc>
        <w:tc>
          <w:tcPr>
            <w:tcW w:w="4675" w:type="dxa"/>
          </w:tcPr>
          <w:p w14:paraId="1C14E004" w14:textId="4C4B76F0" w:rsidR="000F1F8D" w:rsidRDefault="000F1F8D" w:rsidP="006E217C">
            <w:r>
              <w:t>0.21</w:t>
            </w:r>
          </w:p>
        </w:tc>
      </w:tr>
      <w:tr w:rsidR="000F1F8D" w14:paraId="50D3D60A" w14:textId="77777777" w:rsidTr="000F1F8D">
        <w:tc>
          <w:tcPr>
            <w:tcW w:w="4675" w:type="dxa"/>
          </w:tcPr>
          <w:p w14:paraId="01443347" w14:textId="104AF6E7" w:rsidR="000F1F8D" w:rsidRDefault="000F1F8D" w:rsidP="006E217C">
            <w:r>
              <w:t>Wind</w:t>
            </w:r>
          </w:p>
        </w:tc>
        <w:tc>
          <w:tcPr>
            <w:tcW w:w="4675" w:type="dxa"/>
          </w:tcPr>
          <w:p w14:paraId="306FEC95" w14:textId="56AF350D" w:rsidR="000F1F8D" w:rsidRDefault="000F1F8D" w:rsidP="006E217C">
            <w:r>
              <w:t>0.26</w:t>
            </w:r>
          </w:p>
        </w:tc>
      </w:tr>
      <w:tr w:rsidR="000F1F8D" w14:paraId="226E45CB" w14:textId="77777777" w:rsidTr="000F1F8D">
        <w:tc>
          <w:tcPr>
            <w:tcW w:w="4675" w:type="dxa"/>
          </w:tcPr>
          <w:p w14:paraId="69C70EAA" w14:textId="019C9179" w:rsidR="000F1F8D" w:rsidRDefault="00C135A9" w:rsidP="006E217C">
            <w:r>
              <w:t>Nuclear</w:t>
            </w:r>
          </w:p>
        </w:tc>
        <w:tc>
          <w:tcPr>
            <w:tcW w:w="4675" w:type="dxa"/>
          </w:tcPr>
          <w:p w14:paraId="148A8DCA" w14:textId="362B4F77" w:rsidR="000F1F8D" w:rsidRDefault="00C135A9" w:rsidP="006E217C">
            <w:r>
              <w:t>0.36</w:t>
            </w:r>
          </w:p>
        </w:tc>
      </w:tr>
    </w:tbl>
    <w:p w14:paraId="55E672B1" w14:textId="45AC6A51" w:rsidR="000F1F8D" w:rsidRDefault="000F1F8D" w:rsidP="006E217C"/>
    <w:p w14:paraId="0B076C69" w14:textId="640A909D" w:rsidR="00792B2C" w:rsidRDefault="00792B2C" w:rsidP="006E217C">
      <w:r>
        <w:t xml:space="preserve">Uranium, the fuel used to generate nuclear electricity, can be mined, stored, and traded. We therefore include a further procedure to compile bilateral and domestic uranium flows. We assume in this analysis that all uranium that is imported is used toward electricity generation. We first identify the amount of uranium (primary energy) that is used to generate nuclear electricity (secondary energy). This information is found in the IEA World Energy Balances database (WEB). WEB includes values on nuclear based electricity generation by country and year. We assume the average efficiency of 36% for nuclear power plants. This gives us how many TJ of uranium (primary energy) is input to meet electricity demand. We divide this input value into uranium (primary energy) that is (a) mined domestically, (b) stored domestically, and (c) imported. </w:t>
      </w:r>
      <w:r w:rsidR="00C7329F">
        <w:t>Domestic mining activity is derived using the World Mining Database, which includes mining activity for each country, by resource and year. We multiply the mass units (</w:t>
      </w:r>
      <w:proofErr w:type="spellStart"/>
      <w:r w:rsidR="00C7329F">
        <w:t>tonne</w:t>
      </w:r>
      <w:proofErr w:type="spellEnd"/>
      <w:r w:rsidR="00C7329F">
        <w:t>) by a global constant specific energy for uranium (500TJ/</w:t>
      </w:r>
      <w:proofErr w:type="spellStart"/>
      <w:r w:rsidR="00C7329F">
        <w:t>tonne</w:t>
      </w:r>
      <w:proofErr w:type="spellEnd"/>
      <w:r w:rsidR="00C7329F">
        <w:t>). Similarly, we derive imported uranium (primary energy) by multiplying mass units in the BACI bilateral trade database by the specific energy. The remainder of the uranium is attributed to domestic uranium storage.</w:t>
      </w:r>
    </w:p>
    <w:p w14:paraId="045ABFA4" w14:textId="4505E1A2" w:rsidR="00755D0D" w:rsidRDefault="00755D0D" w:rsidP="006E217C"/>
    <w:p w14:paraId="0DADD77A" w14:textId="01E6EC5D" w:rsidR="00755D0D" w:rsidRDefault="00755D0D" w:rsidP="006E217C">
      <w:r>
        <w:t>The following table lists the heat values/energy contents for fuels used in HOMIES. These values are taken from the World Nuclear Association, United States Energy Information Administration, and the Food and Agriculture Organization of the United Nations.</w:t>
      </w:r>
    </w:p>
    <w:tbl>
      <w:tblPr>
        <w:tblStyle w:val="TableGrid"/>
        <w:tblW w:w="0" w:type="auto"/>
        <w:tblLook w:val="04A0" w:firstRow="1" w:lastRow="0" w:firstColumn="1" w:lastColumn="0" w:noHBand="0" w:noVBand="1"/>
      </w:tblPr>
      <w:tblGrid>
        <w:gridCol w:w="1885"/>
        <w:gridCol w:w="7465"/>
      </w:tblGrid>
      <w:tr w:rsidR="00755D0D" w14:paraId="76B6F78B" w14:textId="77777777" w:rsidTr="009E6F5A">
        <w:tc>
          <w:tcPr>
            <w:tcW w:w="1885" w:type="dxa"/>
          </w:tcPr>
          <w:p w14:paraId="109A9167" w14:textId="347A9639" w:rsidR="00755D0D" w:rsidRPr="00755D0D" w:rsidRDefault="00755D0D" w:rsidP="006E217C">
            <w:pPr>
              <w:rPr>
                <w:b/>
              </w:rPr>
            </w:pPr>
            <w:r w:rsidRPr="00755D0D">
              <w:rPr>
                <w:b/>
              </w:rPr>
              <w:lastRenderedPageBreak/>
              <w:t>Energy Resource</w:t>
            </w:r>
          </w:p>
        </w:tc>
        <w:tc>
          <w:tcPr>
            <w:tcW w:w="7465" w:type="dxa"/>
          </w:tcPr>
          <w:p w14:paraId="14C8CEEC" w14:textId="60FDD2CA" w:rsidR="00755D0D" w:rsidRPr="00755D0D" w:rsidRDefault="00755D0D" w:rsidP="006E217C">
            <w:pPr>
              <w:rPr>
                <w:b/>
              </w:rPr>
            </w:pPr>
            <w:r w:rsidRPr="00755D0D">
              <w:rPr>
                <w:b/>
              </w:rPr>
              <w:t>Heating values/energy content (TJ/</w:t>
            </w:r>
            <w:proofErr w:type="spellStart"/>
            <w:r w:rsidRPr="00755D0D">
              <w:rPr>
                <w:b/>
              </w:rPr>
              <w:t>tonne</w:t>
            </w:r>
            <w:proofErr w:type="spellEnd"/>
            <w:r w:rsidRPr="00755D0D">
              <w:rPr>
                <w:b/>
              </w:rPr>
              <w:t>)</w:t>
            </w:r>
          </w:p>
        </w:tc>
      </w:tr>
      <w:tr w:rsidR="00755D0D" w14:paraId="74E03BDB" w14:textId="77777777" w:rsidTr="009E6F5A">
        <w:tc>
          <w:tcPr>
            <w:tcW w:w="1885" w:type="dxa"/>
          </w:tcPr>
          <w:p w14:paraId="64437818" w14:textId="1C59CDAE" w:rsidR="00755D0D" w:rsidRDefault="00755D0D" w:rsidP="006E217C">
            <w:r>
              <w:t>Bioenergy</w:t>
            </w:r>
          </w:p>
        </w:tc>
        <w:tc>
          <w:tcPr>
            <w:tcW w:w="7465" w:type="dxa"/>
          </w:tcPr>
          <w:p w14:paraId="0B632071" w14:textId="34A48A76" w:rsidR="00755D0D" w:rsidRDefault="009E6F5A" w:rsidP="006E217C">
            <w:r>
              <w:t>0.037 (biodiesel); 0.02 (peat)</w:t>
            </w:r>
          </w:p>
        </w:tc>
      </w:tr>
      <w:tr w:rsidR="00755D0D" w14:paraId="5647FE0F" w14:textId="77777777" w:rsidTr="009E6F5A">
        <w:tc>
          <w:tcPr>
            <w:tcW w:w="1885" w:type="dxa"/>
          </w:tcPr>
          <w:p w14:paraId="59653239" w14:textId="3A2119CB" w:rsidR="00755D0D" w:rsidRDefault="00755D0D" w:rsidP="006E217C">
            <w:r>
              <w:t>Coal</w:t>
            </w:r>
          </w:p>
        </w:tc>
        <w:tc>
          <w:tcPr>
            <w:tcW w:w="7465" w:type="dxa"/>
          </w:tcPr>
          <w:p w14:paraId="1A44A3AE" w14:textId="1768F3AC" w:rsidR="00755D0D" w:rsidRDefault="009E6F5A" w:rsidP="006E217C">
            <w:r>
              <w:t>0.015 (lignite); 0.018 (sub-bituminous); 0.025 (coke)</w:t>
            </w:r>
          </w:p>
        </w:tc>
      </w:tr>
      <w:tr w:rsidR="00755D0D" w14:paraId="2C54410E" w14:textId="77777777" w:rsidTr="009E6F5A">
        <w:tc>
          <w:tcPr>
            <w:tcW w:w="1885" w:type="dxa"/>
          </w:tcPr>
          <w:p w14:paraId="22EA79F7" w14:textId="3E807302" w:rsidR="00755D0D" w:rsidRDefault="00755D0D" w:rsidP="006E217C">
            <w:r>
              <w:t>Crude oil</w:t>
            </w:r>
          </w:p>
        </w:tc>
        <w:tc>
          <w:tcPr>
            <w:tcW w:w="7465" w:type="dxa"/>
          </w:tcPr>
          <w:p w14:paraId="1855BD84" w14:textId="26E00B51" w:rsidR="00755D0D" w:rsidRDefault="009E6F5A" w:rsidP="006E217C">
            <w:r>
              <w:t>0.045</w:t>
            </w:r>
          </w:p>
        </w:tc>
      </w:tr>
      <w:tr w:rsidR="00755D0D" w14:paraId="0AD18F35" w14:textId="77777777" w:rsidTr="009E6F5A">
        <w:tc>
          <w:tcPr>
            <w:tcW w:w="1885" w:type="dxa"/>
          </w:tcPr>
          <w:p w14:paraId="3750703B" w14:textId="277E899C" w:rsidR="00755D0D" w:rsidRDefault="00755D0D" w:rsidP="006E217C">
            <w:r>
              <w:t>Natural gas</w:t>
            </w:r>
          </w:p>
        </w:tc>
        <w:tc>
          <w:tcPr>
            <w:tcW w:w="7465" w:type="dxa"/>
          </w:tcPr>
          <w:p w14:paraId="23EE5F7A" w14:textId="53EF90F7" w:rsidR="00755D0D" w:rsidRDefault="009E6F5A" w:rsidP="006E217C">
            <w:r>
              <w:t>0.048</w:t>
            </w:r>
          </w:p>
        </w:tc>
      </w:tr>
      <w:tr w:rsidR="00755D0D" w14:paraId="1BC0B1FE" w14:textId="77777777" w:rsidTr="009E6F5A">
        <w:tc>
          <w:tcPr>
            <w:tcW w:w="1885" w:type="dxa"/>
          </w:tcPr>
          <w:p w14:paraId="246FAD76" w14:textId="1270822B" w:rsidR="00755D0D" w:rsidRDefault="00755D0D" w:rsidP="006E217C">
            <w:r>
              <w:t>Uranium</w:t>
            </w:r>
          </w:p>
        </w:tc>
        <w:tc>
          <w:tcPr>
            <w:tcW w:w="7465" w:type="dxa"/>
          </w:tcPr>
          <w:p w14:paraId="6B5E4D19" w14:textId="6A0A9DF6" w:rsidR="00755D0D" w:rsidRDefault="009E6F5A" w:rsidP="006E217C">
            <w:r>
              <w:t>500</w:t>
            </w:r>
          </w:p>
        </w:tc>
      </w:tr>
    </w:tbl>
    <w:p w14:paraId="13065646" w14:textId="77777777" w:rsidR="00755D0D" w:rsidRDefault="00755D0D" w:rsidP="006E217C"/>
    <w:p w14:paraId="4F5E8EDB" w14:textId="77777777" w:rsidR="00755D0D" w:rsidRDefault="00755D0D" w:rsidP="006E217C"/>
    <w:p w14:paraId="335C8935" w14:textId="77777777" w:rsidR="00792B2C" w:rsidRPr="00792B2C" w:rsidRDefault="00792B2C" w:rsidP="006E217C"/>
    <w:p w14:paraId="586F9AB2" w14:textId="4C8E8730" w:rsidR="00C135A9" w:rsidRDefault="00C135A9" w:rsidP="006E217C"/>
    <w:p w14:paraId="12E52531" w14:textId="46E250DE" w:rsidR="00C135A9" w:rsidRDefault="00C135A9" w:rsidP="006E217C"/>
    <w:p w14:paraId="73453621" w14:textId="09693738" w:rsidR="009E6F5A" w:rsidRDefault="009E6F5A" w:rsidP="006E217C"/>
    <w:p w14:paraId="24780975" w14:textId="75162EBE" w:rsidR="009E6F5A" w:rsidRDefault="009E6F5A" w:rsidP="006E217C"/>
    <w:p w14:paraId="6F0C239C" w14:textId="733C36E1" w:rsidR="009E6F5A" w:rsidRDefault="009E6F5A" w:rsidP="006E217C"/>
    <w:p w14:paraId="68124874" w14:textId="7E79CA78" w:rsidR="009E6F5A" w:rsidRDefault="009E6F5A" w:rsidP="006E217C"/>
    <w:p w14:paraId="21596870" w14:textId="6752ADCF" w:rsidR="009E6F5A" w:rsidRDefault="009E6F5A" w:rsidP="006E217C"/>
    <w:p w14:paraId="69E2DE8D" w14:textId="0A61E2E9" w:rsidR="009E6F5A" w:rsidRDefault="009E6F5A" w:rsidP="006E217C"/>
    <w:p w14:paraId="684ABA24" w14:textId="277A02D4" w:rsidR="009E6F5A" w:rsidRDefault="009E6F5A" w:rsidP="006E217C"/>
    <w:p w14:paraId="0ECB551D" w14:textId="3E549B07" w:rsidR="009E6F5A" w:rsidRDefault="009E6F5A" w:rsidP="006E217C"/>
    <w:p w14:paraId="4ECC3CF3" w14:textId="7A343B6F" w:rsidR="009E6F5A" w:rsidRDefault="009E6F5A" w:rsidP="006E217C"/>
    <w:p w14:paraId="40D8FD72" w14:textId="3A75F7AC" w:rsidR="009E6F5A" w:rsidRDefault="009E6F5A" w:rsidP="006E217C"/>
    <w:p w14:paraId="5AAB49CA" w14:textId="6B621C61" w:rsidR="009E6F5A" w:rsidRDefault="009E6F5A" w:rsidP="006E217C"/>
    <w:p w14:paraId="2DE7AA21" w14:textId="46B07EA9" w:rsidR="009E6F5A" w:rsidRDefault="009E6F5A" w:rsidP="006E217C"/>
    <w:p w14:paraId="7BF7F6C0" w14:textId="2198989D" w:rsidR="009E6F5A" w:rsidRDefault="009E6F5A" w:rsidP="006E217C"/>
    <w:p w14:paraId="76238C95" w14:textId="4D16FD90" w:rsidR="009E6F5A" w:rsidRDefault="009E6F5A" w:rsidP="006E217C"/>
    <w:p w14:paraId="060A494B" w14:textId="7E2E8148" w:rsidR="009E6F5A" w:rsidRDefault="009E6F5A" w:rsidP="006E217C"/>
    <w:p w14:paraId="5922A735" w14:textId="7734EBFB" w:rsidR="009E6F5A" w:rsidRDefault="009E6F5A" w:rsidP="006E217C"/>
    <w:p w14:paraId="444DF80A" w14:textId="380206DA" w:rsidR="009E6F5A" w:rsidRDefault="009E6F5A" w:rsidP="006E217C"/>
    <w:p w14:paraId="40CD991C" w14:textId="5EE31C95" w:rsidR="009E6F5A" w:rsidRDefault="009E6F5A" w:rsidP="006E217C"/>
    <w:p w14:paraId="49CC655C" w14:textId="77777777" w:rsidR="009E6F5A" w:rsidRDefault="009E6F5A" w:rsidP="006E217C"/>
    <w:p w14:paraId="07DAC5DE" w14:textId="14A62508" w:rsidR="00C135A9" w:rsidRDefault="002E7477" w:rsidP="002E7477">
      <w:pPr>
        <w:pStyle w:val="Heading1"/>
      </w:pPr>
      <w:bookmarkStart w:id="6" w:name="_Toc41047421"/>
      <w:r>
        <w:lastRenderedPageBreak/>
        <w:t>7</w:t>
      </w:r>
      <w:r>
        <w:tab/>
        <w:t>Bioenergy correspondence table</w:t>
      </w:r>
      <w:bookmarkEnd w:id="6"/>
    </w:p>
    <w:p w14:paraId="7066577A" w14:textId="77777777" w:rsidR="002E7477" w:rsidRDefault="002E7477" w:rsidP="002E7477"/>
    <w:p w14:paraId="5075EC6D" w14:textId="18D10548" w:rsidR="002E7477" w:rsidRDefault="002E7477" w:rsidP="002E7477">
      <w:pPr>
        <w:ind w:firstLine="720"/>
      </w:pPr>
      <w:r>
        <w:t xml:space="preserve">In order to derive monetary and energy flows that are used to produce bioenergy (a primary energy type), we must first divide out the energy component of the Agriculture sector in the Eora database. To do this, we rely on a correspondence between the FAO Crop Production Database and the IEA Renewables and Waste Database </w:t>
      </w:r>
      <w:r>
        <w:fldChar w:fldCharType="begin" w:fldLock="1"/>
      </w:r>
      <w:r>
        <w:instrText>ADDIN CSL_CITATION {"citationItems":[{"id":"ITEM-1","itemData":{"DOI":"10.1016/j.jad.2018.09.064","ISSN":"0165-0327","PMID":"510","abstract":"This online FAO statistical database allows the user to search for data within the field of food and agriculture, including indicators on production, trade, agri-environmental factors, food balance, food security, agricultural emissions, prices, land use emissions, population, forestry, investment, and emergency response. Data can be searched by topic, country, and region.","author":[{"dropping-particle":"","family":"FAO","given":"","non-dropping-particle":"","parse-names":false,"suffix":""}],"container-title":"Food and Agriculture Organization of the United Nations. Rome (Italy)","id":"ITEM-1","issued":{"date-parts":[["2018"]]},"title":"FAOSTAT Data","type":"webpage"},"uris":["http://www.mendeley.com/documents/?uuid=18f9291d-0cc5-4b09-acda-e3a2f5ecaf85"]},{"id":"ITEM-2","itemData":{"DOI":"https://doi.org/10.1787/data-00549-en","author":[{"dropping-particle":"","family":"International Energy Agency","given":"","non-dropping-particle":"","parse-names":false,"suffix":""}],"id":"ITEM-2","issued":{"date-parts":[["2017"]]},"publisher":"OECD","publisher-place":"Paris","title":"Renewables and Waste Database","type":"article"},"uris":["http://www.mendeley.com/documents/?uuid=e6fad311-1373-44fa-83f2-5b9e10339991"]}],"mendeley":{"formattedCitation":"[4,5]","plainTextFormattedCitation":"[4,5]","previouslyFormattedCitation":"[4,5]"},"properties":{"noteIndex":0},"schema":"https://github.com/citation-style-language/schema/raw/master/csl-citation.json"}</w:instrText>
      </w:r>
      <w:r>
        <w:fldChar w:fldCharType="separate"/>
      </w:r>
      <w:r w:rsidRPr="002E7477">
        <w:rPr>
          <w:noProof/>
        </w:rPr>
        <w:t>[4,5]</w:t>
      </w:r>
      <w:r>
        <w:fldChar w:fldCharType="end"/>
      </w:r>
      <w:r>
        <w:t xml:space="preserve">. We outline the procedure for deriving these flows in the main text. Below, we present a table with the heat content and conversion factors for the bioenergy products represented in HOMIES. The conversion efficiencies are largely based on Huang and Zhang (2011) </w:t>
      </w:r>
      <w:r>
        <w:fldChar w:fldCharType="begin" w:fldLock="1"/>
      </w:r>
      <w:r>
        <w:instrText>ADDIN CSL_CITATION {"citationItems":[{"id":"ITEM-1","itemData":{"DOI":"10.1371/journal.pone.0022113","ISSN":"19326203","PMID":"21765941","abstract":"Background: Energy efficiency analysis for different biomass-utilization scenarios would help make more informed decisions for developing future biomass-based transportation systems. Diverse biofuels produced from biomass include cellulosic ethanol, butanol, fatty acid ethyl esters, methane, hydrogen, methanol, dimethyether, Fischer-Tropsch diesel, and bioelectricity; the respective powertrain systems include internal combustion engine (ICE) vehicles, hybrid electric vehicles based on gasoline or diesel ICEs, hydrogen fuel cell vehicles, sugar fuel cell vehicles (SFCV), and battery electric vehicles (BEV). Methodology/Principal Findings: We conducted a simple, straightforward, and transparent biomass-to-wheel (BTW) analysis including three separate conversion elements - biomass-to-fuel conversion, fuel transport and distribution, and respective powertrain systems. BTW efficiency is a ratio of the kinetic energy of an automobile's wheels to the chemical energy of delivered biomass just before entering biorefineries. Up to 13 scenarios were analyzed and compared to a base line case - corn ethanol/ICE. This analysis suggests that BEV, whose electricity is generated from stationary fuel cells, and SFCV, based on a hydrogen fuel cell vehicle with an on-board sugar-to-hydrogen bioreformer, would have the highest BTW efficiencies, nearly four times that of ethanol-ICE. Significance: In the long term, a small fraction of the annual US biomass (e.g., 7.1%, or 700 million tons of biomass) would be sufficient to meet 100% of light-duty passenger vehicle fuel needs (i.e., 150 billion gallons of gasoline/ethanol per year), through up to four-fold enhanced BTW efficiencies by using SFCV or BEV. SFCV would have several advantages over BEV: much higher energy storage densities, faster refilling rates, better safety, and less environmental burdens. © 2011 Huang, Zhang.","author":[{"dropping-particle":"","family":"Huang","given":"Wei Dong","non-dropping-particle":"","parse-names":false,"suffix":""},{"dropping-particle":"","family":"Zhang","given":"Y. H.Percival","non-dropping-particle":"","parse-names":false,"suffix":""}],"container-title":"PLoS ONE","id":"ITEM-1","issued":{"date-parts":[["2011"]]},"title":"Energy efficiency analysis: Biomass-to-wheel efficiency related with biofuels production, fuel distribution, and powertrain systems","type":"article-journal"},"uris":["http://www.mendeley.com/documents/?uuid=1fe90191-60a5-4ca6-8fb8-877b56b3edba"]}],"mendeley":{"formattedCitation":"[6]","plainTextFormattedCitation":"[6]","previouslyFormattedCitation":"[6]"},"properties":{"noteIndex":0},"schema":"https://github.com/citation-style-language/schema/raw/master/csl-citation.json"}</w:instrText>
      </w:r>
      <w:r>
        <w:fldChar w:fldCharType="separate"/>
      </w:r>
      <w:r w:rsidRPr="002E7477">
        <w:rPr>
          <w:noProof/>
        </w:rPr>
        <w:t>[6]</w:t>
      </w:r>
      <w:r>
        <w:fldChar w:fldCharType="end"/>
      </w:r>
    </w:p>
    <w:tbl>
      <w:tblPr>
        <w:tblpPr w:leftFromText="180" w:rightFromText="180" w:vertAnchor="text" w:horzAnchor="margin" w:tblpY="296"/>
        <w:tblW w:w="9265" w:type="dxa"/>
        <w:tblLook w:val="04A0" w:firstRow="1" w:lastRow="0" w:firstColumn="1" w:lastColumn="0" w:noHBand="0" w:noVBand="1"/>
      </w:tblPr>
      <w:tblGrid>
        <w:gridCol w:w="2577"/>
        <w:gridCol w:w="746"/>
        <w:gridCol w:w="2354"/>
        <w:gridCol w:w="3588"/>
      </w:tblGrid>
      <w:tr w:rsidR="002E7477" w:rsidRPr="002E7477" w14:paraId="26AC286F" w14:textId="77777777" w:rsidTr="002E7477">
        <w:trPr>
          <w:trHeight w:val="390"/>
        </w:trPr>
        <w:tc>
          <w:tcPr>
            <w:tcW w:w="2577" w:type="dxa"/>
            <w:tcBorders>
              <w:top w:val="single" w:sz="4" w:space="0" w:color="auto"/>
              <w:left w:val="single" w:sz="4" w:space="0" w:color="auto"/>
              <w:bottom w:val="single" w:sz="4" w:space="0" w:color="auto"/>
              <w:right w:val="nil"/>
            </w:tcBorders>
            <w:shd w:val="clear" w:color="000000" w:fill="FFFFFF"/>
            <w:noWrap/>
            <w:vAlign w:val="bottom"/>
            <w:hideMark/>
          </w:tcPr>
          <w:p w14:paraId="0BA854B0" w14:textId="77777777" w:rsidR="002E7477" w:rsidRPr="002E7477" w:rsidRDefault="002E7477" w:rsidP="002E7477">
            <w:pPr>
              <w:spacing w:after="0" w:line="240" w:lineRule="auto"/>
              <w:rPr>
                <w:rFonts w:ascii="Calibri Light" w:eastAsia="Times New Roman" w:hAnsi="Calibri Light" w:cs="Calibri Light"/>
                <w:b/>
                <w:bCs/>
                <w:color w:val="000000"/>
                <w:sz w:val="18"/>
                <w:szCs w:val="18"/>
              </w:rPr>
            </w:pPr>
            <w:r w:rsidRPr="002E7477">
              <w:rPr>
                <w:rFonts w:ascii="Calibri Light" w:eastAsia="Times New Roman" w:hAnsi="Calibri Light" w:cs="Calibri Light"/>
                <w:b/>
                <w:bCs/>
                <w:color w:val="000000"/>
                <w:sz w:val="18"/>
                <w:szCs w:val="18"/>
              </w:rPr>
              <w:t>Biofuel</w:t>
            </w:r>
          </w:p>
        </w:tc>
        <w:tc>
          <w:tcPr>
            <w:tcW w:w="746" w:type="dxa"/>
            <w:tcBorders>
              <w:top w:val="single" w:sz="4" w:space="0" w:color="auto"/>
              <w:left w:val="nil"/>
              <w:bottom w:val="single" w:sz="4" w:space="0" w:color="auto"/>
              <w:right w:val="nil"/>
            </w:tcBorders>
            <w:shd w:val="clear" w:color="000000" w:fill="FFFFFF"/>
            <w:noWrap/>
            <w:vAlign w:val="bottom"/>
            <w:hideMark/>
          </w:tcPr>
          <w:p w14:paraId="53C5AC05" w14:textId="77777777" w:rsidR="002E7477" w:rsidRPr="002E7477" w:rsidRDefault="002E7477" w:rsidP="002E7477">
            <w:pPr>
              <w:spacing w:after="0" w:line="240" w:lineRule="auto"/>
              <w:rPr>
                <w:rFonts w:ascii="Calibri Light" w:eastAsia="Times New Roman" w:hAnsi="Calibri Light" w:cs="Calibri Light"/>
                <w:b/>
                <w:bCs/>
                <w:color w:val="000000"/>
                <w:sz w:val="18"/>
                <w:szCs w:val="18"/>
              </w:rPr>
            </w:pPr>
            <w:r w:rsidRPr="002E7477">
              <w:rPr>
                <w:rFonts w:ascii="Calibri Light" w:eastAsia="Times New Roman" w:hAnsi="Calibri Light" w:cs="Calibri Light"/>
                <w:b/>
                <w:bCs/>
                <w:color w:val="000000"/>
                <w:sz w:val="18"/>
                <w:szCs w:val="18"/>
              </w:rPr>
              <w:t>Units</w:t>
            </w:r>
          </w:p>
        </w:tc>
        <w:tc>
          <w:tcPr>
            <w:tcW w:w="2354" w:type="dxa"/>
            <w:tcBorders>
              <w:top w:val="single" w:sz="4" w:space="0" w:color="auto"/>
              <w:left w:val="nil"/>
              <w:bottom w:val="single" w:sz="4" w:space="0" w:color="auto"/>
              <w:right w:val="nil"/>
            </w:tcBorders>
            <w:shd w:val="clear" w:color="000000" w:fill="FFFFFF"/>
            <w:noWrap/>
            <w:vAlign w:val="bottom"/>
            <w:hideMark/>
          </w:tcPr>
          <w:p w14:paraId="61650B9D" w14:textId="77777777" w:rsidR="002E7477" w:rsidRPr="002E7477" w:rsidRDefault="002E7477" w:rsidP="002E7477">
            <w:pPr>
              <w:spacing w:after="0" w:line="240" w:lineRule="auto"/>
              <w:rPr>
                <w:rFonts w:ascii="Calibri Light" w:eastAsia="Times New Roman" w:hAnsi="Calibri Light" w:cs="Calibri Light"/>
                <w:b/>
                <w:bCs/>
                <w:color w:val="000000"/>
                <w:sz w:val="18"/>
                <w:szCs w:val="18"/>
              </w:rPr>
            </w:pPr>
            <w:r w:rsidRPr="002E7477">
              <w:rPr>
                <w:rFonts w:ascii="Calibri Light" w:eastAsia="Times New Roman" w:hAnsi="Calibri Light" w:cs="Calibri Light"/>
                <w:b/>
                <w:bCs/>
                <w:color w:val="000000"/>
                <w:sz w:val="18"/>
                <w:szCs w:val="18"/>
              </w:rPr>
              <w:t>Energy Content</w:t>
            </w:r>
          </w:p>
        </w:tc>
        <w:tc>
          <w:tcPr>
            <w:tcW w:w="3588" w:type="dxa"/>
            <w:tcBorders>
              <w:top w:val="single" w:sz="4" w:space="0" w:color="auto"/>
              <w:left w:val="nil"/>
              <w:bottom w:val="single" w:sz="4" w:space="0" w:color="auto"/>
              <w:right w:val="single" w:sz="4" w:space="0" w:color="auto"/>
            </w:tcBorders>
            <w:shd w:val="clear" w:color="000000" w:fill="FFFFFF"/>
            <w:noWrap/>
            <w:vAlign w:val="bottom"/>
            <w:hideMark/>
          </w:tcPr>
          <w:p w14:paraId="7C7B7108" w14:textId="77777777" w:rsidR="002E7477" w:rsidRPr="002E7477" w:rsidRDefault="002E7477" w:rsidP="002E7477">
            <w:pPr>
              <w:spacing w:after="0" w:line="240" w:lineRule="auto"/>
              <w:rPr>
                <w:rFonts w:ascii="Calibri Light" w:eastAsia="Times New Roman" w:hAnsi="Calibri Light" w:cs="Calibri Light"/>
                <w:b/>
                <w:bCs/>
                <w:color w:val="000000"/>
                <w:sz w:val="18"/>
                <w:szCs w:val="18"/>
              </w:rPr>
            </w:pPr>
            <w:r w:rsidRPr="002E7477">
              <w:rPr>
                <w:rFonts w:ascii="Calibri Light" w:eastAsia="Times New Roman" w:hAnsi="Calibri Light" w:cs="Calibri Light"/>
                <w:b/>
                <w:bCs/>
                <w:color w:val="000000"/>
                <w:sz w:val="18"/>
                <w:szCs w:val="18"/>
              </w:rPr>
              <w:t>Conversion Efficiency</w:t>
            </w:r>
          </w:p>
        </w:tc>
      </w:tr>
      <w:tr w:rsidR="002E7477" w:rsidRPr="002E7477" w14:paraId="01561FDD" w14:textId="77777777" w:rsidTr="002E7477">
        <w:trPr>
          <w:trHeight w:val="825"/>
        </w:trPr>
        <w:tc>
          <w:tcPr>
            <w:tcW w:w="2577" w:type="dxa"/>
            <w:tcBorders>
              <w:top w:val="nil"/>
              <w:left w:val="single" w:sz="4" w:space="0" w:color="auto"/>
              <w:bottom w:val="nil"/>
              <w:right w:val="nil"/>
            </w:tcBorders>
            <w:shd w:val="clear" w:color="000000" w:fill="FFFFFF"/>
            <w:noWrap/>
            <w:vAlign w:val="center"/>
            <w:hideMark/>
          </w:tcPr>
          <w:p w14:paraId="3597ECC9" w14:textId="77777777" w:rsidR="002E7477" w:rsidRPr="002E7477" w:rsidRDefault="002E7477" w:rsidP="002E7477">
            <w:pPr>
              <w:spacing w:after="0" w:line="240" w:lineRule="auto"/>
              <w:rPr>
                <w:rFonts w:ascii="Calibri Light" w:eastAsia="Times New Roman" w:hAnsi="Calibri Light" w:cs="Calibri Light"/>
                <w:color w:val="000000"/>
                <w:sz w:val="18"/>
                <w:szCs w:val="18"/>
              </w:rPr>
            </w:pPr>
            <w:r w:rsidRPr="002E7477">
              <w:rPr>
                <w:rFonts w:ascii="Calibri Light" w:eastAsia="Times New Roman" w:hAnsi="Calibri Light" w:cs="Calibri Light"/>
                <w:color w:val="000000"/>
                <w:sz w:val="18"/>
                <w:szCs w:val="18"/>
              </w:rPr>
              <w:t>Biodiesel</w:t>
            </w:r>
          </w:p>
        </w:tc>
        <w:tc>
          <w:tcPr>
            <w:tcW w:w="746" w:type="dxa"/>
            <w:tcBorders>
              <w:top w:val="nil"/>
              <w:left w:val="nil"/>
              <w:bottom w:val="nil"/>
              <w:right w:val="nil"/>
            </w:tcBorders>
            <w:shd w:val="clear" w:color="000000" w:fill="FFFFFF"/>
            <w:noWrap/>
            <w:vAlign w:val="center"/>
            <w:hideMark/>
          </w:tcPr>
          <w:p w14:paraId="2063B948" w14:textId="77777777" w:rsidR="002E7477" w:rsidRPr="002E7477" w:rsidRDefault="002E7477" w:rsidP="002E7477">
            <w:pPr>
              <w:spacing w:after="0" w:line="240" w:lineRule="auto"/>
              <w:rPr>
                <w:rFonts w:ascii="Calibri Light" w:eastAsia="Times New Roman" w:hAnsi="Calibri Light" w:cs="Calibri Light"/>
                <w:color w:val="000000"/>
                <w:sz w:val="18"/>
                <w:szCs w:val="18"/>
              </w:rPr>
            </w:pPr>
            <w:proofErr w:type="spellStart"/>
            <w:r w:rsidRPr="002E7477">
              <w:rPr>
                <w:rFonts w:ascii="Calibri Light" w:eastAsia="Times New Roman" w:hAnsi="Calibri Light" w:cs="Calibri Light"/>
                <w:color w:val="000000"/>
                <w:sz w:val="18"/>
                <w:szCs w:val="18"/>
              </w:rPr>
              <w:t>kt</w:t>
            </w:r>
            <w:proofErr w:type="spellEnd"/>
          </w:p>
        </w:tc>
        <w:tc>
          <w:tcPr>
            <w:tcW w:w="2354" w:type="dxa"/>
            <w:tcBorders>
              <w:top w:val="nil"/>
              <w:left w:val="nil"/>
              <w:bottom w:val="nil"/>
              <w:right w:val="nil"/>
            </w:tcBorders>
            <w:shd w:val="clear" w:color="000000" w:fill="FFFFFF"/>
            <w:noWrap/>
            <w:vAlign w:val="center"/>
            <w:hideMark/>
          </w:tcPr>
          <w:p w14:paraId="2CC7C5F7" w14:textId="77777777" w:rsidR="002E7477" w:rsidRPr="002E7477" w:rsidRDefault="002E7477" w:rsidP="002E7477">
            <w:pPr>
              <w:spacing w:after="0" w:line="240" w:lineRule="auto"/>
              <w:rPr>
                <w:rFonts w:ascii="Calibri Light" w:eastAsia="Times New Roman" w:hAnsi="Calibri Light" w:cs="Calibri Light"/>
                <w:color w:val="000000"/>
                <w:sz w:val="18"/>
                <w:szCs w:val="18"/>
              </w:rPr>
            </w:pPr>
            <w:r w:rsidRPr="002E7477">
              <w:rPr>
                <w:rFonts w:ascii="Calibri Light" w:eastAsia="Times New Roman" w:hAnsi="Calibri Light" w:cs="Calibri Light"/>
                <w:color w:val="000000"/>
                <w:sz w:val="18"/>
                <w:szCs w:val="18"/>
              </w:rPr>
              <w:t> </w:t>
            </w:r>
          </w:p>
        </w:tc>
        <w:tc>
          <w:tcPr>
            <w:tcW w:w="3588" w:type="dxa"/>
            <w:tcBorders>
              <w:top w:val="nil"/>
              <w:left w:val="nil"/>
              <w:bottom w:val="nil"/>
              <w:right w:val="single" w:sz="4" w:space="0" w:color="auto"/>
            </w:tcBorders>
            <w:shd w:val="clear" w:color="000000" w:fill="FFFFFF"/>
            <w:vAlign w:val="center"/>
            <w:hideMark/>
          </w:tcPr>
          <w:p w14:paraId="07026129" w14:textId="7F2924A6" w:rsidR="002E7477" w:rsidRPr="002E7477" w:rsidRDefault="002E7477" w:rsidP="002E7477">
            <w:pPr>
              <w:spacing w:after="0" w:line="240" w:lineRule="auto"/>
              <w:rPr>
                <w:rFonts w:ascii="Calibri Light" w:eastAsia="Times New Roman" w:hAnsi="Calibri Light" w:cs="Calibri Light"/>
                <w:color w:val="000000"/>
                <w:sz w:val="18"/>
                <w:szCs w:val="18"/>
              </w:rPr>
            </w:pPr>
            <w:r w:rsidRPr="002E7477">
              <w:rPr>
                <w:rFonts w:ascii="Calibri Light" w:eastAsia="Times New Roman" w:hAnsi="Calibri Light" w:cs="Calibri Light"/>
                <w:color w:val="000000"/>
                <w:sz w:val="18"/>
                <w:szCs w:val="18"/>
              </w:rPr>
              <w:t>FT-Diesel: 41.4%</w:t>
            </w:r>
            <w:r>
              <w:rPr>
                <w:rFonts w:ascii="Calibri Light" w:eastAsia="Times New Roman" w:hAnsi="Calibri Light" w:cs="Calibri Light"/>
                <w:color w:val="000000"/>
                <w:sz w:val="18"/>
                <w:szCs w:val="18"/>
              </w:rPr>
              <w:t xml:space="preserve"> </w:t>
            </w:r>
            <w:r>
              <w:rPr>
                <w:rFonts w:ascii="Calibri Light" w:eastAsia="Times New Roman" w:hAnsi="Calibri Light" w:cs="Calibri Light"/>
                <w:color w:val="000000"/>
                <w:sz w:val="18"/>
                <w:szCs w:val="18"/>
              </w:rPr>
              <w:fldChar w:fldCharType="begin" w:fldLock="1"/>
            </w:r>
            <w:r>
              <w:rPr>
                <w:rFonts w:ascii="Calibri Light" w:eastAsia="Times New Roman" w:hAnsi="Calibri Light" w:cs="Calibri Light"/>
                <w:color w:val="000000"/>
                <w:sz w:val="18"/>
                <w:szCs w:val="18"/>
              </w:rPr>
              <w:instrText xml:space="preserve">ADDIN CSL_CITATION {"citationItems":[{"id":"ITEM-1","itemData":{"DOI":"10.1016/j.enpol.2005.06.012","ISSN":"03014215","abstract":"To assess which biofuels have the better potential for the short-term or the longer term (2030), and what developments are necessary to improve the performance of biofuels, the production of four promising biofuels-methanol, ethanol, hydrogen, and synthetic diesel-is systematically analysed. This present paper summarises, normalises and compares earlier reported work. First, the key technologies for the production of these fuels, such as gasification, gas processing, synthesis, hydrolysis, and fermentation, and their improvement options are studied and modelled. Then, the production facility's technological and economic performance is analysed, applying variations in technology and scale. Finally, likely biofuels chains (including distribution to cars, and end-use) are compared on an equal economic basis, such as costs per kilometre driven. Production costs of these fuels range 16-22 €/GJHHV now, down to 9-13 €/GJHHV in future (2030). This performance assumes both certain technological developments as well as the availability of biomass at 3 €/GJHHV. The feedstock costs strongly influence the resulting biofuel costs by 2-3 €/GJfuel for each €/GJHHV feedstock difference. In biomass producing regions such as Latin America or the former USSR, the four fuels could be produced at 7-11 €/GJHHV compared to diesel and gasoline costs of 7 and 8 €/GJ (excluding distribution, excise and VAT; at crude oil prices of </w:instrText>
            </w:r>
            <w:r>
              <w:rPr>
                <w:rFonts w:ascii="Cambria Math" w:eastAsia="Times New Roman" w:hAnsi="Cambria Math" w:cs="Cambria Math"/>
                <w:color w:val="000000"/>
                <w:sz w:val="18"/>
                <w:szCs w:val="18"/>
              </w:rPr>
              <w:instrText>∼</w:instrText>
            </w:r>
            <w:r>
              <w:rPr>
                <w:rFonts w:ascii="Calibri Light" w:eastAsia="Times New Roman" w:hAnsi="Calibri Light" w:cs="Calibri Light"/>
                <w:color w:val="000000"/>
                <w:sz w:val="18"/>
                <w:szCs w:val="18"/>
              </w:rPr>
              <w:instrText>35 €/bbl or 5.7 €/GJ). The uncertainties in the biofuels production costs of the four selected biofuels are 15-30%. When applied in cars, biofuels have driving costs in ICEVs of about 0.18-0.24 €/km now (fuel excise duty and VAT excluded) and may be about 0.18 in future. The cars' contribution to these costs is much larger than the fuels' contribution. Large-scale gasification, thorough gas cleaning, and micro-biological processes for hydrolysis and fermentation are key major fields for RD&amp;D efforts, next to consistent market development and larger scale deployment of those technologies. © 2005 Elsevier Ltd. All rights reserved.","author":[{"dropping-particle":"","family":"Hamelinck","given":"Carlo N.","non-dropping-particle":"","parse-names":false,"suffix":""},{"dropping-particle":"","family":"Faaij","given":"André P.C.","non-dropping-particle":"","parse-names":false,"suffix":""}],"container-title":"Energy Policy","id":"ITEM-1","issued":{"date-parts":[["2006"]]},"title":"Outlook for advanced biofuels","type":"article-journal"},"uris":["http://www.mendeley.com/documents/?uuid=1ed4f5b6-c6d5-404f-a36a-36040482a63f"]}],"mendeley":{"formattedCitation":"[7]","plainTextFormattedCitation":"[7]","previouslyFormattedCitation":"[7]"},"properties":{"noteIndex":0},"schema":"https://github.com/citation-style-language/schema/raw/master/csl-citation.json"}</w:instrText>
            </w:r>
            <w:r>
              <w:rPr>
                <w:rFonts w:ascii="Calibri Light" w:eastAsia="Times New Roman" w:hAnsi="Calibri Light" w:cs="Calibri Light"/>
                <w:color w:val="000000"/>
                <w:sz w:val="18"/>
                <w:szCs w:val="18"/>
              </w:rPr>
              <w:fldChar w:fldCharType="separate"/>
            </w:r>
            <w:r w:rsidRPr="002E7477">
              <w:rPr>
                <w:rFonts w:ascii="Calibri Light" w:eastAsia="Times New Roman" w:hAnsi="Calibri Light" w:cs="Calibri Light"/>
                <w:noProof/>
                <w:color w:val="000000"/>
                <w:sz w:val="18"/>
                <w:szCs w:val="18"/>
              </w:rPr>
              <w:t>[7]</w:t>
            </w:r>
            <w:r>
              <w:rPr>
                <w:rFonts w:ascii="Calibri Light" w:eastAsia="Times New Roman" w:hAnsi="Calibri Light" w:cs="Calibri Light"/>
                <w:color w:val="000000"/>
                <w:sz w:val="18"/>
                <w:szCs w:val="18"/>
              </w:rPr>
              <w:fldChar w:fldCharType="end"/>
            </w:r>
            <w:r w:rsidRPr="002E7477">
              <w:rPr>
                <w:rFonts w:ascii="Calibri Light" w:eastAsia="Times New Roman" w:hAnsi="Calibri Light" w:cs="Calibri Light"/>
                <w:color w:val="000000"/>
                <w:sz w:val="18"/>
                <w:szCs w:val="18"/>
              </w:rPr>
              <w:t xml:space="preserve">, 52.0% </w:t>
            </w:r>
            <w:r>
              <w:rPr>
                <w:rFonts w:ascii="Calibri Light" w:eastAsia="Times New Roman" w:hAnsi="Calibri Light" w:cs="Calibri Light"/>
                <w:color w:val="000000"/>
                <w:sz w:val="18"/>
                <w:szCs w:val="18"/>
              </w:rPr>
              <w:fldChar w:fldCharType="begin" w:fldLock="1"/>
            </w:r>
            <w:r>
              <w:rPr>
                <w:rFonts w:ascii="Calibri Light" w:eastAsia="Times New Roman" w:hAnsi="Calibri Light" w:cs="Calibri Light"/>
                <w:color w:val="000000"/>
                <w:sz w:val="18"/>
                <w:szCs w:val="18"/>
              </w:rPr>
              <w:instrText>ADDIN CSL_CITATION {"citationItems":[{"id":"ITEM-1","itemData":{"DOI":"10.1016/j.enconman.2009.01.008","ISSN":"01968904","abstract":"We calculated carbon and energy balances and costs of 14 different Fischer-Tropsch (FT) fuel production plants in 17 complete well-to-wheel (WTW) chains. The FT plants can use natural gas, coal, biomass or mixtures as feedstock. Technical data, and technological and economic assumptions for developments for 2020 were derived from the literature, recalculating to 2005 euros for (capital) costs. Our best-guess WTW estimates indicate BTL production costs break even when oil prices rise above $75/bbl, CTL above $60/bbl and GTL at $36/bbl. CTL, and GTL without carbon capture and storage (CCS), will emit more CO2 than diesel from conventional oil. Driving on fuel from GTL with CCS may reduce GHG emissions to around 123 g CO2/km. Driving on BTL may cause emissions of 32-63 g CO2/km and these can be made negative by application of CCS. It is possible to have net climate neutral driving by combining fuels produced from fossil resources with around 50% BTL with CCS, if biomass gasification and CCS can be made to work on an industrial scale and the feedstock is obtained in a climate-neutral manner. However, the uncertainties in these numbers are in the order of tens of percents, due to uncertainty in the data for component costs, variability in prices of feedstocks and by-products, and the GHG impact of producing biomass. © 2009 Elsevier Ltd. All rights reserved.","author":[{"dropping-particle":"","family":"Vliet","given":"Oscar P.R.","non-dropping-particle":"van","parse-names":false,"suffix":""},{"dropping-particle":"","family":"Faaij","given":"André P.C.","non-dropping-particle":"","parse-names":false,"suffix":""},{"dropping-particle":"","family":"Turkenburg","given":"Wim C.","non-dropping-particle":"","parse-names":false,"suffix":""}],"container-title":"Energy Conversion and Management","id":"ITEM-1","issued":{"date-parts":[["2009"]]},"title":"Fischer-Tropsch diesel production in a well-to-wheel perspective: A carbon, energy flow and cost analysis","type":"article-journal"},"uris":["http://www.mendeley.com/documents/?uuid=24a2c11f-7cc9-4c1c-9954-d62657e387f9"]}],"mendeley":{"formattedCitation":"[8]","plainTextFormattedCitation":"[8]","previouslyFormattedCitation":"[8]"},"properties":{"noteIndex":0},"schema":"https://github.com/citation-style-language/schema/raw/master/csl-citation.json"}</w:instrText>
            </w:r>
            <w:r>
              <w:rPr>
                <w:rFonts w:ascii="Calibri Light" w:eastAsia="Times New Roman" w:hAnsi="Calibri Light" w:cs="Calibri Light"/>
                <w:color w:val="000000"/>
                <w:sz w:val="18"/>
                <w:szCs w:val="18"/>
              </w:rPr>
              <w:fldChar w:fldCharType="separate"/>
            </w:r>
            <w:r w:rsidRPr="002E7477">
              <w:rPr>
                <w:rFonts w:ascii="Calibri Light" w:eastAsia="Times New Roman" w:hAnsi="Calibri Light" w:cs="Calibri Light"/>
                <w:noProof/>
                <w:color w:val="000000"/>
                <w:sz w:val="18"/>
                <w:szCs w:val="18"/>
              </w:rPr>
              <w:t>[8]</w:t>
            </w:r>
            <w:r>
              <w:rPr>
                <w:rFonts w:ascii="Calibri Light" w:eastAsia="Times New Roman" w:hAnsi="Calibri Light" w:cs="Calibri Light"/>
                <w:color w:val="000000"/>
                <w:sz w:val="18"/>
                <w:szCs w:val="18"/>
              </w:rPr>
              <w:fldChar w:fldCharType="end"/>
            </w:r>
            <w:r w:rsidRPr="002E7477">
              <w:rPr>
                <w:rFonts w:ascii="Calibri Light" w:eastAsia="Times New Roman" w:hAnsi="Calibri Light" w:cs="Calibri Light"/>
                <w:color w:val="000000"/>
                <w:sz w:val="18"/>
                <w:szCs w:val="18"/>
              </w:rPr>
              <w:br/>
              <w:t xml:space="preserve">Ester Micro-Diesel: 7.2% </w:t>
            </w:r>
            <w:r>
              <w:rPr>
                <w:rFonts w:ascii="Calibri Light" w:eastAsia="Times New Roman" w:hAnsi="Calibri Light" w:cs="Calibri Light"/>
                <w:color w:val="000000"/>
                <w:sz w:val="18"/>
                <w:szCs w:val="18"/>
              </w:rPr>
              <w:fldChar w:fldCharType="begin" w:fldLock="1"/>
            </w:r>
            <w:r>
              <w:rPr>
                <w:rFonts w:ascii="Calibri Light" w:eastAsia="Times New Roman" w:hAnsi="Calibri Light" w:cs="Calibri Light"/>
                <w:color w:val="000000"/>
                <w:sz w:val="18"/>
                <w:szCs w:val="18"/>
              </w:rPr>
              <w:instrText>ADDIN CSL_CITATION {"citationItems":[{"id":"ITEM-1","itemData":{"DOI":"10.1038/nature08721","ISSN":"00280836","abstract":"Increasing energy costs and environmental concerns have emphasized the need to produce sustainable renewable fuels and chemicals. Major efforts to this end are focused on the microbial production of high-energy fuels by cost-effective consolidated bioprocesses. Fatty acids are composed of long alkyl chains and represent natures petroleum, being a primary metabolite used by cells for both chemical and energy storage functions. These energy-rich molecules are today isolated from plant and animal oils for a diverse set of products ranging from fuels to oleochemicals. A more scalable, controllable and economic route to this important class of chemicals would be through the microbial conversion of renewable feedstocks, such as biomass-derived carbohydrates. Here we demonstrate the engineering of Escherichia coli to produce structurally tailored fatty esters (biodiesel), fatty alcohols, and waxes directly from simple sugars. Furthermore, we show engineering of the biodiesel-producing cells to express hemicellulases, a step towards producing these compounds directly from hemicellulose, a major component of plant-derived biomass. © 2010 Macmillan Publishers Limited. All rights reserved.","author":[{"dropping-particle":"","family":"Steen","given":"Eric J.","non-dropping-particle":"","parse-names":false,"suffix":""},{"dropping-particle":"","family":"Kang","given":"Yisheng","non-dropping-particle":"","parse-names":false,"suffix":""},{"dropping-particle":"","family":"Bokinsky","given":"Gregory","non-dropping-particle":"","parse-names":false,"suffix":""},{"dropping-particle":"","family":"Hu","given":"Zhihao","non-dropping-particle":"","parse-names":false,"suffix":""},{"dropping-particle":"","family":"Schirmer","given":"Andreas","non-dropping-particle":"","parse-names":false,"suffix":""},{"dropping-particle":"","family":"McClure","given":"Amy","non-dropping-particle":"","parse-names":false,"suffix":""},{"dropping-particle":"","family":"Cardayre","given":"Stephen B.","non-dropping-particle":"Del","parse-names":false,"suffix":""},{"dropping-particle":"","family":"Keasling","given":"Jay D.","non-dropping-particle":"","parse-names":false,"suffix":""}],"container-title":"Nature","id":"ITEM-1","issued":{"date-parts":[["2010"]]},"title":"Microbial production of fatty-acid-derived fuels and chemicals from plant biomass","type":"article-journal"},"uris":["http://www.mendeley.com/documents/?uuid=69d9ebd8-cb2e-4540-8ec5-07159f9769c6"]}],"mendeley":{"formattedCitation":"[9]","plainTextFormattedCitation":"[9]","previouslyFormattedCitation":"[9]"},"properties":{"noteIndex":0},"schema":"https://github.com/citation-style-language/schema/raw/master/csl-citation.json"}</w:instrText>
            </w:r>
            <w:r>
              <w:rPr>
                <w:rFonts w:ascii="Calibri Light" w:eastAsia="Times New Roman" w:hAnsi="Calibri Light" w:cs="Calibri Light"/>
                <w:color w:val="000000"/>
                <w:sz w:val="18"/>
                <w:szCs w:val="18"/>
              </w:rPr>
              <w:fldChar w:fldCharType="separate"/>
            </w:r>
            <w:r w:rsidRPr="002E7477">
              <w:rPr>
                <w:rFonts w:ascii="Calibri Light" w:eastAsia="Times New Roman" w:hAnsi="Calibri Light" w:cs="Calibri Light"/>
                <w:noProof/>
                <w:color w:val="000000"/>
                <w:sz w:val="18"/>
                <w:szCs w:val="18"/>
              </w:rPr>
              <w:t>[9]</w:t>
            </w:r>
            <w:r>
              <w:rPr>
                <w:rFonts w:ascii="Calibri Light" w:eastAsia="Times New Roman" w:hAnsi="Calibri Light" w:cs="Calibri Light"/>
                <w:color w:val="000000"/>
                <w:sz w:val="18"/>
                <w:szCs w:val="18"/>
              </w:rPr>
              <w:fldChar w:fldCharType="end"/>
            </w:r>
            <w:r w:rsidRPr="002E7477">
              <w:rPr>
                <w:rFonts w:ascii="Calibri Light" w:eastAsia="Times New Roman" w:hAnsi="Calibri Light" w:cs="Calibri Light"/>
                <w:color w:val="000000"/>
                <w:sz w:val="18"/>
                <w:szCs w:val="18"/>
              </w:rPr>
              <w:t xml:space="preserve">, 36.5% </w:t>
            </w:r>
            <w:r>
              <w:rPr>
                <w:rFonts w:ascii="Calibri Light" w:eastAsia="Times New Roman" w:hAnsi="Calibri Light" w:cs="Calibri Light"/>
                <w:color w:val="000000"/>
                <w:sz w:val="18"/>
                <w:szCs w:val="18"/>
              </w:rPr>
              <w:fldChar w:fldCharType="begin" w:fldLock="1"/>
            </w:r>
            <w:r>
              <w:rPr>
                <w:rFonts w:ascii="Calibri Light" w:eastAsia="Times New Roman" w:hAnsi="Calibri Light" w:cs="Calibri Light"/>
                <w:color w:val="000000"/>
                <w:sz w:val="18"/>
                <w:szCs w:val="18"/>
              </w:rPr>
              <w:instrText xml:space="preserve">ADDIN CSL_CITATION {"citationItems":[{"id":"ITEM-1","itemData":{"DOI":"10.1039/c0ee00069h","ISSN":"17545692","abstract":"We compare the production of four biofuels - ethanol, butanol, fatty acid ethyl ester (palmitate ethyl ester, PEE), and hydrogen from renewable carbohydrate (glucose) based on the energy-retaining efficiency that is greatly influenced by thermodyanimcs, bioenergetics, and product separation. Ethanol and butanol are produced in anaerobic fermentations; PEE is produced in semi-aerobic fermentation; hydrogen is produced by cell-free synthetic enzymatic pathway biotransformation (SyPaB), where enzymes are produced from carbohydrate by microbial fermentations. A decreasing order in theoretical energy efficiency determined by thermodynamics is hydrogen, ethanol, butanol, and PEE. Bioenergetics analysis suggests that a small fraction of carbohydrate (e.g., 5-15%) is allocated to the synthesis of cell mass in anaerobic fermentations (e.g., ethanol and butanol), a significant fraction (e.g., 20-30% or higher) has to be allocated to the synthesis of cell mass for semi-aerobic fermentations (e.g., PEE production), and a very small fraction (e.g., less than 1%) is used to produce the enzyme mixtures. A decreasing order in product separation energy is hydrogen, secreted PEE, ethanol, butanol, and intracellular PEE. Hydrogen production by SyPaB would be most appealing because its energy-retaining efficiency is </w:instrText>
            </w:r>
            <w:r>
              <w:rPr>
                <w:rFonts w:ascii="Cambria Math" w:eastAsia="Times New Roman" w:hAnsi="Cambria Math" w:cs="Cambria Math"/>
                <w:color w:val="000000"/>
                <w:sz w:val="18"/>
                <w:szCs w:val="18"/>
              </w:rPr>
              <w:instrText>∼</w:instrText>
            </w:r>
            <w:r>
              <w:rPr>
                <w:rFonts w:ascii="Calibri Light" w:eastAsia="Times New Roman" w:hAnsi="Calibri Light" w:cs="Calibri Light"/>
                <w:color w:val="000000"/>
                <w:sz w:val="18"/>
                <w:szCs w:val="18"/>
              </w:rPr>
              <w:instrText xml:space="preserve">49% higher than ethanol, </w:instrText>
            </w:r>
            <w:r>
              <w:rPr>
                <w:rFonts w:ascii="Cambria Math" w:eastAsia="Times New Roman" w:hAnsi="Cambria Math" w:cs="Cambria Math"/>
                <w:color w:val="000000"/>
                <w:sz w:val="18"/>
                <w:szCs w:val="18"/>
              </w:rPr>
              <w:instrText>∼</w:instrText>
            </w:r>
            <w:r>
              <w:rPr>
                <w:rFonts w:ascii="Calibri Light" w:eastAsia="Times New Roman" w:hAnsi="Calibri Light" w:cs="Calibri Light"/>
                <w:color w:val="000000"/>
                <w:sz w:val="18"/>
                <w:szCs w:val="18"/>
              </w:rPr>
              <w:instrText xml:space="preserve">55% higher than butanol, and </w:instrText>
            </w:r>
            <w:r>
              <w:rPr>
                <w:rFonts w:ascii="Cambria Math" w:eastAsia="Times New Roman" w:hAnsi="Cambria Math" w:cs="Cambria Math"/>
                <w:color w:val="000000"/>
                <w:sz w:val="18"/>
                <w:szCs w:val="18"/>
              </w:rPr>
              <w:instrText>∼</w:instrText>
            </w:r>
            <w:r>
              <w:rPr>
                <w:rFonts w:ascii="Calibri Light" w:eastAsia="Times New Roman" w:hAnsi="Calibri Light" w:cs="Calibri Light"/>
                <w:color w:val="000000"/>
                <w:sz w:val="18"/>
                <w:szCs w:val="18"/>
              </w:rPr>
              <w:instrText>87% higher than PEE, even without considering higher hydrogen-fuel cell efficiency than those of biofuel-internal combustion engines. Our analysis suggests that it may be difficult to produce some advanced biofuels economically through aerobic fermentations due to low energy efficiency, as compared to ethanol, butanol, and hydrogen. © 2011 The Royal Society of Chemistry.","author":[{"dropping-particle":"","family":"Huang","given":"Wei Dong","non-dropping-particle":"","parse-names":false,"suffix":""},{"dropping-particle":"","family":"Percival Zhang","given":"Y. H.","non-dropping-particle":"","parse-names":false,"suffix":""}],"container-title":"Energy and Environmental Science","id":"ITEM-1","issued":{"date-parts":[["2011"]]},"title":"Analysis of biofuels production from sugar based on three criteria: Thermodynamics, bioenergetics, and product separation","type":"article-journal"},"uris":["http://www.mendeley.com/documents/?uuid=3ef27242-1189-41a6-b80d-6738f0761576"]}],"mendeley":{"formattedCitation":"[10]","plainTextFormattedCitation":"[10]","previouslyFormattedCitation":"[10]"},"properties":{"noteIndex":0},"schema":"https://github.com/citation-style-language/schema/raw/master/csl-citation.json"}</w:instrText>
            </w:r>
            <w:r>
              <w:rPr>
                <w:rFonts w:ascii="Calibri Light" w:eastAsia="Times New Roman" w:hAnsi="Calibri Light" w:cs="Calibri Light"/>
                <w:color w:val="000000"/>
                <w:sz w:val="18"/>
                <w:szCs w:val="18"/>
              </w:rPr>
              <w:fldChar w:fldCharType="separate"/>
            </w:r>
            <w:r w:rsidRPr="002E7477">
              <w:rPr>
                <w:rFonts w:ascii="Calibri Light" w:eastAsia="Times New Roman" w:hAnsi="Calibri Light" w:cs="Calibri Light"/>
                <w:noProof/>
                <w:color w:val="000000"/>
                <w:sz w:val="18"/>
                <w:szCs w:val="18"/>
              </w:rPr>
              <w:t>[10]</w:t>
            </w:r>
            <w:r>
              <w:rPr>
                <w:rFonts w:ascii="Calibri Light" w:eastAsia="Times New Roman" w:hAnsi="Calibri Light" w:cs="Calibri Light"/>
                <w:color w:val="000000"/>
                <w:sz w:val="18"/>
                <w:szCs w:val="18"/>
              </w:rPr>
              <w:fldChar w:fldCharType="end"/>
            </w:r>
          </w:p>
        </w:tc>
      </w:tr>
      <w:tr w:rsidR="002E7477" w:rsidRPr="002E7477" w14:paraId="77536220" w14:textId="77777777" w:rsidTr="002E7477">
        <w:trPr>
          <w:trHeight w:val="1590"/>
        </w:trPr>
        <w:tc>
          <w:tcPr>
            <w:tcW w:w="2577" w:type="dxa"/>
            <w:tcBorders>
              <w:top w:val="nil"/>
              <w:left w:val="single" w:sz="4" w:space="0" w:color="auto"/>
              <w:bottom w:val="nil"/>
              <w:right w:val="nil"/>
            </w:tcBorders>
            <w:shd w:val="clear" w:color="000000" w:fill="FFFFFF"/>
            <w:noWrap/>
            <w:vAlign w:val="center"/>
            <w:hideMark/>
          </w:tcPr>
          <w:p w14:paraId="60111D14" w14:textId="77777777" w:rsidR="002E7477" w:rsidRPr="002E7477" w:rsidRDefault="002E7477" w:rsidP="002E7477">
            <w:pPr>
              <w:spacing w:after="0" w:line="240" w:lineRule="auto"/>
              <w:rPr>
                <w:rFonts w:ascii="Calibri Light" w:eastAsia="Times New Roman" w:hAnsi="Calibri Light" w:cs="Calibri Light"/>
                <w:color w:val="000000"/>
                <w:sz w:val="18"/>
                <w:szCs w:val="18"/>
              </w:rPr>
            </w:pPr>
            <w:r w:rsidRPr="002E7477">
              <w:rPr>
                <w:rFonts w:ascii="Calibri Light" w:eastAsia="Times New Roman" w:hAnsi="Calibri Light" w:cs="Calibri Light"/>
                <w:color w:val="000000"/>
                <w:sz w:val="18"/>
                <w:szCs w:val="18"/>
              </w:rPr>
              <w:t>Biogases</w:t>
            </w:r>
          </w:p>
        </w:tc>
        <w:tc>
          <w:tcPr>
            <w:tcW w:w="746" w:type="dxa"/>
            <w:tcBorders>
              <w:top w:val="nil"/>
              <w:left w:val="nil"/>
              <w:bottom w:val="nil"/>
              <w:right w:val="nil"/>
            </w:tcBorders>
            <w:shd w:val="clear" w:color="000000" w:fill="FFFFFF"/>
            <w:noWrap/>
            <w:vAlign w:val="center"/>
            <w:hideMark/>
          </w:tcPr>
          <w:p w14:paraId="0B956029" w14:textId="77777777" w:rsidR="002E7477" w:rsidRPr="002E7477" w:rsidRDefault="002E7477" w:rsidP="002E7477">
            <w:pPr>
              <w:spacing w:after="0" w:line="240" w:lineRule="auto"/>
              <w:rPr>
                <w:rFonts w:ascii="Calibri Light" w:eastAsia="Times New Roman" w:hAnsi="Calibri Light" w:cs="Calibri Light"/>
                <w:color w:val="000000"/>
                <w:sz w:val="18"/>
                <w:szCs w:val="18"/>
              </w:rPr>
            </w:pPr>
            <w:r w:rsidRPr="002E7477">
              <w:rPr>
                <w:rFonts w:ascii="Calibri Light" w:eastAsia="Times New Roman" w:hAnsi="Calibri Light" w:cs="Calibri Light"/>
                <w:color w:val="000000"/>
                <w:sz w:val="18"/>
                <w:szCs w:val="18"/>
              </w:rPr>
              <w:t>TJ-net</w:t>
            </w:r>
          </w:p>
        </w:tc>
        <w:tc>
          <w:tcPr>
            <w:tcW w:w="2354" w:type="dxa"/>
            <w:tcBorders>
              <w:top w:val="nil"/>
              <w:left w:val="nil"/>
              <w:bottom w:val="nil"/>
              <w:right w:val="nil"/>
            </w:tcBorders>
            <w:shd w:val="clear" w:color="000000" w:fill="FFFFFF"/>
            <w:vAlign w:val="center"/>
            <w:hideMark/>
          </w:tcPr>
          <w:p w14:paraId="7C96C64E" w14:textId="187A30F7" w:rsidR="002E7477" w:rsidRPr="002E7477" w:rsidRDefault="002E7477" w:rsidP="002E7477">
            <w:pPr>
              <w:spacing w:after="0" w:line="240" w:lineRule="auto"/>
              <w:rPr>
                <w:rFonts w:ascii="Calibri Light" w:eastAsia="Times New Roman" w:hAnsi="Calibri Light" w:cs="Calibri Light"/>
                <w:color w:val="000000"/>
                <w:sz w:val="18"/>
                <w:szCs w:val="18"/>
              </w:rPr>
            </w:pPr>
            <w:r w:rsidRPr="002E7477">
              <w:rPr>
                <w:rFonts w:ascii="Calibri Light" w:eastAsia="Times New Roman" w:hAnsi="Calibri Light" w:cs="Calibri Light"/>
                <w:color w:val="000000"/>
                <w:sz w:val="18"/>
                <w:szCs w:val="18"/>
              </w:rPr>
              <w:t xml:space="preserve">Manure: 6.2-7GJ/dry </w:t>
            </w:r>
            <w:proofErr w:type="spellStart"/>
            <w:r w:rsidRPr="002E7477">
              <w:rPr>
                <w:rFonts w:ascii="Calibri Light" w:eastAsia="Times New Roman" w:hAnsi="Calibri Light" w:cs="Calibri Light"/>
                <w:color w:val="000000"/>
                <w:sz w:val="18"/>
                <w:szCs w:val="18"/>
              </w:rPr>
              <w:t>tonne</w:t>
            </w:r>
            <w:proofErr w:type="spellEnd"/>
            <w:r w:rsidRPr="002E7477">
              <w:rPr>
                <w:rFonts w:ascii="Calibri Light" w:eastAsia="Times New Roman" w:hAnsi="Calibri Light" w:cs="Calibri Light"/>
                <w:color w:val="000000"/>
                <w:sz w:val="18"/>
                <w:szCs w:val="18"/>
              </w:rPr>
              <w:br/>
              <w:t xml:space="preserve">Ley crops: 10.6GJ/dry </w:t>
            </w:r>
            <w:proofErr w:type="spellStart"/>
            <w:r w:rsidRPr="002E7477">
              <w:rPr>
                <w:rFonts w:ascii="Calibri Light" w:eastAsia="Times New Roman" w:hAnsi="Calibri Light" w:cs="Calibri Light"/>
                <w:color w:val="000000"/>
                <w:sz w:val="18"/>
                <w:szCs w:val="18"/>
              </w:rPr>
              <w:t>tonne</w:t>
            </w:r>
            <w:proofErr w:type="spellEnd"/>
            <w:r w:rsidRPr="002E7477">
              <w:rPr>
                <w:rFonts w:ascii="Calibri Light" w:eastAsia="Times New Roman" w:hAnsi="Calibri Light" w:cs="Calibri Light"/>
                <w:color w:val="000000"/>
                <w:sz w:val="18"/>
                <w:szCs w:val="18"/>
              </w:rPr>
              <w:br/>
              <w:t xml:space="preserve">Sugar beet: 10.6GJ/dry </w:t>
            </w:r>
            <w:proofErr w:type="spellStart"/>
            <w:r w:rsidRPr="002E7477">
              <w:rPr>
                <w:rFonts w:ascii="Calibri Light" w:eastAsia="Times New Roman" w:hAnsi="Calibri Light" w:cs="Calibri Light"/>
                <w:color w:val="000000"/>
                <w:sz w:val="18"/>
                <w:szCs w:val="18"/>
              </w:rPr>
              <w:t>tonne</w:t>
            </w:r>
            <w:proofErr w:type="spellEnd"/>
            <w:r w:rsidRPr="002E7477">
              <w:rPr>
                <w:rFonts w:ascii="Calibri Light" w:eastAsia="Times New Roman" w:hAnsi="Calibri Light" w:cs="Calibri Light"/>
                <w:color w:val="000000"/>
                <w:sz w:val="18"/>
                <w:szCs w:val="18"/>
              </w:rPr>
              <w:br/>
              <w:t xml:space="preserve">Straw: 7.1GJ/dry </w:t>
            </w:r>
            <w:proofErr w:type="spellStart"/>
            <w:r w:rsidRPr="002E7477">
              <w:rPr>
                <w:rFonts w:ascii="Calibri Light" w:eastAsia="Times New Roman" w:hAnsi="Calibri Light" w:cs="Calibri Light"/>
                <w:color w:val="000000"/>
                <w:sz w:val="18"/>
                <w:szCs w:val="18"/>
              </w:rPr>
              <w:t>tonne</w:t>
            </w:r>
            <w:proofErr w:type="spellEnd"/>
            <w:r w:rsidRPr="002E7477">
              <w:rPr>
                <w:rFonts w:ascii="Calibri Light" w:eastAsia="Times New Roman" w:hAnsi="Calibri Light" w:cs="Calibri Light"/>
                <w:color w:val="000000"/>
                <w:sz w:val="18"/>
                <w:szCs w:val="18"/>
              </w:rPr>
              <w:t xml:space="preserve"> </w:t>
            </w:r>
            <w:r>
              <w:rPr>
                <w:rFonts w:ascii="Calibri Light" w:eastAsia="Times New Roman" w:hAnsi="Calibri Light" w:cs="Calibri Light"/>
                <w:color w:val="000000"/>
                <w:sz w:val="18"/>
                <w:szCs w:val="18"/>
              </w:rPr>
              <w:fldChar w:fldCharType="begin" w:fldLock="1"/>
            </w:r>
            <w:r>
              <w:rPr>
                <w:rFonts w:ascii="Calibri Light" w:eastAsia="Times New Roman" w:hAnsi="Calibri Light" w:cs="Calibri Light"/>
                <w:color w:val="000000"/>
                <w:sz w:val="18"/>
                <w:szCs w:val="18"/>
              </w:rPr>
              <w:instrText>ADDIN CSL_CITATION {"citationItems":[{"id":"ITEM-1","itemData":{"DOI":"10.1016/j.biombioe.2005.11.011","ISSN":"09619534","abstract":"Energy balances are analysed from a life-cycle perspective for biogas systems based on 8 different raw materials. The analysis is based on published data and relates to Swedish conditions. The results show that the energy input into biogas systems (i.e. large-scale biogas plants) overall corresponds to 20-40% (on average approximately 30%) of the energy content in the biogas produced. The net energy output turns negative when transport distances exceed approximately 200 km (manure), or up to 700 km (slaughterhouse waste). Large variations exist in energy efficiency among the biogas systems studied. These variations depend both on the properties of the raw materials studied and on the system design and allocation methods chosen. The net energy output from biogas systems based on raw materials that have high water content and low biogas yield (e.g. manure) is relatively low. When energy-demanding handling of the raw materials is required, the energy input increases significantly. For instance, in a ley crop-based biogas system, the ley cropping alone corresponds to approximately 40% of the energy input. Overall, operation of the biogas plant is the most energy-demanding process, corresponding to 40-80% of the energy input into the systems. Thus, the results are substantially affected by the assumptions made about the allocation of a plant's entire energy demand among raw materials, e.g. regarding biogas yield or need of additional water for dilution. © 2005 Elsevier Ltd. All rights reserved.","author":[{"dropping-particle":"","family":"Berglund","given":"Maria","non-dropping-particle":"","parse-names":false,"suffix":""},{"dropping-particle":"","family":"Börjesson","given":"Pål","non-dropping-particle":"","parse-names":false,"suffix":""}],"container-title":"Biomass and Bioenergy","id":"ITEM-1","issued":{"date-parts":[["2006"]]},"title":"Assessment of energy performance in the life-cycle of biogas production","type":"article-journal"},"uris":["http://www.mendeley.com/documents/?uuid=30f39aec-84b5-4eb8-8b4b-236b06b62503"]}],"mendeley":{"formattedCitation":"[11]","plainTextFormattedCitation":"[11]","previouslyFormattedCitation":"[11]"},"properties":{"noteIndex":0},"schema":"https://github.com/citation-style-language/schema/raw/master/csl-citation.json"}</w:instrText>
            </w:r>
            <w:r>
              <w:rPr>
                <w:rFonts w:ascii="Calibri Light" w:eastAsia="Times New Roman" w:hAnsi="Calibri Light" w:cs="Calibri Light"/>
                <w:color w:val="000000"/>
                <w:sz w:val="18"/>
                <w:szCs w:val="18"/>
              </w:rPr>
              <w:fldChar w:fldCharType="separate"/>
            </w:r>
            <w:r w:rsidRPr="002E7477">
              <w:rPr>
                <w:rFonts w:ascii="Calibri Light" w:eastAsia="Times New Roman" w:hAnsi="Calibri Light" w:cs="Calibri Light"/>
                <w:noProof/>
                <w:color w:val="000000"/>
                <w:sz w:val="18"/>
                <w:szCs w:val="18"/>
              </w:rPr>
              <w:t>[11]</w:t>
            </w:r>
            <w:r>
              <w:rPr>
                <w:rFonts w:ascii="Calibri Light" w:eastAsia="Times New Roman" w:hAnsi="Calibri Light" w:cs="Calibri Light"/>
                <w:color w:val="000000"/>
                <w:sz w:val="18"/>
                <w:szCs w:val="18"/>
              </w:rPr>
              <w:fldChar w:fldCharType="end"/>
            </w:r>
          </w:p>
        </w:tc>
        <w:tc>
          <w:tcPr>
            <w:tcW w:w="3588" w:type="dxa"/>
            <w:tcBorders>
              <w:top w:val="nil"/>
              <w:left w:val="nil"/>
              <w:bottom w:val="nil"/>
              <w:right w:val="single" w:sz="4" w:space="0" w:color="auto"/>
            </w:tcBorders>
            <w:shd w:val="clear" w:color="000000" w:fill="FFFFFF"/>
            <w:noWrap/>
            <w:vAlign w:val="center"/>
            <w:hideMark/>
          </w:tcPr>
          <w:p w14:paraId="3F428E21" w14:textId="77777777" w:rsidR="002E7477" w:rsidRPr="002E7477" w:rsidRDefault="002E7477" w:rsidP="002E7477">
            <w:pPr>
              <w:spacing w:after="0" w:line="240" w:lineRule="auto"/>
              <w:rPr>
                <w:rFonts w:ascii="Calibri Light" w:eastAsia="Times New Roman" w:hAnsi="Calibri Light" w:cs="Calibri Light"/>
                <w:color w:val="000000"/>
                <w:sz w:val="18"/>
                <w:szCs w:val="18"/>
              </w:rPr>
            </w:pPr>
            <w:r w:rsidRPr="002E7477">
              <w:rPr>
                <w:rFonts w:ascii="Calibri Light" w:eastAsia="Times New Roman" w:hAnsi="Calibri Light" w:cs="Calibri Light"/>
                <w:color w:val="000000"/>
                <w:sz w:val="18"/>
                <w:szCs w:val="18"/>
              </w:rPr>
              <w:t> </w:t>
            </w:r>
          </w:p>
        </w:tc>
      </w:tr>
      <w:tr w:rsidR="002E7477" w:rsidRPr="002E7477" w14:paraId="0BB4A21F" w14:textId="77777777" w:rsidTr="002E7477">
        <w:trPr>
          <w:trHeight w:val="1290"/>
        </w:trPr>
        <w:tc>
          <w:tcPr>
            <w:tcW w:w="2577" w:type="dxa"/>
            <w:tcBorders>
              <w:top w:val="nil"/>
              <w:left w:val="single" w:sz="4" w:space="0" w:color="auto"/>
              <w:bottom w:val="nil"/>
              <w:right w:val="nil"/>
            </w:tcBorders>
            <w:shd w:val="clear" w:color="000000" w:fill="FFFFFF"/>
            <w:noWrap/>
            <w:vAlign w:val="center"/>
            <w:hideMark/>
          </w:tcPr>
          <w:p w14:paraId="54E8532B" w14:textId="77777777" w:rsidR="002E7477" w:rsidRPr="002E7477" w:rsidRDefault="002E7477" w:rsidP="002E7477">
            <w:pPr>
              <w:spacing w:after="0" w:line="240" w:lineRule="auto"/>
              <w:rPr>
                <w:rFonts w:ascii="Calibri Light" w:eastAsia="Times New Roman" w:hAnsi="Calibri Light" w:cs="Calibri Light"/>
                <w:color w:val="000000"/>
                <w:sz w:val="18"/>
                <w:szCs w:val="18"/>
              </w:rPr>
            </w:pPr>
            <w:proofErr w:type="spellStart"/>
            <w:r w:rsidRPr="002E7477">
              <w:rPr>
                <w:rFonts w:ascii="Calibri Light" w:eastAsia="Times New Roman" w:hAnsi="Calibri Light" w:cs="Calibri Light"/>
                <w:color w:val="000000"/>
                <w:sz w:val="18"/>
                <w:szCs w:val="18"/>
              </w:rPr>
              <w:t>Biogasoline</w:t>
            </w:r>
            <w:proofErr w:type="spellEnd"/>
          </w:p>
        </w:tc>
        <w:tc>
          <w:tcPr>
            <w:tcW w:w="746" w:type="dxa"/>
            <w:tcBorders>
              <w:top w:val="nil"/>
              <w:left w:val="nil"/>
              <w:bottom w:val="nil"/>
              <w:right w:val="nil"/>
            </w:tcBorders>
            <w:shd w:val="clear" w:color="000000" w:fill="FFFFFF"/>
            <w:noWrap/>
            <w:vAlign w:val="center"/>
            <w:hideMark/>
          </w:tcPr>
          <w:p w14:paraId="6FCB8809" w14:textId="77777777" w:rsidR="002E7477" w:rsidRPr="002E7477" w:rsidRDefault="002E7477" w:rsidP="002E7477">
            <w:pPr>
              <w:spacing w:after="0" w:line="240" w:lineRule="auto"/>
              <w:rPr>
                <w:rFonts w:ascii="Calibri Light" w:eastAsia="Times New Roman" w:hAnsi="Calibri Light" w:cs="Calibri Light"/>
                <w:color w:val="000000"/>
                <w:sz w:val="18"/>
                <w:szCs w:val="18"/>
              </w:rPr>
            </w:pPr>
            <w:proofErr w:type="spellStart"/>
            <w:r w:rsidRPr="002E7477">
              <w:rPr>
                <w:rFonts w:ascii="Calibri Light" w:eastAsia="Times New Roman" w:hAnsi="Calibri Light" w:cs="Calibri Light"/>
                <w:color w:val="000000"/>
                <w:sz w:val="18"/>
                <w:szCs w:val="18"/>
              </w:rPr>
              <w:t>kt</w:t>
            </w:r>
            <w:proofErr w:type="spellEnd"/>
          </w:p>
        </w:tc>
        <w:tc>
          <w:tcPr>
            <w:tcW w:w="2354" w:type="dxa"/>
            <w:tcBorders>
              <w:top w:val="nil"/>
              <w:left w:val="nil"/>
              <w:bottom w:val="nil"/>
              <w:right w:val="nil"/>
            </w:tcBorders>
            <w:shd w:val="clear" w:color="000000" w:fill="FFFFFF"/>
            <w:noWrap/>
            <w:vAlign w:val="center"/>
            <w:hideMark/>
          </w:tcPr>
          <w:p w14:paraId="6E2EC54A" w14:textId="77777777" w:rsidR="002E7477" w:rsidRPr="002E7477" w:rsidRDefault="002E7477" w:rsidP="002E7477">
            <w:pPr>
              <w:spacing w:after="0" w:line="240" w:lineRule="auto"/>
              <w:rPr>
                <w:rFonts w:ascii="Calibri Light" w:eastAsia="Times New Roman" w:hAnsi="Calibri Light" w:cs="Calibri Light"/>
                <w:color w:val="000000"/>
                <w:sz w:val="18"/>
                <w:szCs w:val="18"/>
              </w:rPr>
            </w:pPr>
            <w:r w:rsidRPr="002E7477">
              <w:rPr>
                <w:rFonts w:ascii="Calibri Light" w:eastAsia="Times New Roman" w:hAnsi="Calibri Light" w:cs="Calibri Light"/>
                <w:color w:val="000000"/>
                <w:sz w:val="18"/>
                <w:szCs w:val="18"/>
              </w:rPr>
              <w:t> </w:t>
            </w:r>
          </w:p>
        </w:tc>
        <w:tc>
          <w:tcPr>
            <w:tcW w:w="3588" w:type="dxa"/>
            <w:tcBorders>
              <w:top w:val="nil"/>
              <w:left w:val="nil"/>
              <w:bottom w:val="nil"/>
              <w:right w:val="single" w:sz="4" w:space="0" w:color="auto"/>
            </w:tcBorders>
            <w:shd w:val="clear" w:color="000000" w:fill="FFFFFF"/>
            <w:vAlign w:val="center"/>
            <w:hideMark/>
          </w:tcPr>
          <w:p w14:paraId="1353AA30" w14:textId="6B676696" w:rsidR="002E7477" w:rsidRPr="002E7477" w:rsidRDefault="002E7477" w:rsidP="002E7477">
            <w:pPr>
              <w:spacing w:after="0" w:line="240" w:lineRule="auto"/>
              <w:rPr>
                <w:rFonts w:ascii="Calibri Light" w:eastAsia="Times New Roman" w:hAnsi="Calibri Light" w:cs="Calibri Light"/>
                <w:color w:val="000000"/>
                <w:sz w:val="18"/>
                <w:szCs w:val="18"/>
              </w:rPr>
            </w:pPr>
            <w:r w:rsidRPr="002E7477">
              <w:rPr>
                <w:rFonts w:ascii="Calibri Light" w:eastAsia="Times New Roman" w:hAnsi="Calibri Light" w:cs="Calibri Light"/>
                <w:color w:val="000000"/>
                <w:sz w:val="18"/>
                <w:szCs w:val="18"/>
              </w:rPr>
              <w:t xml:space="preserve">Corn Ethanol: 46.4% </w:t>
            </w:r>
            <w:r>
              <w:rPr>
                <w:rFonts w:ascii="Calibri Light" w:eastAsia="Times New Roman" w:hAnsi="Calibri Light" w:cs="Calibri Light"/>
                <w:color w:val="000000"/>
                <w:sz w:val="18"/>
                <w:szCs w:val="18"/>
              </w:rPr>
              <w:fldChar w:fldCharType="begin" w:fldLock="1"/>
            </w:r>
            <w:r>
              <w:rPr>
                <w:rFonts w:ascii="Calibri Light" w:eastAsia="Times New Roman" w:hAnsi="Calibri Light" w:cs="Calibri Light"/>
                <w:color w:val="000000"/>
                <w:sz w:val="18"/>
                <w:szCs w:val="18"/>
              </w:rPr>
              <w:instrText>ADDIN CSL_CITATION {"citationItems":[{"id":"ITEM-1","itemData":{"DOI":"10.1007/s11053-005-4679-8","ISSN":"15207439","abstract":"Energy outputs from ethanol produced using corn, switchgrass, and wood biomass were each less than the respective fossil energy inputs. The same was true for producing biodiesel using soybeans and sunflower, however, the energy cost for producing soybean biodiesel was only slightly negative compared with ethanol production. Findings in terms of energy outputs compared with the energy inputs were: • Ethanol production using corn grain required 29% more fossil energy than the ethanol fuel produced. • Ethanol production using switchgrass required 50% more fossil energy than the ethanol fuel produced. • Ethanol production using wood biomass required 57% more fossil energy than the ethanol fuel produced. • Biodiesel production using soybean required 27% more fossil energy than the biodiesel fuel produced (Note, the energy yield from soy oil per hectare is far lower than the ethanol yield from corn). • Biodiesel production using sunflower required 118% more fossil energy than the biodiesel fuel produced. © 2005 International Association for Mathematical Geology.","author":[{"dropping-particle":"","family":"Pimentel","given":"David","non-dropping-particle":"","parse-names":false,"suffix":""},{"dropping-particle":"","family":"Patzek","given":"Tad W.","non-dropping-particle":"","parse-names":false,"suffix":""}],"container-title":"Natural Resources Research","id":"ITEM-1","issued":{"date-parts":[["2005"]]},"title":"Ethanol production using corn, switchgrass, and wood; Biodiesel production using soybean and sunflower","type":"article-journal"},"uris":["http://www.mendeley.com/documents/?uuid=53d3a35a-2ad8-44e5-85b6-a906484db2ee"]}],"mendeley":{"formattedCitation":"[12]","plainTextFormattedCitation":"[12]","previouslyFormattedCitation":"[12]"},"properties":{"noteIndex":0},"schema":"https://github.com/citation-style-language/schema/raw/master/csl-citation.json"}</w:instrText>
            </w:r>
            <w:r>
              <w:rPr>
                <w:rFonts w:ascii="Calibri Light" w:eastAsia="Times New Roman" w:hAnsi="Calibri Light" w:cs="Calibri Light"/>
                <w:color w:val="000000"/>
                <w:sz w:val="18"/>
                <w:szCs w:val="18"/>
              </w:rPr>
              <w:fldChar w:fldCharType="separate"/>
            </w:r>
            <w:r w:rsidRPr="002E7477">
              <w:rPr>
                <w:rFonts w:ascii="Calibri Light" w:eastAsia="Times New Roman" w:hAnsi="Calibri Light" w:cs="Calibri Light"/>
                <w:noProof/>
                <w:color w:val="000000"/>
                <w:sz w:val="18"/>
                <w:szCs w:val="18"/>
              </w:rPr>
              <w:t>[12]</w:t>
            </w:r>
            <w:r>
              <w:rPr>
                <w:rFonts w:ascii="Calibri Light" w:eastAsia="Times New Roman" w:hAnsi="Calibri Light" w:cs="Calibri Light"/>
                <w:color w:val="000000"/>
                <w:sz w:val="18"/>
                <w:szCs w:val="18"/>
              </w:rPr>
              <w:fldChar w:fldCharType="end"/>
            </w:r>
            <w:r w:rsidRPr="002E7477">
              <w:rPr>
                <w:rFonts w:ascii="Calibri Light" w:eastAsia="Times New Roman" w:hAnsi="Calibri Light" w:cs="Calibri Light"/>
                <w:color w:val="000000"/>
                <w:sz w:val="18"/>
                <w:szCs w:val="18"/>
              </w:rPr>
              <w:t xml:space="preserve">, 49.4% </w:t>
            </w:r>
            <w:r>
              <w:rPr>
                <w:rFonts w:ascii="Calibri Light" w:eastAsia="Times New Roman" w:hAnsi="Calibri Light" w:cs="Calibri Light"/>
                <w:color w:val="000000"/>
                <w:sz w:val="18"/>
                <w:szCs w:val="18"/>
              </w:rPr>
              <w:fldChar w:fldCharType="begin" w:fldLock="1"/>
            </w:r>
            <w:r>
              <w:rPr>
                <w:rFonts w:ascii="Calibri Light" w:eastAsia="Times New Roman" w:hAnsi="Calibri Light" w:cs="Calibri Light"/>
                <w:color w:val="000000"/>
                <w:sz w:val="18"/>
                <w:szCs w:val="18"/>
              </w:rPr>
              <w:instrText>ADDIN CSL_CITATION {"citationItems":[{"id":"ITEM-1","itemData":{"DOI":"10.1126/science.1121416","ISSN":"00368075","abstract":"To study the potential effects of increased biofuel use, we evaluated six representative analyses of fuel ethanol. Studies that reported negative net energy incorrectly ignored coproducts and used some obsolete data. All studies indicated that current corn ethanol technologies are much less petroleum-intensive than gasoline but have greenhouse gas emissions similar to those of gasoline. However, many important environmental effects of biofuel production are poorly understood. New metrics that measure specific resource inputs are developed, but further research into environmental metrics is needed. Nonetheless, it is already clear that large-scale use of ethanol for fuel will almost certainly require cellulosic technology.","author":[{"dropping-particle":"","family":"Farrell","given":"Alexander E.","non-dropping-particle":"","parse-names":false,"suffix":""},{"dropping-particle":"","family":"Plevin","given":"Richard J.","non-dropping-particle":"","parse-names":false,"suffix":""},{"dropping-particle":"","family":"Turner","given":"Brian T.","non-dropping-particle":"","parse-names":false,"suffix":""},{"dropping-particle":"","family":"Jones","given":"Andrew D.","non-dropping-particle":"","parse-names":false,"suffix":""},{"dropping-particle":"","family":"O'Hare","given":"Michael","non-dropping-particle":"","parse-names":false,"suffix":""},{"dropping-particle":"","family":"Kammen","given":"Daniel M.","non-dropping-particle":"","parse-names":false,"suffix":""}],"container-title":"Science","id":"ITEM-1","issued":{"date-parts":[["2006"]]},"title":"Ethanol can contribute to energy and environmental goals","type":"article-journal"},"uris":["http://www.mendeley.com/documents/?uuid=98e2b609-04f8-4190-a8bb-084aeff3e9a1"]}],"mendeley":{"formattedCitation":"[13]","plainTextFormattedCitation":"[13]","previouslyFormattedCitation":"[13]"},"properties":{"noteIndex":0},"schema":"https://github.com/citation-style-language/schema/raw/master/csl-citation.json"}</w:instrText>
            </w:r>
            <w:r>
              <w:rPr>
                <w:rFonts w:ascii="Calibri Light" w:eastAsia="Times New Roman" w:hAnsi="Calibri Light" w:cs="Calibri Light"/>
                <w:color w:val="000000"/>
                <w:sz w:val="18"/>
                <w:szCs w:val="18"/>
              </w:rPr>
              <w:fldChar w:fldCharType="separate"/>
            </w:r>
            <w:r w:rsidRPr="002E7477">
              <w:rPr>
                <w:rFonts w:ascii="Calibri Light" w:eastAsia="Times New Roman" w:hAnsi="Calibri Light" w:cs="Calibri Light"/>
                <w:noProof/>
                <w:color w:val="000000"/>
                <w:sz w:val="18"/>
                <w:szCs w:val="18"/>
              </w:rPr>
              <w:t>[13]</w:t>
            </w:r>
            <w:r>
              <w:rPr>
                <w:rFonts w:ascii="Calibri Light" w:eastAsia="Times New Roman" w:hAnsi="Calibri Light" w:cs="Calibri Light"/>
                <w:color w:val="000000"/>
                <w:sz w:val="18"/>
                <w:szCs w:val="18"/>
              </w:rPr>
              <w:fldChar w:fldCharType="end"/>
            </w:r>
            <w:r w:rsidRPr="002E7477">
              <w:rPr>
                <w:rFonts w:ascii="Calibri Light" w:eastAsia="Times New Roman" w:hAnsi="Calibri Light" w:cs="Calibri Light"/>
                <w:color w:val="000000"/>
                <w:sz w:val="18"/>
                <w:szCs w:val="18"/>
              </w:rPr>
              <w:t xml:space="preserve">, 50.1% </w:t>
            </w:r>
            <w:r>
              <w:rPr>
                <w:rFonts w:ascii="Calibri Light" w:eastAsia="Times New Roman" w:hAnsi="Calibri Light" w:cs="Calibri Light"/>
                <w:color w:val="000000"/>
                <w:sz w:val="18"/>
                <w:szCs w:val="18"/>
              </w:rPr>
              <w:fldChar w:fldCharType="begin" w:fldLock="1"/>
            </w:r>
            <w:r>
              <w:rPr>
                <w:rFonts w:ascii="Calibri Light" w:eastAsia="Times New Roman" w:hAnsi="Calibri Light" w:cs="Calibri Light"/>
                <w:color w:val="000000"/>
                <w:sz w:val="18"/>
                <w:szCs w:val="18"/>
              </w:rPr>
              <w:instrText>ADDIN CSL_CITATION {"citationItems":[{"id":"ITEM-1","itemData":{"DOI":"10.1641/0006-3568(2005)055[0593:eafecd]2.0.co;2","ISSN":"0006-3568","abstract":"The major contributor to global warming is considered to be the high levels of greenhouse gas emissions, especially carbon dioxide (CO2), caused by the burning of fossil fuel. Thus, to mitigate CO2 emissions, renewable energy sources such as ethanol have been seen as a promising alternative to fossil fuel consumption. Brazil was the world’s first nation to run a large-scale program for using ethanol as fuel. Eventually, the United States also developed large-scale production of ethanol. In this study, we compare the benefits and environmental impacts of ethanol fuel, in Brazil and in the United States, using the ecological footprint tool developed by Wackernagel and Rees.We applied the STELLA model to gauge possible outcomes as a function of variations in the ethanol production scenario.","author":[{"dropping-particle":"","family":"DIAS DE OLIVEIRA","given":"MARCELO E.","non-dropping-particle":"","parse-names":false,"suffix":""},{"dropping-particle":"","family":"VAUGHAN","given":"BURTON E.","non-dropping-particle":"","parse-names":false,"suffix":""},{"dropping-particle":"","family":"RYKIEL","given":"EDWARD J.","non-dropping-particle":"","parse-names":false,"suffix":""}],"container-title":"BioScience","id":"ITEM-1","issued":{"date-parts":[["2005"]]},"title":"Ethanol as Fuel: Energy, Carbon Dioxide Balances, and Ecological Footprint","type":"article-journal"},"uris":["http://www.mendeley.com/documents/?uuid=ac9d2226-9414-4711-987d-c12f75963b80"]}],"mendeley":{"formattedCitation":"[14]","plainTextFormattedCitation":"[14]","previouslyFormattedCitation":"[14]"},"properties":{"noteIndex":0},"schema":"https://github.com/citation-style-language/schema/raw/master/csl-citation.json"}</w:instrText>
            </w:r>
            <w:r>
              <w:rPr>
                <w:rFonts w:ascii="Calibri Light" w:eastAsia="Times New Roman" w:hAnsi="Calibri Light" w:cs="Calibri Light"/>
                <w:color w:val="000000"/>
                <w:sz w:val="18"/>
                <w:szCs w:val="18"/>
              </w:rPr>
              <w:fldChar w:fldCharType="separate"/>
            </w:r>
            <w:r w:rsidRPr="002E7477">
              <w:rPr>
                <w:rFonts w:ascii="Calibri Light" w:eastAsia="Times New Roman" w:hAnsi="Calibri Light" w:cs="Calibri Light"/>
                <w:noProof/>
                <w:color w:val="000000"/>
                <w:sz w:val="18"/>
                <w:szCs w:val="18"/>
              </w:rPr>
              <w:t>[14]</w:t>
            </w:r>
            <w:r>
              <w:rPr>
                <w:rFonts w:ascii="Calibri Light" w:eastAsia="Times New Roman" w:hAnsi="Calibri Light" w:cs="Calibri Light"/>
                <w:color w:val="000000"/>
                <w:sz w:val="18"/>
                <w:szCs w:val="18"/>
              </w:rPr>
              <w:fldChar w:fldCharType="end"/>
            </w:r>
            <w:r w:rsidRPr="002E7477">
              <w:rPr>
                <w:rFonts w:ascii="Calibri Light" w:eastAsia="Times New Roman" w:hAnsi="Calibri Light" w:cs="Calibri Light"/>
                <w:color w:val="000000"/>
                <w:sz w:val="18"/>
                <w:szCs w:val="18"/>
              </w:rPr>
              <w:br/>
              <w:t xml:space="preserve">Cellulosic Ethanol: 48.4% </w:t>
            </w:r>
            <w:r>
              <w:rPr>
                <w:rFonts w:ascii="Calibri Light" w:eastAsia="Times New Roman" w:hAnsi="Calibri Light" w:cs="Calibri Light"/>
                <w:color w:val="000000"/>
                <w:sz w:val="18"/>
                <w:szCs w:val="18"/>
              </w:rPr>
              <w:fldChar w:fldCharType="begin" w:fldLock="1"/>
            </w:r>
            <w:r>
              <w:rPr>
                <w:rFonts w:ascii="Calibri Light" w:eastAsia="Times New Roman" w:hAnsi="Calibri Light" w:cs="Calibri Light"/>
                <w:color w:val="000000"/>
                <w:sz w:val="18"/>
                <w:szCs w:val="18"/>
              </w:rPr>
              <w:instrText>ADDIN CSL_CITATION {"citationItems":[{"id":"ITEM-1","itemData":{"DOI":"10.1162/108819803323059433","ISSN":"10881980","abstract":"Corn stover is the residue that is left behind after corn grain harvest. We have constructed a life-cycle model that describes collecting corn stover in the state of Iowa, in the Midwest of the United States, for the production and use of a fuel mixture consisting of 85% ethanol/15% gasoline (known as \"E85\") in a flexible-fuel light-duty vehicle. The model incorporates results from individual models for soil carbon dynamics, soil erosion, agronomics of stover collection and transport, and bioconversion of stover to ethanol. Limitations in available data forced us to focus on a scenario that assumes all farmers in the state of Iowa switch from their current cropping and tilling practices to continuous production of corn and \"no-till\" practices. Under these conditions, which maximize the amount of collectible stover, Iowa alone could produce almost 8 billion liters per year of pure stover-derived ethanol (E100) at prices competitive with today's corn-starch-derived fuel ethanol. Soil organic matter, an important indicator of soil health, drops slightly in the early years of stover collection but remains stable over the 90-yeartime frame studied. Soil erosion is controlled at levels within tolerable soil-loss limits established for each county in Iowa by the U.S. Department of Agriculture. We find that, for each kilometer fueled by the ethanol portion of E85, the vehicle uses 95% less petroleum compared to a kilometer driven in the same vehicle on gasoline. Total fossil energy use (coal, oil, and natural gas) and greenhouse gas emissions (fossil CO2, N2O, and CH4) on a life-cycle basis are 102% and 113% lower, respectively. Air quality impacts are mixed, with emissions of CO, NOx, and SOx increasing, whereas hydrocarbon ozone precursors are reduced. This model can serve as a platform for future discussion and analysis of possible scenarios for the sustainable production of transportation fuels from corn stover and other agricultural residues.","author":[{"dropping-particle":"","family":"Sheehan","given":"John","non-dropping-particle":"","parse-names":false,"suffix":""},{"dropping-particle":"","family":"Aden","given":"Andy","non-dropping-particle":"","parse-names":false,"suffix":""},{"dropping-particle":"","family":"Paustian","given":"Keith","non-dropping-particle":"","parse-names":false,"suffix":""},{"dropping-particle":"","family":"Killian","given":"Kendrick","non-dropping-particle":"","parse-names":false,"suffix":""},{"dropping-particle":"","family":"Brenner","given":"John","non-dropping-particle":"","parse-names":false,"suffix":""},{"dropping-particle":"","family":"Walsh","given":"Marie","non-dropping-particle":"","parse-names":false,"suffix":""},{"dropping-particle":"","family":"Nelson","given":"Richard","non-dropping-particle":"","parse-names":false,"suffix":""}],"container-title":"Journal of Industrial Ecology","id":"ITEM-1","issued":{"date-parts":[["2003"]]},"title":"Energy and environmental aspects of using corn stover for fuel ethanol","type":"article"},"uris":["http://www.mendeley.com/documents/?uuid=e7adfb0c-7472-419b-b714-2ad516ec0879"]}],"mendeley":{"formattedCitation":"[15]","plainTextFormattedCitation":"[15]","previouslyFormattedCitation":"[15]"},"properties":{"noteIndex":0},"schema":"https://github.com/citation-style-language/schema/raw/master/csl-citation.json"}</w:instrText>
            </w:r>
            <w:r>
              <w:rPr>
                <w:rFonts w:ascii="Calibri Light" w:eastAsia="Times New Roman" w:hAnsi="Calibri Light" w:cs="Calibri Light"/>
                <w:color w:val="000000"/>
                <w:sz w:val="18"/>
                <w:szCs w:val="18"/>
              </w:rPr>
              <w:fldChar w:fldCharType="separate"/>
            </w:r>
            <w:r w:rsidRPr="002E7477">
              <w:rPr>
                <w:rFonts w:ascii="Calibri Light" w:eastAsia="Times New Roman" w:hAnsi="Calibri Light" w:cs="Calibri Light"/>
                <w:noProof/>
                <w:color w:val="000000"/>
                <w:sz w:val="18"/>
                <w:szCs w:val="18"/>
              </w:rPr>
              <w:t>[15]</w:t>
            </w:r>
            <w:r>
              <w:rPr>
                <w:rFonts w:ascii="Calibri Light" w:eastAsia="Times New Roman" w:hAnsi="Calibri Light" w:cs="Calibri Light"/>
                <w:color w:val="000000"/>
                <w:sz w:val="18"/>
                <w:szCs w:val="18"/>
              </w:rPr>
              <w:fldChar w:fldCharType="end"/>
            </w:r>
            <w:r w:rsidRPr="002E7477">
              <w:rPr>
                <w:rFonts w:ascii="Calibri Light" w:eastAsia="Times New Roman" w:hAnsi="Calibri Light" w:cs="Calibri Light"/>
                <w:color w:val="000000"/>
                <w:sz w:val="18"/>
                <w:szCs w:val="18"/>
              </w:rPr>
              <w:t>, 55.6%</w:t>
            </w:r>
            <w:r>
              <w:rPr>
                <w:rFonts w:ascii="Calibri Light" w:eastAsia="Times New Roman" w:hAnsi="Calibri Light" w:cs="Calibri Light"/>
                <w:color w:val="000000"/>
                <w:sz w:val="18"/>
                <w:szCs w:val="18"/>
              </w:rPr>
              <w:t xml:space="preserve"> </w:t>
            </w:r>
            <w:r>
              <w:rPr>
                <w:rFonts w:ascii="Calibri Light" w:eastAsia="Times New Roman" w:hAnsi="Calibri Light" w:cs="Calibri Light"/>
                <w:color w:val="000000"/>
                <w:sz w:val="18"/>
                <w:szCs w:val="18"/>
              </w:rPr>
              <w:fldChar w:fldCharType="begin" w:fldLock="1"/>
            </w:r>
            <w:r>
              <w:rPr>
                <w:rFonts w:ascii="Calibri Light" w:eastAsia="Times New Roman" w:hAnsi="Calibri Light" w:cs="Calibri Light"/>
                <w:color w:val="000000"/>
                <w:sz w:val="18"/>
                <w:szCs w:val="18"/>
              </w:rPr>
              <w:instrText>ADDIN CSL_CITATION {"citationItems":[{"id":"ITEM-1","itemData":{"DOI":"10.1016/j.biombioe.2004.09.002","ISSN":"09619534","abstract":"The state of the art of hydrolysis-fermentation technologies to produce ethanol from lignocellulosic biomass, as well as developing technologies, is evaluated. Promising conversion concepts for the short-, middle- and long-term are defined. Their technical performance was analysed, and results were used for economic evaluations. The current available technology, which is based on dilute acid hydrolysis, has about 35% efficiency (HHV) from biomass to ethanol. The overall efficiency, with electricity co-produced from the not fermentable lignin, is about 60%. Improvements in pre-treatment and advances in biotechnology, especially through process combinations can bring the ethanol efficiency to 48% and the overall process efficiency to 68%. We estimate current investment costs at 2.1 k€/kWHHV (at 400 MWHHV input, i.e. a nominal 2000 tonne dry/day input). A future technology in a 5 times larger plant (2 GWHHV) could have investments of 900 k€/kWHHV. A combined effect of higher hydrolysis-fermentation efficiency, lower specific capital investments, increase of scale and cheaper biomass feedstock costs (from 3 to 2 €/GJHHV), could bring the ethanol production costs from 22 €/GJHHV in the next 5 years, to 13 €/GJ over the 10-15 year time scale, and down to 8.7 €/GJ in 20 or more years. © 2004 Published by Elsevier Ltd.","author":[{"dropping-particle":"","family":"Hamelinck","given":"Carlo N.","non-dropping-particle":"","parse-names":false,"suffix":""},{"dropping-particle":"","family":"Hooijdonk","given":"Geertje","non-dropping-particle":"Van","parse-names":false,"suffix":""},{"dropping-particle":"","family":"Faaij","given":"André P.C.","non-dropping-particle":"","parse-names":false,"suffix":""}],"container-title":"Biomass and Bioenergy","id":"ITEM-1","issued":{"date-parts":[["2005"]]},"title":"Ethanol from lignocellulosic biomass: Techno-economic performance in short-, middle- and long-term","type":"article-journal"},"uris":["http://www.mendeley.com/documents/?uuid=93213a1d-c068-41ec-a2b7-849f5e71f445"]}],"mendeley":{"formattedCitation":"[16]","plainTextFormattedCitation":"[16]","previouslyFormattedCitation":"[16]"},"properties":{"noteIndex":0},"schema":"https://github.com/citation-style-language/schema/raw/master/csl-citation.json"}</w:instrText>
            </w:r>
            <w:r>
              <w:rPr>
                <w:rFonts w:ascii="Calibri Light" w:eastAsia="Times New Roman" w:hAnsi="Calibri Light" w:cs="Calibri Light"/>
                <w:color w:val="000000"/>
                <w:sz w:val="18"/>
                <w:szCs w:val="18"/>
              </w:rPr>
              <w:fldChar w:fldCharType="separate"/>
            </w:r>
            <w:r w:rsidRPr="002E7477">
              <w:rPr>
                <w:rFonts w:ascii="Calibri Light" w:eastAsia="Times New Roman" w:hAnsi="Calibri Light" w:cs="Calibri Light"/>
                <w:noProof/>
                <w:color w:val="000000"/>
                <w:sz w:val="18"/>
                <w:szCs w:val="18"/>
              </w:rPr>
              <w:t>[16]</w:t>
            </w:r>
            <w:r>
              <w:rPr>
                <w:rFonts w:ascii="Calibri Light" w:eastAsia="Times New Roman" w:hAnsi="Calibri Light" w:cs="Calibri Light"/>
                <w:color w:val="000000"/>
                <w:sz w:val="18"/>
                <w:szCs w:val="18"/>
              </w:rPr>
              <w:fldChar w:fldCharType="end"/>
            </w:r>
            <w:r w:rsidRPr="002E7477">
              <w:rPr>
                <w:rFonts w:ascii="Calibri Light" w:eastAsia="Times New Roman" w:hAnsi="Calibri Light" w:cs="Calibri Light"/>
                <w:color w:val="000000"/>
                <w:sz w:val="18"/>
                <w:szCs w:val="18"/>
              </w:rPr>
              <w:br/>
              <w:t xml:space="preserve">Methanol: 50.9% </w:t>
            </w:r>
            <w:r>
              <w:rPr>
                <w:rFonts w:ascii="Calibri Light" w:eastAsia="Times New Roman" w:hAnsi="Calibri Light" w:cs="Calibri Light"/>
                <w:color w:val="000000"/>
                <w:sz w:val="18"/>
                <w:szCs w:val="18"/>
              </w:rPr>
              <w:fldChar w:fldCharType="begin" w:fldLock="1"/>
            </w:r>
            <w:r w:rsidR="0036704C">
              <w:rPr>
                <w:rFonts w:ascii="Calibri Light" w:eastAsia="Times New Roman" w:hAnsi="Calibri Light" w:cs="Calibri Light"/>
                <w:color w:val="000000"/>
                <w:sz w:val="18"/>
                <w:szCs w:val="18"/>
              </w:rPr>
              <w:instrText>ADDIN CSL_CITATION {"citationItems":[{"id":"ITEM-1","itemData":{"DOI":"10.1016/j.fuel.2007.06.008","ISSN":"00162361","abstract":"We have researched and simulated the BTL (biomass to liquid process) in which woody biomass is converted to transportation liquid fuels. In the present study, methanol (MeOH) was considered as a liquid fuel. The BTL-MeOH was designed and the environmental and economic analysis of the process was performed from the viewpoint of CO2 emission and capital and operating costs. A case study focusing on heat and power resources was conducted. The result revealed that the process required an independent case of heat and power for CO2 reduction; however, the cost of this was high due to the cogeneration with a steam turbine. Therefore, the introduction of a low-cost cogeneration, e.g., with a gas turbine, was required for commercialization. © 2007 Elsevier Ltd. All rights reserved.","author":[{"dropping-particle":"","family":"Kumabe","given":"Kazuhiro","non-dropping-particle":"","parse-names":false,"suffix":""},{"dropping-particle":"","family":"Fujimoto","given":"Shinji","non-dropping-particle":"","parse-names":false,"suffix":""},{"dropping-particle":"","family":"Yanagida","given":"Takashi","non-dropping-particle":"","parse-names":false,"suffix":""},{"dropping-particle":"","family":"Ogata","given":"Mamoru","non-dropping-particle":"","parse-names":false,"suffix":""},{"dropping-particle":"","family":"Fukuda","given":"Tetsuhisa","non-dropping-particle":"","parse-names":false,"suffix":""},{"dropping-particle":"","family":"Yabe","given":"Akira","non-dropping-particle":"","parse-names":false,"suffix":""},{"dropping-particle":"","family":"Minowa","given":"Tomoaki","non-dropping-particle":"","parse-names":false,"suffix":""}],"container-title":"Fuel","id":"ITEM-1","issued":{"date-parts":[["2008"]]},"title":"Environmental and economic analysis of methanol production process via biomass gasification","type":"article-journal"},"uris":["http://www.mendeley.com/documents/?uuid=e2f38ca0-1efb-4b3f-a463-3fa6c6c6098c"]}],"mendeley":{"formattedCitation":"[17]","plainTextFormattedCitation":"[17]","previouslyFormattedCitation":"[17]"},"properties":{"noteIndex":0},"schema":"https://github.com/citation-style-language/schema/raw/master/csl-citation.json"}</w:instrText>
            </w:r>
            <w:r>
              <w:rPr>
                <w:rFonts w:ascii="Calibri Light" w:eastAsia="Times New Roman" w:hAnsi="Calibri Light" w:cs="Calibri Light"/>
                <w:color w:val="000000"/>
                <w:sz w:val="18"/>
                <w:szCs w:val="18"/>
              </w:rPr>
              <w:fldChar w:fldCharType="separate"/>
            </w:r>
            <w:r w:rsidRPr="002E7477">
              <w:rPr>
                <w:rFonts w:ascii="Calibri Light" w:eastAsia="Times New Roman" w:hAnsi="Calibri Light" w:cs="Calibri Light"/>
                <w:noProof/>
                <w:color w:val="000000"/>
                <w:sz w:val="18"/>
                <w:szCs w:val="18"/>
              </w:rPr>
              <w:t>[17]</w:t>
            </w:r>
            <w:r>
              <w:rPr>
                <w:rFonts w:ascii="Calibri Light" w:eastAsia="Times New Roman" w:hAnsi="Calibri Light" w:cs="Calibri Light"/>
                <w:color w:val="000000"/>
                <w:sz w:val="18"/>
                <w:szCs w:val="18"/>
              </w:rPr>
              <w:fldChar w:fldCharType="end"/>
            </w:r>
            <w:r>
              <w:rPr>
                <w:rFonts w:ascii="Calibri Light" w:eastAsia="Times New Roman" w:hAnsi="Calibri Light" w:cs="Calibri Light"/>
                <w:color w:val="000000"/>
                <w:sz w:val="18"/>
                <w:szCs w:val="18"/>
              </w:rPr>
              <w:t xml:space="preserve">, </w:t>
            </w:r>
            <w:r w:rsidRPr="002E7477">
              <w:rPr>
                <w:rFonts w:ascii="Calibri Light" w:eastAsia="Times New Roman" w:hAnsi="Calibri Light" w:cs="Calibri Light"/>
                <w:color w:val="000000"/>
                <w:sz w:val="18"/>
                <w:szCs w:val="18"/>
              </w:rPr>
              <w:t xml:space="preserve">54.9% </w:t>
            </w:r>
            <w:r w:rsidR="0036704C">
              <w:rPr>
                <w:rFonts w:ascii="Calibri Light" w:eastAsia="Times New Roman" w:hAnsi="Calibri Light" w:cs="Calibri Light"/>
                <w:color w:val="000000"/>
                <w:sz w:val="18"/>
                <w:szCs w:val="18"/>
              </w:rPr>
              <w:fldChar w:fldCharType="begin" w:fldLock="1"/>
            </w:r>
            <w:r w:rsidR="0036704C">
              <w:rPr>
                <w:rFonts w:ascii="Calibri Light" w:eastAsia="Times New Roman" w:hAnsi="Calibri Light" w:cs="Calibri Light"/>
                <w:color w:val="000000"/>
                <w:sz w:val="18"/>
                <w:szCs w:val="18"/>
              </w:rPr>
              <w:instrText>ADDIN CSL_CITATION {"citationItems":[{"id":"ITEM-1","itemData":{"DOI":"10.1016/S0378-7753(02)00220-3","ISSN":"03787753","abstract":"Technical and economic prospects of the future production of methanol and hydrogen from biomass have been evaluated. A technology review, including promising future components, was made, resulting in a set of promising conversion concepts. Flowsheeting models were made to analyse the technical performance. Results were used for economic evaluations. Overall energy efficiencies are around 55% HHV for methanol and around 60% for hydrogen production. Accounting for the lower energy quality of fuel compared to electricity, once-through concepts perform better than the concepts aimed for fuel only production. Hot gas cleaning can contribute to a better performance. Systems of 400 MWth input produce biofuels at US$ 8-12/GJ, this is above the current gasoline production price of US$ 4-6/GJ. This cost price is largely dictated by the capital investments. The outcomes for the various system types are rather comparable, although concepts focussing on optimised fuel production with little or no electricity co-production perform somewhat better. Hydrogen concepts using ceramic membranes perform well due to their higher overall efficiency combined with modest investment. Long-term (2020) cost reductions reside in cheaper biomass, technological learning, and application of large scales up to 2000 MWth. This could bring the production costs of biofuels in the US$ 5-7/GJ range. Biomass-derived methanol and hydrogen are likely to become competitive fuels tomorrow. © 2002 Elsevier Science B.V. All rights reserved.","author":[{"dropping-particle":"","family":"Hamelinck","given":"Carlo N.","non-dropping-particle":"","parse-names":false,"suffix":""},{"dropping-particle":"","family":"Faaij","given":"André P.C.","non-dropping-particle":"","parse-names":false,"suffix":""}],"container-title":"Journal of Power Sources","id":"ITEM-1","issued":{"date-parts":[["2002"]]},"title":"Future prospects for production of methanol and hydrogen from biomass","type":"article-journal"},"uris":["http://www.mendeley.com/documents/?uuid=137d870b-a72e-4685-a39d-2206d1d5d8f6"]}],"mendeley":{"formattedCitation":"[18]","plainTextFormattedCitation":"[18]","previouslyFormattedCitation":"[18]"},"properties":{"noteIndex":0},"schema":"https://github.com/citation-style-language/schema/raw/master/csl-citation.json"}</w:instrText>
            </w:r>
            <w:r w:rsidR="0036704C">
              <w:rPr>
                <w:rFonts w:ascii="Calibri Light" w:eastAsia="Times New Roman" w:hAnsi="Calibri Light" w:cs="Calibri Light"/>
                <w:color w:val="000000"/>
                <w:sz w:val="18"/>
                <w:szCs w:val="18"/>
              </w:rPr>
              <w:fldChar w:fldCharType="separate"/>
            </w:r>
            <w:r w:rsidR="0036704C" w:rsidRPr="0036704C">
              <w:rPr>
                <w:rFonts w:ascii="Calibri Light" w:eastAsia="Times New Roman" w:hAnsi="Calibri Light" w:cs="Calibri Light"/>
                <w:noProof/>
                <w:color w:val="000000"/>
                <w:sz w:val="18"/>
                <w:szCs w:val="18"/>
              </w:rPr>
              <w:t>[18]</w:t>
            </w:r>
            <w:r w:rsidR="0036704C">
              <w:rPr>
                <w:rFonts w:ascii="Calibri Light" w:eastAsia="Times New Roman" w:hAnsi="Calibri Light" w:cs="Calibri Light"/>
                <w:color w:val="000000"/>
                <w:sz w:val="18"/>
                <w:szCs w:val="18"/>
              </w:rPr>
              <w:fldChar w:fldCharType="end"/>
            </w:r>
          </w:p>
        </w:tc>
      </w:tr>
      <w:tr w:rsidR="002E7477" w:rsidRPr="002E7477" w14:paraId="21A999B4" w14:textId="77777777" w:rsidTr="002E7477">
        <w:trPr>
          <w:trHeight w:val="390"/>
        </w:trPr>
        <w:tc>
          <w:tcPr>
            <w:tcW w:w="2577" w:type="dxa"/>
            <w:tcBorders>
              <w:top w:val="nil"/>
              <w:left w:val="single" w:sz="4" w:space="0" w:color="auto"/>
              <w:bottom w:val="nil"/>
              <w:right w:val="nil"/>
            </w:tcBorders>
            <w:shd w:val="clear" w:color="000000" w:fill="FFFFFF"/>
            <w:noWrap/>
            <w:vAlign w:val="center"/>
            <w:hideMark/>
          </w:tcPr>
          <w:p w14:paraId="2BBC38F5" w14:textId="77777777" w:rsidR="002E7477" w:rsidRPr="002E7477" w:rsidRDefault="002E7477" w:rsidP="002E7477">
            <w:pPr>
              <w:spacing w:after="0" w:line="240" w:lineRule="auto"/>
              <w:rPr>
                <w:rFonts w:ascii="Calibri Light" w:eastAsia="Times New Roman" w:hAnsi="Calibri Light" w:cs="Calibri Light"/>
                <w:color w:val="000000"/>
                <w:sz w:val="18"/>
                <w:szCs w:val="18"/>
              </w:rPr>
            </w:pPr>
            <w:r w:rsidRPr="002E7477">
              <w:rPr>
                <w:rFonts w:ascii="Calibri Light" w:eastAsia="Times New Roman" w:hAnsi="Calibri Light" w:cs="Calibri Light"/>
                <w:color w:val="000000"/>
                <w:sz w:val="18"/>
                <w:szCs w:val="18"/>
              </w:rPr>
              <w:t>Charcoal</w:t>
            </w:r>
          </w:p>
        </w:tc>
        <w:tc>
          <w:tcPr>
            <w:tcW w:w="746" w:type="dxa"/>
            <w:tcBorders>
              <w:top w:val="nil"/>
              <w:left w:val="nil"/>
              <w:bottom w:val="nil"/>
              <w:right w:val="nil"/>
            </w:tcBorders>
            <w:shd w:val="clear" w:color="000000" w:fill="FFFFFF"/>
            <w:noWrap/>
            <w:vAlign w:val="center"/>
            <w:hideMark/>
          </w:tcPr>
          <w:p w14:paraId="6EE1E398" w14:textId="77777777" w:rsidR="002E7477" w:rsidRPr="002E7477" w:rsidRDefault="002E7477" w:rsidP="002E7477">
            <w:pPr>
              <w:spacing w:after="0" w:line="240" w:lineRule="auto"/>
              <w:rPr>
                <w:rFonts w:ascii="Calibri Light" w:eastAsia="Times New Roman" w:hAnsi="Calibri Light" w:cs="Calibri Light"/>
                <w:color w:val="000000"/>
                <w:sz w:val="18"/>
                <w:szCs w:val="18"/>
              </w:rPr>
            </w:pPr>
            <w:proofErr w:type="spellStart"/>
            <w:r w:rsidRPr="002E7477">
              <w:rPr>
                <w:rFonts w:ascii="Calibri Light" w:eastAsia="Times New Roman" w:hAnsi="Calibri Light" w:cs="Calibri Light"/>
                <w:color w:val="000000"/>
                <w:sz w:val="18"/>
                <w:szCs w:val="18"/>
              </w:rPr>
              <w:t>kt</w:t>
            </w:r>
            <w:proofErr w:type="spellEnd"/>
          </w:p>
        </w:tc>
        <w:tc>
          <w:tcPr>
            <w:tcW w:w="2354" w:type="dxa"/>
            <w:tcBorders>
              <w:top w:val="nil"/>
              <w:left w:val="nil"/>
              <w:bottom w:val="nil"/>
              <w:right w:val="nil"/>
            </w:tcBorders>
            <w:shd w:val="clear" w:color="000000" w:fill="FFFFFF"/>
            <w:noWrap/>
            <w:vAlign w:val="center"/>
            <w:hideMark/>
          </w:tcPr>
          <w:p w14:paraId="6AE54131" w14:textId="77777777" w:rsidR="002E7477" w:rsidRPr="002E7477" w:rsidRDefault="002E7477" w:rsidP="002E7477">
            <w:pPr>
              <w:spacing w:after="0" w:line="240" w:lineRule="auto"/>
              <w:rPr>
                <w:rFonts w:ascii="Calibri Light" w:eastAsia="Times New Roman" w:hAnsi="Calibri Light" w:cs="Calibri Light"/>
                <w:color w:val="000000"/>
                <w:sz w:val="18"/>
                <w:szCs w:val="18"/>
              </w:rPr>
            </w:pPr>
            <w:r w:rsidRPr="002E7477">
              <w:rPr>
                <w:rFonts w:ascii="Calibri Light" w:eastAsia="Times New Roman" w:hAnsi="Calibri Light" w:cs="Calibri Light"/>
                <w:color w:val="000000"/>
                <w:sz w:val="18"/>
                <w:szCs w:val="18"/>
              </w:rPr>
              <w:t> </w:t>
            </w:r>
          </w:p>
        </w:tc>
        <w:tc>
          <w:tcPr>
            <w:tcW w:w="3588" w:type="dxa"/>
            <w:tcBorders>
              <w:top w:val="nil"/>
              <w:left w:val="nil"/>
              <w:bottom w:val="nil"/>
              <w:right w:val="single" w:sz="4" w:space="0" w:color="auto"/>
            </w:tcBorders>
            <w:shd w:val="clear" w:color="000000" w:fill="FFFFFF"/>
            <w:noWrap/>
            <w:vAlign w:val="center"/>
            <w:hideMark/>
          </w:tcPr>
          <w:p w14:paraId="7802E21E" w14:textId="262868CA" w:rsidR="002E7477" w:rsidRPr="002E7477" w:rsidRDefault="002E7477" w:rsidP="002E7477">
            <w:pPr>
              <w:spacing w:after="0" w:line="240" w:lineRule="auto"/>
              <w:rPr>
                <w:rFonts w:ascii="Calibri Light" w:eastAsia="Times New Roman" w:hAnsi="Calibri Light" w:cs="Calibri Light"/>
                <w:color w:val="000000"/>
                <w:sz w:val="18"/>
                <w:szCs w:val="18"/>
              </w:rPr>
            </w:pPr>
            <w:r w:rsidRPr="002E7477">
              <w:rPr>
                <w:rFonts w:ascii="Calibri Light" w:eastAsia="Times New Roman" w:hAnsi="Calibri Light" w:cs="Calibri Light"/>
                <w:color w:val="000000"/>
                <w:sz w:val="18"/>
                <w:szCs w:val="18"/>
              </w:rPr>
              <w:t xml:space="preserve">33-42% </w:t>
            </w:r>
            <w:r w:rsidR="0036704C">
              <w:rPr>
                <w:rFonts w:ascii="Calibri Light" w:eastAsia="Times New Roman" w:hAnsi="Calibri Light" w:cs="Calibri Light"/>
                <w:color w:val="000000"/>
                <w:sz w:val="18"/>
                <w:szCs w:val="18"/>
              </w:rPr>
              <w:fldChar w:fldCharType="begin" w:fldLock="1"/>
            </w:r>
            <w:r w:rsidR="0036704C">
              <w:rPr>
                <w:rFonts w:ascii="Calibri Light" w:eastAsia="Times New Roman" w:hAnsi="Calibri Light" w:cs="Calibri Light"/>
                <w:color w:val="000000"/>
                <w:sz w:val="18"/>
                <w:szCs w:val="18"/>
              </w:rPr>
              <w:instrText>ADDIN CSL_CITATION {"citationItems":[{"id":"ITEM-1","itemData":{"URL":"http://www.fao.org/3/x5555e/x5555e03.htm","author":[{"dropping-particle":"","family":"Food and Agriculture Organization","given":"","non-dropping-particle":"","parse-names":false,"suffix":""}],"container-title":"Industrial Charcoal Making","id":"ITEM-1","issued":{"date-parts":[["1985"]]},"title":"Chapter 2. Wood carbonisation and the products it yields","type":"webpage"},"uris":["http://www.mendeley.com/documents/?uuid=473e5de8-7e79-43b9-992d-6d8576f4b5e3"]}],"mendeley":{"formattedCitation":"[19]","plainTextFormattedCitation":"[19]"},"properties":{"noteIndex":0},"schema":"https://github.com/citation-style-language/schema/raw/master/csl-citation.json"}</w:instrText>
            </w:r>
            <w:r w:rsidR="0036704C">
              <w:rPr>
                <w:rFonts w:ascii="Calibri Light" w:eastAsia="Times New Roman" w:hAnsi="Calibri Light" w:cs="Calibri Light"/>
                <w:color w:val="000000"/>
                <w:sz w:val="18"/>
                <w:szCs w:val="18"/>
              </w:rPr>
              <w:fldChar w:fldCharType="separate"/>
            </w:r>
            <w:r w:rsidR="0036704C" w:rsidRPr="0036704C">
              <w:rPr>
                <w:rFonts w:ascii="Calibri Light" w:eastAsia="Times New Roman" w:hAnsi="Calibri Light" w:cs="Calibri Light"/>
                <w:noProof/>
                <w:color w:val="000000"/>
                <w:sz w:val="18"/>
                <w:szCs w:val="18"/>
              </w:rPr>
              <w:t>[19]</w:t>
            </w:r>
            <w:r w:rsidR="0036704C">
              <w:rPr>
                <w:rFonts w:ascii="Calibri Light" w:eastAsia="Times New Roman" w:hAnsi="Calibri Light" w:cs="Calibri Light"/>
                <w:color w:val="000000"/>
                <w:sz w:val="18"/>
                <w:szCs w:val="18"/>
              </w:rPr>
              <w:fldChar w:fldCharType="end"/>
            </w:r>
          </w:p>
        </w:tc>
      </w:tr>
      <w:tr w:rsidR="002E7477" w:rsidRPr="002E7477" w14:paraId="0ABF3112" w14:textId="77777777" w:rsidTr="002E7477">
        <w:trPr>
          <w:trHeight w:val="390"/>
        </w:trPr>
        <w:tc>
          <w:tcPr>
            <w:tcW w:w="2577" w:type="dxa"/>
            <w:tcBorders>
              <w:top w:val="nil"/>
              <w:left w:val="single" w:sz="4" w:space="0" w:color="auto"/>
              <w:bottom w:val="nil"/>
              <w:right w:val="nil"/>
            </w:tcBorders>
            <w:shd w:val="clear" w:color="000000" w:fill="FFFFFF"/>
            <w:noWrap/>
            <w:vAlign w:val="center"/>
            <w:hideMark/>
          </w:tcPr>
          <w:p w14:paraId="027A4B29" w14:textId="77777777" w:rsidR="002E7477" w:rsidRPr="002E7477" w:rsidRDefault="002E7477" w:rsidP="002E7477">
            <w:pPr>
              <w:spacing w:after="0" w:line="240" w:lineRule="auto"/>
              <w:rPr>
                <w:rFonts w:ascii="Calibri Light" w:eastAsia="Times New Roman" w:hAnsi="Calibri Light" w:cs="Calibri Light"/>
                <w:color w:val="000000"/>
                <w:sz w:val="18"/>
                <w:szCs w:val="18"/>
              </w:rPr>
            </w:pPr>
            <w:r w:rsidRPr="002E7477">
              <w:rPr>
                <w:rFonts w:ascii="Calibri Light" w:eastAsia="Times New Roman" w:hAnsi="Calibri Light" w:cs="Calibri Light"/>
                <w:color w:val="000000"/>
                <w:sz w:val="18"/>
                <w:szCs w:val="18"/>
              </w:rPr>
              <w:t>Other liquid biofuels</w:t>
            </w:r>
          </w:p>
        </w:tc>
        <w:tc>
          <w:tcPr>
            <w:tcW w:w="746" w:type="dxa"/>
            <w:tcBorders>
              <w:top w:val="nil"/>
              <w:left w:val="nil"/>
              <w:bottom w:val="nil"/>
              <w:right w:val="nil"/>
            </w:tcBorders>
            <w:shd w:val="clear" w:color="000000" w:fill="FFFFFF"/>
            <w:noWrap/>
            <w:vAlign w:val="center"/>
            <w:hideMark/>
          </w:tcPr>
          <w:p w14:paraId="28A22349" w14:textId="77777777" w:rsidR="002E7477" w:rsidRPr="002E7477" w:rsidRDefault="002E7477" w:rsidP="002E7477">
            <w:pPr>
              <w:spacing w:after="0" w:line="240" w:lineRule="auto"/>
              <w:rPr>
                <w:rFonts w:ascii="Calibri Light" w:eastAsia="Times New Roman" w:hAnsi="Calibri Light" w:cs="Calibri Light"/>
                <w:color w:val="000000"/>
                <w:sz w:val="18"/>
                <w:szCs w:val="18"/>
              </w:rPr>
            </w:pPr>
            <w:proofErr w:type="spellStart"/>
            <w:r w:rsidRPr="002E7477">
              <w:rPr>
                <w:rFonts w:ascii="Calibri Light" w:eastAsia="Times New Roman" w:hAnsi="Calibri Light" w:cs="Calibri Light"/>
                <w:color w:val="000000"/>
                <w:sz w:val="18"/>
                <w:szCs w:val="18"/>
              </w:rPr>
              <w:t>kt</w:t>
            </w:r>
            <w:proofErr w:type="spellEnd"/>
          </w:p>
        </w:tc>
        <w:tc>
          <w:tcPr>
            <w:tcW w:w="2354" w:type="dxa"/>
            <w:tcBorders>
              <w:top w:val="nil"/>
              <w:left w:val="nil"/>
              <w:bottom w:val="nil"/>
              <w:right w:val="nil"/>
            </w:tcBorders>
            <w:shd w:val="clear" w:color="000000" w:fill="FFFFFF"/>
            <w:noWrap/>
            <w:vAlign w:val="center"/>
            <w:hideMark/>
          </w:tcPr>
          <w:p w14:paraId="6F30749F" w14:textId="77777777" w:rsidR="002E7477" w:rsidRPr="002E7477" w:rsidRDefault="002E7477" w:rsidP="002E7477">
            <w:pPr>
              <w:spacing w:after="0" w:line="240" w:lineRule="auto"/>
              <w:rPr>
                <w:rFonts w:ascii="Calibri Light" w:eastAsia="Times New Roman" w:hAnsi="Calibri Light" w:cs="Calibri Light"/>
                <w:color w:val="000000"/>
                <w:sz w:val="18"/>
                <w:szCs w:val="18"/>
              </w:rPr>
            </w:pPr>
            <w:r w:rsidRPr="002E7477">
              <w:rPr>
                <w:rFonts w:ascii="Calibri Light" w:eastAsia="Times New Roman" w:hAnsi="Calibri Light" w:cs="Calibri Light"/>
                <w:color w:val="000000"/>
                <w:sz w:val="18"/>
                <w:szCs w:val="18"/>
              </w:rPr>
              <w:t> </w:t>
            </w:r>
          </w:p>
        </w:tc>
        <w:tc>
          <w:tcPr>
            <w:tcW w:w="3588" w:type="dxa"/>
            <w:tcBorders>
              <w:top w:val="nil"/>
              <w:left w:val="nil"/>
              <w:bottom w:val="nil"/>
              <w:right w:val="single" w:sz="4" w:space="0" w:color="auto"/>
            </w:tcBorders>
            <w:shd w:val="clear" w:color="000000" w:fill="FFFFFF"/>
            <w:noWrap/>
            <w:vAlign w:val="center"/>
            <w:hideMark/>
          </w:tcPr>
          <w:p w14:paraId="30F6E515" w14:textId="77777777" w:rsidR="002E7477" w:rsidRPr="002E7477" w:rsidRDefault="002E7477" w:rsidP="002E7477">
            <w:pPr>
              <w:spacing w:after="0" w:line="240" w:lineRule="auto"/>
              <w:rPr>
                <w:rFonts w:ascii="Calibri Light" w:eastAsia="Times New Roman" w:hAnsi="Calibri Light" w:cs="Calibri Light"/>
                <w:color w:val="000000"/>
                <w:sz w:val="18"/>
                <w:szCs w:val="18"/>
              </w:rPr>
            </w:pPr>
            <w:r w:rsidRPr="002E7477">
              <w:rPr>
                <w:rFonts w:ascii="Calibri Light" w:eastAsia="Times New Roman" w:hAnsi="Calibri Light" w:cs="Calibri Light"/>
                <w:color w:val="000000"/>
                <w:sz w:val="18"/>
                <w:szCs w:val="18"/>
              </w:rPr>
              <w:t xml:space="preserve">Use average of biodiesel and </w:t>
            </w:r>
            <w:proofErr w:type="spellStart"/>
            <w:r w:rsidRPr="002E7477">
              <w:rPr>
                <w:rFonts w:ascii="Calibri Light" w:eastAsia="Times New Roman" w:hAnsi="Calibri Light" w:cs="Calibri Light"/>
                <w:color w:val="000000"/>
                <w:sz w:val="18"/>
                <w:szCs w:val="18"/>
              </w:rPr>
              <w:t>biogasoline</w:t>
            </w:r>
            <w:proofErr w:type="spellEnd"/>
          </w:p>
        </w:tc>
      </w:tr>
      <w:tr w:rsidR="002E7477" w:rsidRPr="002E7477" w14:paraId="64B60B59" w14:textId="77777777" w:rsidTr="002E7477">
        <w:trPr>
          <w:trHeight w:val="780"/>
        </w:trPr>
        <w:tc>
          <w:tcPr>
            <w:tcW w:w="2577" w:type="dxa"/>
            <w:tcBorders>
              <w:top w:val="nil"/>
              <w:left w:val="single" w:sz="4" w:space="0" w:color="auto"/>
              <w:bottom w:val="single" w:sz="4" w:space="0" w:color="auto"/>
              <w:right w:val="nil"/>
            </w:tcBorders>
            <w:shd w:val="clear" w:color="000000" w:fill="FFFFFF"/>
            <w:noWrap/>
            <w:vAlign w:val="center"/>
            <w:hideMark/>
          </w:tcPr>
          <w:p w14:paraId="63CA3C3B" w14:textId="77777777" w:rsidR="002E7477" w:rsidRPr="002E7477" w:rsidRDefault="002E7477" w:rsidP="002E7477">
            <w:pPr>
              <w:spacing w:after="0" w:line="240" w:lineRule="auto"/>
              <w:rPr>
                <w:rFonts w:ascii="Calibri Light" w:eastAsia="Times New Roman" w:hAnsi="Calibri Light" w:cs="Calibri Light"/>
                <w:color w:val="000000"/>
                <w:sz w:val="18"/>
                <w:szCs w:val="18"/>
              </w:rPr>
            </w:pPr>
            <w:r w:rsidRPr="002E7477">
              <w:rPr>
                <w:rFonts w:ascii="Calibri Light" w:eastAsia="Times New Roman" w:hAnsi="Calibri Light" w:cs="Calibri Light"/>
                <w:color w:val="000000"/>
                <w:sz w:val="18"/>
                <w:szCs w:val="18"/>
              </w:rPr>
              <w:t>Solid biofuel excluding charcoal</w:t>
            </w:r>
          </w:p>
        </w:tc>
        <w:tc>
          <w:tcPr>
            <w:tcW w:w="746" w:type="dxa"/>
            <w:tcBorders>
              <w:top w:val="nil"/>
              <w:left w:val="nil"/>
              <w:bottom w:val="single" w:sz="4" w:space="0" w:color="auto"/>
              <w:right w:val="nil"/>
            </w:tcBorders>
            <w:shd w:val="clear" w:color="000000" w:fill="FFFFFF"/>
            <w:noWrap/>
            <w:vAlign w:val="center"/>
            <w:hideMark/>
          </w:tcPr>
          <w:p w14:paraId="60758237" w14:textId="77777777" w:rsidR="002E7477" w:rsidRPr="002E7477" w:rsidRDefault="002E7477" w:rsidP="002E7477">
            <w:pPr>
              <w:spacing w:after="0" w:line="240" w:lineRule="auto"/>
              <w:rPr>
                <w:rFonts w:ascii="Calibri Light" w:eastAsia="Times New Roman" w:hAnsi="Calibri Light" w:cs="Calibri Light"/>
                <w:color w:val="000000"/>
                <w:sz w:val="18"/>
                <w:szCs w:val="18"/>
              </w:rPr>
            </w:pPr>
            <w:r w:rsidRPr="002E7477">
              <w:rPr>
                <w:rFonts w:ascii="Calibri Light" w:eastAsia="Times New Roman" w:hAnsi="Calibri Light" w:cs="Calibri Light"/>
                <w:color w:val="000000"/>
                <w:sz w:val="18"/>
                <w:szCs w:val="18"/>
              </w:rPr>
              <w:t>TJ-net</w:t>
            </w:r>
          </w:p>
        </w:tc>
        <w:tc>
          <w:tcPr>
            <w:tcW w:w="2354" w:type="dxa"/>
            <w:tcBorders>
              <w:top w:val="nil"/>
              <w:left w:val="nil"/>
              <w:bottom w:val="single" w:sz="4" w:space="0" w:color="auto"/>
              <w:right w:val="nil"/>
            </w:tcBorders>
            <w:shd w:val="clear" w:color="000000" w:fill="FFFFFF"/>
            <w:vAlign w:val="center"/>
            <w:hideMark/>
          </w:tcPr>
          <w:p w14:paraId="17116F92" w14:textId="44E23FFD" w:rsidR="002E7477" w:rsidRPr="002E7477" w:rsidRDefault="002E7477" w:rsidP="002E7477">
            <w:pPr>
              <w:spacing w:after="0" w:line="240" w:lineRule="auto"/>
              <w:rPr>
                <w:rFonts w:ascii="Calibri Light" w:eastAsia="Times New Roman" w:hAnsi="Calibri Light" w:cs="Calibri Light"/>
                <w:color w:val="000000"/>
                <w:sz w:val="18"/>
                <w:szCs w:val="18"/>
              </w:rPr>
            </w:pPr>
            <w:r w:rsidRPr="002E7477">
              <w:rPr>
                <w:rFonts w:ascii="Calibri Light" w:eastAsia="Times New Roman" w:hAnsi="Calibri Light" w:cs="Calibri Light"/>
                <w:color w:val="000000"/>
                <w:sz w:val="18"/>
                <w:szCs w:val="18"/>
              </w:rPr>
              <w:t xml:space="preserve">9.14TJ-net/1000m3 </w:t>
            </w:r>
            <w:r>
              <w:rPr>
                <w:rFonts w:ascii="Calibri Light" w:eastAsia="Times New Roman" w:hAnsi="Calibri Light" w:cs="Calibri Light"/>
                <w:color w:val="000000"/>
                <w:sz w:val="18"/>
                <w:szCs w:val="18"/>
              </w:rPr>
              <w:fldChar w:fldCharType="begin" w:fldLock="1"/>
            </w:r>
            <w:r w:rsidR="0036704C">
              <w:rPr>
                <w:rFonts w:ascii="Calibri Light" w:eastAsia="Times New Roman" w:hAnsi="Calibri Light" w:cs="Calibri Light"/>
                <w:color w:val="000000"/>
                <w:sz w:val="18"/>
                <w:szCs w:val="18"/>
              </w:rPr>
              <w:instrText>ADDIN CSL_CITATION {"citationItems":[{"id":"ITEM-1","itemData":{"author":[{"dropping-particle":"","family":"UN Statistics Division","given":"","non-dropping-particle":"","parse-names":false,"suffix":""}],"id":"ITEM-1","issued":{"date-parts":[["2014"]]},"title":"Conversion Factors","type":"report"},"uris":["http://www.mendeley.com/documents/?uuid=d32d8986-a020-44bf-8915-e0927e99d90c"]}],"mendeley":{"formattedCitation":"[20]","plainTextFormattedCitation":"[20]","previouslyFormattedCitation":"[19]"},"properties":{"noteIndex":0},"schema":"https://github.com/citation-style-language/schema/raw/master/csl-citation.json"}</w:instrText>
            </w:r>
            <w:r>
              <w:rPr>
                <w:rFonts w:ascii="Calibri Light" w:eastAsia="Times New Roman" w:hAnsi="Calibri Light" w:cs="Calibri Light"/>
                <w:color w:val="000000"/>
                <w:sz w:val="18"/>
                <w:szCs w:val="18"/>
              </w:rPr>
              <w:fldChar w:fldCharType="separate"/>
            </w:r>
            <w:r w:rsidR="0036704C" w:rsidRPr="0036704C">
              <w:rPr>
                <w:rFonts w:ascii="Calibri Light" w:eastAsia="Times New Roman" w:hAnsi="Calibri Light" w:cs="Calibri Light"/>
                <w:noProof/>
                <w:color w:val="000000"/>
                <w:sz w:val="18"/>
                <w:szCs w:val="18"/>
              </w:rPr>
              <w:t>[20]</w:t>
            </w:r>
            <w:r>
              <w:rPr>
                <w:rFonts w:ascii="Calibri Light" w:eastAsia="Times New Roman" w:hAnsi="Calibri Light" w:cs="Calibri Light"/>
                <w:color w:val="000000"/>
                <w:sz w:val="18"/>
                <w:szCs w:val="18"/>
              </w:rPr>
              <w:fldChar w:fldCharType="end"/>
            </w:r>
            <w:r w:rsidRPr="002E7477">
              <w:rPr>
                <w:rFonts w:ascii="Calibri Light" w:eastAsia="Times New Roman" w:hAnsi="Calibri Light" w:cs="Calibri Light"/>
                <w:color w:val="000000"/>
                <w:sz w:val="18"/>
                <w:szCs w:val="18"/>
              </w:rPr>
              <w:br/>
              <w:t xml:space="preserve">0.50-0.79t/m3 </w:t>
            </w:r>
            <w:r>
              <w:rPr>
                <w:rFonts w:ascii="Calibri Light" w:eastAsia="Times New Roman" w:hAnsi="Calibri Light" w:cs="Calibri Light"/>
                <w:color w:val="000000"/>
                <w:sz w:val="18"/>
                <w:szCs w:val="18"/>
              </w:rPr>
              <w:fldChar w:fldCharType="begin" w:fldLock="1"/>
            </w:r>
            <w:r w:rsidR="0036704C">
              <w:rPr>
                <w:rFonts w:ascii="Calibri Light" w:eastAsia="Times New Roman" w:hAnsi="Calibri Light" w:cs="Calibri Light"/>
                <w:color w:val="000000"/>
                <w:sz w:val="18"/>
                <w:szCs w:val="18"/>
              </w:rPr>
              <w:instrText>ADDIN CSL_CITATION {"citationItems":[{"id":"ITEM-1","itemData":{"URL":"fao.org/3/w4095e06.htm","author":[{"dropping-particle":"","family":"Food and Agriculture Organization","given":"","non-dropping-particle":"","parse-names":false,"suffix":""}],"container-title":"Estimating Biomass and Biomass Change of Tropical Forests: A Primer","id":"ITEM-1","issued":{"date-parts":[["1997"]]},"title":"Methods for estimating biomass density from existing data","type":"webpage"},"uris":["http://www.mendeley.com/documents/?uuid=4e83560a-05a2-4560-9fc6-968a1617d840"]}],"mendeley":{"formattedCitation":"[21]","plainTextFormattedCitation":"[21]","previouslyFormattedCitation":"[20]"},"properties":{"noteIndex":0},"schema":"https://github.com/citation-style-language/schema/raw/master/csl-citation.json"}</w:instrText>
            </w:r>
            <w:r>
              <w:rPr>
                <w:rFonts w:ascii="Calibri Light" w:eastAsia="Times New Roman" w:hAnsi="Calibri Light" w:cs="Calibri Light"/>
                <w:color w:val="000000"/>
                <w:sz w:val="18"/>
                <w:szCs w:val="18"/>
              </w:rPr>
              <w:fldChar w:fldCharType="separate"/>
            </w:r>
            <w:r w:rsidR="0036704C" w:rsidRPr="0036704C">
              <w:rPr>
                <w:rFonts w:ascii="Calibri Light" w:eastAsia="Times New Roman" w:hAnsi="Calibri Light" w:cs="Calibri Light"/>
                <w:noProof/>
                <w:color w:val="000000"/>
                <w:sz w:val="18"/>
                <w:szCs w:val="18"/>
              </w:rPr>
              <w:t>[21]</w:t>
            </w:r>
            <w:r>
              <w:rPr>
                <w:rFonts w:ascii="Calibri Light" w:eastAsia="Times New Roman" w:hAnsi="Calibri Light" w:cs="Calibri Light"/>
                <w:color w:val="000000"/>
                <w:sz w:val="18"/>
                <w:szCs w:val="18"/>
              </w:rPr>
              <w:fldChar w:fldCharType="end"/>
            </w:r>
          </w:p>
        </w:tc>
        <w:tc>
          <w:tcPr>
            <w:tcW w:w="3588" w:type="dxa"/>
            <w:tcBorders>
              <w:top w:val="nil"/>
              <w:left w:val="nil"/>
              <w:bottom w:val="single" w:sz="4" w:space="0" w:color="auto"/>
              <w:right w:val="single" w:sz="4" w:space="0" w:color="auto"/>
            </w:tcBorders>
            <w:shd w:val="clear" w:color="000000" w:fill="FFFFFF"/>
            <w:noWrap/>
            <w:vAlign w:val="center"/>
            <w:hideMark/>
          </w:tcPr>
          <w:p w14:paraId="12F1E39F" w14:textId="77777777" w:rsidR="002E7477" w:rsidRPr="002E7477" w:rsidRDefault="002E7477" w:rsidP="002E7477">
            <w:pPr>
              <w:spacing w:after="0" w:line="240" w:lineRule="auto"/>
              <w:rPr>
                <w:rFonts w:ascii="Calibri Light" w:eastAsia="Times New Roman" w:hAnsi="Calibri Light" w:cs="Calibri Light"/>
                <w:color w:val="000000"/>
                <w:sz w:val="18"/>
                <w:szCs w:val="18"/>
              </w:rPr>
            </w:pPr>
            <w:r w:rsidRPr="002E7477">
              <w:rPr>
                <w:rFonts w:ascii="Calibri Light" w:eastAsia="Times New Roman" w:hAnsi="Calibri Light" w:cs="Calibri Light"/>
                <w:color w:val="000000"/>
                <w:sz w:val="18"/>
                <w:szCs w:val="18"/>
              </w:rPr>
              <w:t> </w:t>
            </w:r>
          </w:p>
        </w:tc>
      </w:tr>
    </w:tbl>
    <w:p w14:paraId="52781A90" w14:textId="649FEE29" w:rsidR="00C135A9" w:rsidRDefault="00C135A9" w:rsidP="006E217C"/>
    <w:p w14:paraId="668091A7" w14:textId="5A36013E" w:rsidR="00C135A9" w:rsidRDefault="00C135A9" w:rsidP="006E217C"/>
    <w:p w14:paraId="64DA8BA0" w14:textId="2F2B6CBE" w:rsidR="0036704C" w:rsidRDefault="0036704C" w:rsidP="006E217C"/>
    <w:p w14:paraId="2FF772EA" w14:textId="43005632" w:rsidR="0036704C" w:rsidRDefault="0036704C" w:rsidP="006E217C"/>
    <w:p w14:paraId="7EF7982C" w14:textId="7B95D248" w:rsidR="0036704C" w:rsidRDefault="0036704C" w:rsidP="006E217C"/>
    <w:p w14:paraId="3DB10F90" w14:textId="4CAEE772" w:rsidR="0036704C" w:rsidRDefault="0036704C" w:rsidP="006E217C"/>
    <w:p w14:paraId="6CF1DBF9" w14:textId="77777777" w:rsidR="0036704C" w:rsidRDefault="0036704C" w:rsidP="006E217C"/>
    <w:p w14:paraId="314EAA48" w14:textId="31E7519E" w:rsidR="00C135A9" w:rsidRDefault="00C135A9" w:rsidP="006E217C"/>
    <w:p w14:paraId="1232DC7D" w14:textId="77777777" w:rsidR="00C135A9" w:rsidRPr="006E217C" w:rsidRDefault="00C135A9" w:rsidP="006E217C"/>
    <w:p w14:paraId="123563B7" w14:textId="71AD6A77" w:rsidR="00303D29" w:rsidRDefault="0036704C" w:rsidP="00CD35E5">
      <w:pPr>
        <w:pStyle w:val="Heading1"/>
      </w:pPr>
      <w:bookmarkStart w:id="7" w:name="_Toc41047422"/>
      <w:r>
        <w:lastRenderedPageBreak/>
        <w:t>8</w:t>
      </w:r>
      <w:r w:rsidR="00303D29">
        <w:tab/>
        <w:t>Data validation in HOMIES</w:t>
      </w:r>
      <w:bookmarkEnd w:id="7"/>
    </w:p>
    <w:p w14:paraId="362D1D3D" w14:textId="7BC77803" w:rsidR="00303D29" w:rsidRDefault="00303D29" w:rsidP="00303D29"/>
    <w:p w14:paraId="2E53F68A" w14:textId="46FBBEC0" w:rsidR="00303D29" w:rsidRDefault="00303D29" w:rsidP="00303D29">
      <w:r>
        <w:t>Throughout our data compilation for HOMIES, we implemented checks on our data to ensure that flows remain realistic and reflect existing reports. We illustrate our data checks using the following figures as snapshots of our process.</w:t>
      </w:r>
    </w:p>
    <w:p w14:paraId="42D19DB9" w14:textId="7E9C911A" w:rsidR="00303D29" w:rsidRDefault="00303D29" w:rsidP="00303D29"/>
    <w:p w14:paraId="57779CE9" w14:textId="67F16824" w:rsidR="00303D29" w:rsidRDefault="0036704C" w:rsidP="00303D29">
      <w:pPr>
        <w:pStyle w:val="Heading2"/>
      </w:pPr>
      <w:bookmarkStart w:id="8" w:name="_Toc41047423"/>
      <w:r>
        <w:t>8</w:t>
      </w:r>
      <w:r w:rsidR="00303D29">
        <w:t>.1</w:t>
      </w:r>
      <w:r w:rsidR="00600827">
        <w:tab/>
      </w:r>
      <w:r w:rsidR="00303D29">
        <w:t>Scaling LCOE</w:t>
      </w:r>
      <w:bookmarkEnd w:id="8"/>
    </w:p>
    <w:p w14:paraId="03759793" w14:textId="514499B3" w:rsidR="00303D29" w:rsidRDefault="00303D29" w:rsidP="00303D29"/>
    <w:p w14:paraId="4FC943D0" w14:textId="37354BAD" w:rsidR="00303D29" w:rsidRDefault="00303D29" w:rsidP="00303D29">
      <w:r>
        <w:t xml:space="preserve">A key part of compiling HOMIES was to scale both energy and monetary flows into the generation of electricity. Electricity in HOMIES is differentiated by combustion-based (ELEC_COM), hydro (ELEC_HY), nuclear (ELEC_NU), and renewables based (ELEC_RE). We use LCOE to proxy for the labor and capital costs required to generate each type of electricity. The following figure illustrates the scale we use to differentiate energy and monetary flows into electricity generation. It is based on LCOE patterns in the United States, and is therefore reflects a highly developed energy system. However, our assumption is that even if LCOE is higher/lower in other countries, the LCOE of the different generation types are proportional. </w:t>
      </w:r>
    </w:p>
    <w:p w14:paraId="12A50F21" w14:textId="61423250" w:rsidR="00303D29" w:rsidRDefault="00303D29" w:rsidP="00303D29"/>
    <w:p w14:paraId="43911249" w14:textId="2D501B02" w:rsidR="00303D29" w:rsidRDefault="00303D29" w:rsidP="00D2581A">
      <w:pPr>
        <w:jc w:val="center"/>
      </w:pPr>
      <w:r>
        <w:rPr>
          <w:noProof/>
        </w:rPr>
        <w:drawing>
          <wp:inline distT="0" distB="0" distL="0" distR="0" wp14:anchorId="630F62B1" wp14:editId="06529438">
            <wp:extent cx="4191000" cy="32457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2965" cy="3247308"/>
                    </a:xfrm>
                    <a:prstGeom prst="rect">
                      <a:avLst/>
                    </a:prstGeom>
                  </pic:spPr>
                </pic:pic>
              </a:graphicData>
            </a:graphic>
          </wp:inline>
        </w:drawing>
      </w:r>
    </w:p>
    <w:p w14:paraId="7528DF89" w14:textId="137C04CB" w:rsidR="00D2581A" w:rsidRPr="00BE744E" w:rsidRDefault="00D2581A" w:rsidP="00D2581A">
      <w:pPr>
        <w:jc w:val="both"/>
        <w:rPr>
          <w:sz w:val="20"/>
          <w:szCs w:val="20"/>
        </w:rPr>
      </w:pPr>
      <w:r w:rsidRPr="00BE744E">
        <w:rPr>
          <w:b/>
          <w:sz w:val="20"/>
          <w:szCs w:val="20"/>
        </w:rPr>
        <w:t>Fig. 1. LCOE scale by year.</w:t>
      </w:r>
      <w:r w:rsidRPr="00BE744E">
        <w:rPr>
          <w:sz w:val="20"/>
          <w:szCs w:val="20"/>
        </w:rPr>
        <w:t xml:space="preserve"> The scale represents the share of a monetary/energy flow that is destined for the given type of electricity. </w:t>
      </w:r>
    </w:p>
    <w:p w14:paraId="17D0886F" w14:textId="360ED601" w:rsidR="00BE744E" w:rsidRDefault="00BE744E" w:rsidP="00D2581A">
      <w:pPr>
        <w:jc w:val="both"/>
        <w:rPr>
          <w:sz w:val="18"/>
          <w:szCs w:val="18"/>
        </w:rPr>
      </w:pPr>
    </w:p>
    <w:p w14:paraId="7234A95F" w14:textId="16094385" w:rsidR="00BE744E" w:rsidRDefault="0036704C" w:rsidP="00BE744E">
      <w:pPr>
        <w:pStyle w:val="Heading2"/>
      </w:pPr>
      <w:bookmarkStart w:id="9" w:name="_Toc41047424"/>
      <w:r>
        <w:lastRenderedPageBreak/>
        <w:t>8</w:t>
      </w:r>
      <w:r w:rsidR="00BE744E">
        <w:t>.2</w:t>
      </w:r>
      <w:r w:rsidR="00BE744E">
        <w:tab/>
        <w:t>Mining shares</w:t>
      </w:r>
      <w:bookmarkEnd w:id="9"/>
    </w:p>
    <w:p w14:paraId="5F5FAB93" w14:textId="74460E40" w:rsidR="00BE744E" w:rsidRDefault="00BE744E" w:rsidP="00BE744E"/>
    <w:p w14:paraId="3E9DA403" w14:textId="22F5576D" w:rsidR="00BE744E" w:rsidRDefault="00BE744E" w:rsidP="00BE744E">
      <w:r>
        <w:t>Data on mining are taken from the World Mining Database and combined with the International Energy Agency’s World Energy Balances. When joining these datasets, we conducted a check on each country’s breakdown of mining activity. The following figure breaks down the mining activity of the ten most mining-intensive countries in the world in 201</w:t>
      </w:r>
      <w:r w:rsidR="001506E9">
        <w:t>5</w:t>
      </w:r>
      <w:r>
        <w:t>.</w:t>
      </w:r>
    </w:p>
    <w:p w14:paraId="3B0671CD" w14:textId="08DF8890" w:rsidR="00BE744E" w:rsidRDefault="001506E9" w:rsidP="00BE744E">
      <w:pPr>
        <w:jc w:val="center"/>
      </w:pPr>
      <w:r>
        <w:rPr>
          <w:noProof/>
        </w:rPr>
        <w:drawing>
          <wp:inline distT="0" distB="0" distL="0" distR="0" wp14:anchorId="0286AE85" wp14:editId="3096AF04">
            <wp:extent cx="4149306" cy="4149306"/>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ing_shar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51324" cy="4151324"/>
                    </a:xfrm>
                    <a:prstGeom prst="rect">
                      <a:avLst/>
                    </a:prstGeom>
                  </pic:spPr>
                </pic:pic>
              </a:graphicData>
            </a:graphic>
          </wp:inline>
        </w:drawing>
      </w:r>
    </w:p>
    <w:p w14:paraId="0029D701" w14:textId="6E4905C1" w:rsidR="00BE744E" w:rsidRPr="00BE744E" w:rsidRDefault="00BE744E" w:rsidP="00BE744E">
      <w:pPr>
        <w:jc w:val="both"/>
        <w:rPr>
          <w:sz w:val="20"/>
          <w:szCs w:val="20"/>
        </w:rPr>
      </w:pPr>
      <w:r w:rsidRPr="00BE744E">
        <w:rPr>
          <w:b/>
          <w:sz w:val="20"/>
          <w:szCs w:val="20"/>
        </w:rPr>
        <w:t xml:space="preserve">Fig. </w:t>
      </w:r>
      <w:r>
        <w:rPr>
          <w:b/>
          <w:sz w:val="20"/>
          <w:szCs w:val="20"/>
        </w:rPr>
        <w:t>2</w:t>
      </w:r>
      <w:r w:rsidRPr="00BE744E">
        <w:rPr>
          <w:b/>
          <w:sz w:val="20"/>
          <w:szCs w:val="20"/>
        </w:rPr>
        <w:t xml:space="preserve">. </w:t>
      </w:r>
      <w:r>
        <w:rPr>
          <w:b/>
          <w:sz w:val="20"/>
          <w:szCs w:val="20"/>
        </w:rPr>
        <w:t>Mining production for the ten most mining-intensive countries in the world (201</w:t>
      </w:r>
      <w:r w:rsidR="001506E9">
        <w:rPr>
          <w:b/>
          <w:sz w:val="20"/>
          <w:szCs w:val="20"/>
        </w:rPr>
        <w:t>5</w:t>
      </w:r>
      <w:r>
        <w:rPr>
          <w:b/>
          <w:sz w:val="20"/>
          <w:szCs w:val="20"/>
        </w:rPr>
        <w:t>)</w:t>
      </w:r>
      <w:r w:rsidRPr="00BE744E">
        <w:rPr>
          <w:b/>
          <w:sz w:val="20"/>
          <w:szCs w:val="20"/>
        </w:rPr>
        <w:t>.</w:t>
      </w:r>
      <w:r w:rsidRPr="00BE744E">
        <w:rPr>
          <w:sz w:val="20"/>
          <w:szCs w:val="20"/>
        </w:rPr>
        <w:t xml:space="preserve"> </w:t>
      </w:r>
      <w:r>
        <w:rPr>
          <w:sz w:val="20"/>
          <w:szCs w:val="20"/>
        </w:rPr>
        <w:t>Each bar represents a country in 2016, with bars differentiated by the commodity mined. Country codes are as follow: Uzbekistan (UZB), Trinidad and Tobago (TTO), Turkmenistan (TKM</w:t>
      </w:r>
      <w:r w:rsidR="001506E9">
        <w:rPr>
          <w:sz w:val="20"/>
          <w:szCs w:val="20"/>
        </w:rPr>
        <w:t>),</w:t>
      </w:r>
      <w:r>
        <w:rPr>
          <w:sz w:val="20"/>
          <w:szCs w:val="20"/>
        </w:rPr>
        <w:t xml:space="preserve"> South Sudan (SSD), Saudi Arabia (SAU), Qatar (QAT), Nigeria (NGA), Niger (NER), Libya (LBY), Kuwait (KWT), Iraq (IRQ),</w:t>
      </w:r>
      <w:r w:rsidR="001506E9">
        <w:rPr>
          <w:sz w:val="20"/>
          <w:szCs w:val="20"/>
        </w:rPr>
        <w:t xml:space="preserve"> Indonesia (IDN),</w:t>
      </w:r>
      <w:r>
        <w:rPr>
          <w:sz w:val="20"/>
          <w:szCs w:val="20"/>
        </w:rPr>
        <w:t xml:space="preserve"> Hungary (HUN), Estonia (EST), Ecuador (ECU), Colombia (COL), Congo (COG), Cameroon (CMR), Brunei (BRN), Azerbaijan (AZE).</w:t>
      </w:r>
      <w:r w:rsidRPr="00BE744E">
        <w:rPr>
          <w:sz w:val="20"/>
          <w:szCs w:val="20"/>
        </w:rPr>
        <w:t xml:space="preserve"> </w:t>
      </w:r>
    </w:p>
    <w:p w14:paraId="58C440DD" w14:textId="309D8F66" w:rsidR="00BE744E" w:rsidRDefault="00BE744E" w:rsidP="00BE744E"/>
    <w:p w14:paraId="27931359" w14:textId="505A0842" w:rsidR="00D21F53" w:rsidRDefault="00D21F53" w:rsidP="00BE744E"/>
    <w:p w14:paraId="28FBBE65" w14:textId="5CC3EA2D" w:rsidR="00D21F53" w:rsidRDefault="00D21F53" w:rsidP="00BE744E"/>
    <w:p w14:paraId="62FBB71B" w14:textId="6DAC8330" w:rsidR="00D21F53" w:rsidRDefault="00D21F53" w:rsidP="00BE744E"/>
    <w:p w14:paraId="0E31B65C" w14:textId="242DACE2" w:rsidR="00D21F53" w:rsidRDefault="00D21F53" w:rsidP="00BE744E"/>
    <w:p w14:paraId="074E1C31" w14:textId="77777777" w:rsidR="00D21F53" w:rsidRPr="00BE744E" w:rsidRDefault="00D21F53" w:rsidP="00BE744E"/>
    <w:p w14:paraId="05678B2F" w14:textId="6D5244CE" w:rsidR="00A712E3" w:rsidRDefault="0036704C" w:rsidP="00CD35E5">
      <w:pPr>
        <w:pStyle w:val="Heading1"/>
      </w:pPr>
      <w:bookmarkStart w:id="10" w:name="_Toc41047425"/>
      <w:r>
        <w:lastRenderedPageBreak/>
        <w:t>9</w:t>
      </w:r>
      <w:r w:rsidR="00A712E3">
        <w:tab/>
        <w:t>Losses in HOMIES</w:t>
      </w:r>
      <w:bookmarkEnd w:id="10"/>
    </w:p>
    <w:p w14:paraId="3EDFC32A" w14:textId="294F0816" w:rsidR="00A712E3" w:rsidRDefault="00A712E3" w:rsidP="00A712E3"/>
    <w:p w14:paraId="57F60810" w14:textId="6CE0FF6A" w:rsidR="00A712E3" w:rsidRDefault="00A712E3" w:rsidP="00A712E3">
      <w:r>
        <w:t xml:space="preserve">As mentioned in the main text of this study, losses are </w:t>
      </w:r>
      <w:r w:rsidR="008F1F22">
        <w:t>categorized as a separate energy sink in HOMIES. Once an energy flow goes into the losses column, it cannot be used by another sector to produce goods and services. The following schematic illustrates how losses are calculated throughout HOMIES in a hypothetical country with three primary energy resources (crude oil, coal, renewables), two secondary energy resources (petroleum and electricity) and two non-energy sectors.</w:t>
      </w:r>
    </w:p>
    <w:p w14:paraId="0EB370A9" w14:textId="14F5AD48" w:rsidR="008F1F22" w:rsidRDefault="008F1F22" w:rsidP="00A712E3"/>
    <w:p w14:paraId="30056B3D" w14:textId="3395C15C" w:rsidR="008F1F22" w:rsidRDefault="008F1F22" w:rsidP="00A712E3">
      <w:r>
        <w:rPr>
          <w:noProof/>
        </w:rPr>
        <w:drawing>
          <wp:inline distT="0" distB="0" distL="0" distR="0" wp14:anchorId="264A7775" wp14:editId="214372BF">
            <wp:extent cx="5943600" cy="2704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4465"/>
                    </a:xfrm>
                    <a:prstGeom prst="rect">
                      <a:avLst/>
                    </a:prstGeom>
                  </pic:spPr>
                </pic:pic>
              </a:graphicData>
            </a:graphic>
          </wp:inline>
        </w:drawing>
      </w:r>
    </w:p>
    <w:p w14:paraId="1327B433" w14:textId="08DBC7FE" w:rsidR="008F1F22" w:rsidRDefault="008F1F22" w:rsidP="00A712E3"/>
    <w:p w14:paraId="72941318" w14:textId="35AD65EC" w:rsidR="008F1F22" w:rsidRDefault="008F1F22" w:rsidP="00A712E3"/>
    <w:p w14:paraId="582BDF48" w14:textId="2621B11D" w:rsidR="008F1F22" w:rsidRDefault="008F1F22" w:rsidP="00A712E3"/>
    <w:p w14:paraId="759464D9" w14:textId="58EDC554" w:rsidR="008F1F22" w:rsidRDefault="008F1F22" w:rsidP="00A712E3"/>
    <w:p w14:paraId="34B801F5" w14:textId="122FD0B3" w:rsidR="008F1F22" w:rsidRDefault="008F1F22" w:rsidP="00A712E3"/>
    <w:p w14:paraId="4F661B73" w14:textId="1B37DC01" w:rsidR="008F1F22" w:rsidRDefault="008F1F22" w:rsidP="00A712E3"/>
    <w:p w14:paraId="48FFC1F1" w14:textId="16C02181" w:rsidR="008F1F22" w:rsidRDefault="008F1F22" w:rsidP="00A712E3"/>
    <w:p w14:paraId="63D21B5E" w14:textId="0E70C642" w:rsidR="008F1F22" w:rsidRDefault="008F1F22" w:rsidP="00A712E3"/>
    <w:p w14:paraId="1772950A" w14:textId="21CC69EA" w:rsidR="008F1F22" w:rsidRDefault="008F1F22" w:rsidP="00A712E3"/>
    <w:p w14:paraId="3A080236" w14:textId="6049A10A" w:rsidR="008F1F22" w:rsidRDefault="008F1F22" w:rsidP="00A712E3"/>
    <w:p w14:paraId="03B3EB28" w14:textId="28510DF0" w:rsidR="008F1F22" w:rsidRDefault="008F1F22" w:rsidP="00A712E3"/>
    <w:p w14:paraId="0A794854" w14:textId="77777777" w:rsidR="008F1F22" w:rsidRPr="00A712E3" w:rsidRDefault="008F1F22" w:rsidP="00A712E3"/>
    <w:p w14:paraId="7469A5A8" w14:textId="4C9C246A" w:rsidR="00654556" w:rsidRDefault="00654556" w:rsidP="00CD35E5">
      <w:pPr>
        <w:pStyle w:val="Heading1"/>
      </w:pPr>
      <w:bookmarkStart w:id="11" w:name="_Toc41047426"/>
      <w:r>
        <w:lastRenderedPageBreak/>
        <w:t>10</w:t>
      </w:r>
      <w:r>
        <w:tab/>
        <w:t>Import dependence by region</w:t>
      </w:r>
      <w:bookmarkEnd w:id="11"/>
    </w:p>
    <w:p w14:paraId="1D2DE34E" w14:textId="023C0A51" w:rsidR="00654556" w:rsidRDefault="00654556" w:rsidP="00654556"/>
    <w:p w14:paraId="54647E85" w14:textId="687255B4" w:rsidR="00654556" w:rsidRDefault="00654556" w:rsidP="00654556">
      <w:r>
        <w:t xml:space="preserve">The following table includes the import dependence of direct and indirect energy at the regional level. Standard deviations are in parentheses. </w:t>
      </w:r>
      <w:r w:rsidR="00815DA4">
        <w:t>The global mean is listed at the bottom of the table.</w:t>
      </w:r>
    </w:p>
    <w:p w14:paraId="054EDA13" w14:textId="4AEEB991" w:rsidR="00815DA4" w:rsidRDefault="00815DA4" w:rsidP="00654556"/>
    <w:tbl>
      <w:tblPr>
        <w:tblW w:w="10909" w:type="dxa"/>
        <w:tblInd w:w="-905" w:type="dxa"/>
        <w:tblLook w:val="04A0" w:firstRow="1" w:lastRow="0" w:firstColumn="1" w:lastColumn="0" w:noHBand="0" w:noVBand="1"/>
      </w:tblPr>
      <w:tblGrid>
        <w:gridCol w:w="2541"/>
        <w:gridCol w:w="800"/>
        <w:gridCol w:w="1260"/>
        <w:gridCol w:w="900"/>
        <w:gridCol w:w="1080"/>
        <w:gridCol w:w="990"/>
        <w:gridCol w:w="1080"/>
        <w:gridCol w:w="981"/>
        <w:gridCol w:w="1277"/>
      </w:tblGrid>
      <w:tr w:rsidR="00815DA4" w:rsidRPr="00815DA4" w14:paraId="014B91A7" w14:textId="77777777" w:rsidTr="00815DA4">
        <w:trPr>
          <w:trHeight w:val="260"/>
        </w:trPr>
        <w:tc>
          <w:tcPr>
            <w:tcW w:w="2541" w:type="dxa"/>
            <w:tcBorders>
              <w:top w:val="single" w:sz="4" w:space="0" w:color="auto"/>
              <w:left w:val="single" w:sz="4" w:space="0" w:color="auto"/>
              <w:bottom w:val="nil"/>
              <w:right w:val="single" w:sz="4" w:space="0" w:color="auto"/>
            </w:tcBorders>
            <w:shd w:val="clear" w:color="000000" w:fill="FFFFFF"/>
            <w:noWrap/>
            <w:vAlign w:val="center"/>
            <w:hideMark/>
          </w:tcPr>
          <w:p w14:paraId="20C38602" w14:textId="77777777" w:rsidR="00815DA4" w:rsidRPr="00815DA4" w:rsidRDefault="00815DA4" w:rsidP="00815DA4">
            <w:pPr>
              <w:spacing w:after="0" w:line="240" w:lineRule="auto"/>
              <w:rPr>
                <w:rFonts w:ascii="Calibri Light" w:eastAsia="Times New Roman" w:hAnsi="Calibri Light" w:cs="Calibri Light"/>
                <w:b/>
                <w:bCs/>
                <w:color w:val="000000"/>
                <w:sz w:val="18"/>
                <w:szCs w:val="18"/>
              </w:rPr>
            </w:pPr>
            <w:r w:rsidRPr="00815DA4">
              <w:rPr>
                <w:rFonts w:ascii="Calibri Light" w:eastAsia="Times New Roman" w:hAnsi="Calibri Light" w:cs="Calibri Light"/>
                <w:b/>
                <w:bCs/>
                <w:color w:val="000000"/>
                <w:sz w:val="18"/>
                <w:szCs w:val="18"/>
              </w:rPr>
              <w:t> </w:t>
            </w:r>
          </w:p>
        </w:tc>
        <w:tc>
          <w:tcPr>
            <w:tcW w:w="2060"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07F8CCC7" w14:textId="77777777" w:rsidR="00815DA4" w:rsidRPr="00815DA4" w:rsidRDefault="00815DA4" w:rsidP="00815DA4">
            <w:pPr>
              <w:spacing w:after="0" w:line="240" w:lineRule="auto"/>
              <w:jc w:val="center"/>
              <w:rPr>
                <w:rFonts w:ascii="Calibri Light" w:eastAsia="Times New Roman" w:hAnsi="Calibri Light" w:cs="Calibri Light"/>
                <w:b/>
                <w:bCs/>
                <w:color w:val="000000"/>
                <w:sz w:val="18"/>
                <w:szCs w:val="18"/>
              </w:rPr>
            </w:pPr>
            <w:r w:rsidRPr="00815DA4">
              <w:rPr>
                <w:rFonts w:ascii="Calibri Light" w:eastAsia="Times New Roman" w:hAnsi="Calibri Light" w:cs="Calibri Light"/>
                <w:b/>
                <w:bCs/>
                <w:color w:val="000000"/>
                <w:sz w:val="18"/>
                <w:szCs w:val="18"/>
              </w:rPr>
              <w:t>2000</w:t>
            </w:r>
          </w:p>
        </w:tc>
        <w:tc>
          <w:tcPr>
            <w:tcW w:w="1980"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6ED49DCC" w14:textId="77777777" w:rsidR="00815DA4" w:rsidRPr="00815DA4" w:rsidRDefault="00815DA4" w:rsidP="00815DA4">
            <w:pPr>
              <w:spacing w:after="0" w:line="240" w:lineRule="auto"/>
              <w:jc w:val="center"/>
              <w:rPr>
                <w:rFonts w:ascii="Calibri Light" w:eastAsia="Times New Roman" w:hAnsi="Calibri Light" w:cs="Calibri Light"/>
                <w:b/>
                <w:bCs/>
                <w:color w:val="000000"/>
                <w:sz w:val="18"/>
                <w:szCs w:val="18"/>
              </w:rPr>
            </w:pPr>
            <w:r w:rsidRPr="00815DA4">
              <w:rPr>
                <w:rFonts w:ascii="Calibri Light" w:eastAsia="Times New Roman" w:hAnsi="Calibri Light" w:cs="Calibri Light"/>
                <w:b/>
                <w:bCs/>
                <w:color w:val="000000"/>
                <w:sz w:val="18"/>
                <w:szCs w:val="18"/>
              </w:rPr>
              <w:t>2005</w:t>
            </w:r>
          </w:p>
        </w:tc>
        <w:tc>
          <w:tcPr>
            <w:tcW w:w="2070"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6DB67B17" w14:textId="77777777" w:rsidR="00815DA4" w:rsidRPr="00815DA4" w:rsidRDefault="00815DA4" w:rsidP="00815DA4">
            <w:pPr>
              <w:spacing w:after="0" w:line="240" w:lineRule="auto"/>
              <w:jc w:val="center"/>
              <w:rPr>
                <w:rFonts w:ascii="Calibri Light" w:eastAsia="Times New Roman" w:hAnsi="Calibri Light" w:cs="Calibri Light"/>
                <w:b/>
                <w:bCs/>
                <w:color w:val="000000"/>
                <w:sz w:val="18"/>
                <w:szCs w:val="18"/>
              </w:rPr>
            </w:pPr>
            <w:r w:rsidRPr="00815DA4">
              <w:rPr>
                <w:rFonts w:ascii="Calibri Light" w:eastAsia="Times New Roman" w:hAnsi="Calibri Light" w:cs="Calibri Light"/>
                <w:b/>
                <w:bCs/>
                <w:color w:val="000000"/>
                <w:sz w:val="18"/>
                <w:szCs w:val="18"/>
              </w:rPr>
              <w:t>2010</w:t>
            </w:r>
          </w:p>
        </w:tc>
        <w:tc>
          <w:tcPr>
            <w:tcW w:w="2258"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0C9D156C" w14:textId="77777777" w:rsidR="00815DA4" w:rsidRPr="00815DA4" w:rsidRDefault="00815DA4" w:rsidP="00815DA4">
            <w:pPr>
              <w:spacing w:after="0" w:line="240" w:lineRule="auto"/>
              <w:jc w:val="center"/>
              <w:rPr>
                <w:rFonts w:ascii="Calibri Light" w:eastAsia="Times New Roman" w:hAnsi="Calibri Light" w:cs="Calibri Light"/>
                <w:b/>
                <w:bCs/>
                <w:color w:val="000000"/>
                <w:sz w:val="18"/>
                <w:szCs w:val="18"/>
              </w:rPr>
            </w:pPr>
            <w:r w:rsidRPr="00815DA4">
              <w:rPr>
                <w:rFonts w:ascii="Calibri Light" w:eastAsia="Times New Roman" w:hAnsi="Calibri Light" w:cs="Calibri Light"/>
                <w:b/>
                <w:bCs/>
                <w:color w:val="000000"/>
                <w:sz w:val="18"/>
                <w:szCs w:val="18"/>
              </w:rPr>
              <w:t>2015</w:t>
            </w:r>
          </w:p>
        </w:tc>
      </w:tr>
      <w:tr w:rsidR="00815DA4" w:rsidRPr="00815DA4" w14:paraId="3BD18F29" w14:textId="77777777" w:rsidTr="00815DA4">
        <w:trPr>
          <w:trHeight w:val="260"/>
        </w:trPr>
        <w:tc>
          <w:tcPr>
            <w:tcW w:w="2541" w:type="dxa"/>
            <w:tcBorders>
              <w:top w:val="nil"/>
              <w:left w:val="single" w:sz="4" w:space="0" w:color="auto"/>
              <w:bottom w:val="single" w:sz="4" w:space="0" w:color="auto"/>
              <w:right w:val="single" w:sz="4" w:space="0" w:color="auto"/>
            </w:tcBorders>
            <w:shd w:val="clear" w:color="000000" w:fill="FFFFFF"/>
            <w:noWrap/>
            <w:vAlign w:val="center"/>
            <w:hideMark/>
          </w:tcPr>
          <w:p w14:paraId="4B1F56BC" w14:textId="77777777" w:rsidR="00815DA4" w:rsidRPr="00815DA4" w:rsidRDefault="00815DA4" w:rsidP="00815DA4">
            <w:pPr>
              <w:spacing w:after="0" w:line="240" w:lineRule="auto"/>
              <w:rPr>
                <w:rFonts w:ascii="Calibri Light" w:eastAsia="Times New Roman" w:hAnsi="Calibri Light" w:cs="Calibri Light"/>
                <w:b/>
                <w:bCs/>
                <w:color w:val="000000"/>
                <w:sz w:val="18"/>
                <w:szCs w:val="18"/>
              </w:rPr>
            </w:pPr>
            <w:r w:rsidRPr="00815DA4">
              <w:rPr>
                <w:rFonts w:ascii="Calibri Light" w:eastAsia="Times New Roman" w:hAnsi="Calibri Light" w:cs="Calibri Light"/>
                <w:b/>
                <w:bCs/>
                <w:color w:val="000000"/>
                <w:sz w:val="18"/>
                <w:szCs w:val="18"/>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0C4F4471" w14:textId="77777777" w:rsidR="00815DA4" w:rsidRPr="00815DA4" w:rsidRDefault="00815DA4" w:rsidP="00815DA4">
            <w:pPr>
              <w:spacing w:after="0" w:line="240" w:lineRule="auto"/>
              <w:jc w:val="center"/>
              <w:rPr>
                <w:rFonts w:ascii="Calibri Light" w:eastAsia="Times New Roman" w:hAnsi="Calibri Light" w:cs="Calibri Light"/>
                <w:b/>
                <w:bCs/>
                <w:color w:val="000000"/>
                <w:sz w:val="18"/>
                <w:szCs w:val="18"/>
              </w:rPr>
            </w:pPr>
            <w:r w:rsidRPr="00815DA4">
              <w:rPr>
                <w:rFonts w:ascii="Calibri Light" w:eastAsia="Times New Roman" w:hAnsi="Calibri Light" w:cs="Calibri Light"/>
                <w:b/>
                <w:bCs/>
                <w:color w:val="000000"/>
                <w:sz w:val="18"/>
                <w:szCs w:val="18"/>
              </w:rPr>
              <w:t>Direct</w:t>
            </w:r>
          </w:p>
        </w:tc>
        <w:tc>
          <w:tcPr>
            <w:tcW w:w="1260" w:type="dxa"/>
            <w:tcBorders>
              <w:top w:val="nil"/>
              <w:left w:val="nil"/>
              <w:bottom w:val="single" w:sz="4" w:space="0" w:color="auto"/>
              <w:right w:val="single" w:sz="4" w:space="0" w:color="auto"/>
            </w:tcBorders>
            <w:shd w:val="clear" w:color="000000" w:fill="FFFFFF"/>
            <w:noWrap/>
            <w:vAlign w:val="bottom"/>
            <w:hideMark/>
          </w:tcPr>
          <w:p w14:paraId="58014F55" w14:textId="77777777" w:rsidR="00815DA4" w:rsidRPr="00815DA4" w:rsidRDefault="00815DA4" w:rsidP="00815DA4">
            <w:pPr>
              <w:spacing w:after="0" w:line="240" w:lineRule="auto"/>
              <w:jc w:val="center"/>
              <w:rPr>
                <w:rFonts w:ascii="Calibri Light" w:eastAsia="Times New Roman" w:hAnsi="Calibri Light" w:cs="Calibri Light"/>
                <w:b/>
                <w:bCs/>
                <w:color w:val="000000"/>
                <w:sz w:val="18"/>
                <w:szCs w:val="18"/>
              </w:rPr>
            </w:pPr>
            <w:r w:rsidRPr="00815DA4">
              <w:rPr>
                <w:rFonts w:ascii="Calibri Light" w:eastAsia="Times New Roman" w:hAnsi="Calibri Light" w:cs="Calibri Light"/>
                <w:b/>
                <w:bCs/>
                <w:color w:val="000000"/>
                <w:sz w:val="18"/>
                <w:szCs w:val="18"/>
              </w:rPr>
              <w:t>Embodied</w:t>
            </w:r>
          </w:p>
        </w:tc>
        <w:tc>
          <w:tcPr>
            <w:tcW w:w="900" w:type="dxa"/>
            <w:tcBorders>
              <w:top w:val="nil"/>
              <w:left w:val="nil"/>
              <w:bottom w:val="single" w:sz="4" w:space="0" w:color="auto"/>
              <w:right w:val="single" w:sz="4" w:space="0" w:color="auto"/>
            </w:tcBorders>
            <w:shd w:val="clear" w:color="000000" w:fill="FFFFFF"/>
            <w:noWrap/>
            <w:vAlign w:val="bottom"/>
            <w:hideMark/>
          </w:tcPr>
          <w:p w14:paraId="454D5721" w14:textId="77777777" w:rsidR="00815DA4" w:rsidRPr="00815DA4" w:rsidRDefault="00815DA4" w:rsidP="00815DA4">
            <w:pPr>
              <w:spacing w:after="0" w:line="240" w:lineRule="auto"/>
              <w:jc w:val="center"/>
              <w:rPr>
                <w:rFonts w:ascii="Calibri Light" w:eastAsia="Times New Roman" w:hAnsi="Calibri Light" w:cs="Calibri Light"/>
                <w:b/>
                <w:bCs/>
                <w:color w:val="000000"/>
                <w:sz w:val="18"/>
                <w:szCs w:val="18"/>
              </w:rPr>
            </w:pPr>
            <w:r w:rsidRPr="00815DA4">
              <w:rPr>
                <w:rFonts w:ascii="Calibri Light" w:eastAsia="Times New Roman" w:hAnsi="Calibri Light" w:cs="Calibri Light"/>
                <w:b/>
                <w:bCs/>
                <w:color w:val="000000"/>
                <w:sz w:val="18"/>
                <w:szCs w:val="18"/>
              </w:rPr>
              <w:t>Direct</w:t>
            </w:r>
          </w:p>
        </w:tc>
        <w:tc>
          <w:tcPr>
            <w:tcW w:w="1080" w:type="dxa"/>
            <w:tcBorders>
              <w:top w:val="nil"/>
              <w:left w:val="nil"/>
              <w:bottom w:val="single" w:sz="4" w:space="0" w:color="auto"/>
              <w:right w:val="single" w:sz="4" w:space="0" w:color="auto"/>
            </w:tcBorders>
            <w:shd w:val="clear" w:color="000000" w:fill="FFFFFF"/>
            <w:noWrap/>
            <w:vAlign w:val="bottom"/>
            <w:hideMark/>
          </w:tcPr>
          <w:p w14:paraId="4314725E" w14:textId="77777777" w:rsidR="00815DA4" w:rsidRPr="00815DA4" w:rsidRDefault="00815DA4" w:rsidP="00815DA4">
            <w:pPr>
              <w:spacing w:after="0" w:line="240" w:lineRule="auto"/>
              <w:jc w:val="center"/>
              <w:rPr>
                <w:rFonts w:ascii="Calibri Light" w:eastAsia="Times New Roman" w:hAnsi="Calibri Light" w:cs="Calibri Light"/>
                <w:b/>
                <w:bCs/>
                <w:color w:val="000000"/>
                <w:sz w:val="18"/>
                <w:szCs w:val="18"/>
              </w:rPr>
            </w:pPr>
            <w:r w:rsidRPr="00815DA4">
              <w:rPr>
                <w:rFonts w:ascii="Calibri Light" w:eastAsia="Times New Roman" w:hAnsi="Calibri Light" w:cs="Calibri Light"/>
                <w:b/>
                <w:bCs/>
                <w:color w:val="000000"/>
                <w:sz w:val="18"/>
                <w:szCs w:val="18"/>
              </w:rPr>
              <w:t>Embodied</w:t>
            </w:r>
          </w:p>
        </w:tc>
        <w:tc>
          <w:tcPr>
            <w:tcW w:w="990" w:type="dxa"/>
            <w:tcBorders>
              <w:top w:val="nil"/>
              <w:left w:val="nil"/>
              <w:bottom w:val="single" w:sz="4" w:space="0" w:color="auto"/>
              <w:right w:val="single" w:sz="4" w:space="0" w:color="auto"/>
            </w:tcBorders>
            <w:shd w:val="clear" w:color="000000" w:fill="FFFFFF"/>
            <w:noWrap/>
            <w:vAlign w:val="bottom"/>
            <w:hideMark/>
          </w:tcPr>
          <w:p w14:paraId="027450C6" w14:textId="77777777" w:rsidR="00815DA4" w:rsidRPr="00815DA4" w:rsidRDefault="00815DA4" w:rsidP="00815DA4">
            <w:pPr>
              <w:spacing w:after="0" w:line="240" w:lineRule="auto"/>
              <w:jc w:val="center"/>
              <w:rPr>
                <w:rFonts w:ascii="Calibri Light" w:eastAsia="Times New Roman" w:hAnsi="Calibri Light" w:cs="Calibri Light"/>
                <w:b/>
                <w:bCs/>
                <w:color w:val="000000"/>
                <w:sz w:val="18"/>
                <w:szCs w:val="18"/>
              </w:rPr>
            </w:pPr>
            <w:r w:rsidRPr="00815DA4">
              <w:rPr>
                <w:rFonts w:ascii="Calibri Light" w:eastAsia="Times New Roman" w:hAnsi="Calibri Light" w:cs="Calibri Light"/>
                <w:b/>
                <w:bCs/>
                <w:color w:val="000000"/>
                <w:sz w:val="18"/>
                <w:szCs w:val="18"/>
              </w:rPr>
              <w:t>Direct</w:t>
            </w:r>
          </w:p>
        </w:tc>
        <w:tc>
          <w:tcPr>
            <w:tcW w:w="1080" w:type="dxa"/>
            <w:tcBorders>
              <w:top w:val="nil"/>
              <w:left w:val="nil"/>
              <w:bottom w:val="single" w:sz="4" w:space="0" w:color="auto"/>
              <w:right w:val="single" w:sz="4" w:space="0" w:color="auto"/>
            </w:tcBorders>
            <w:shd w:val="clear" w:color="000000" w:fill="FFFFFF"/>
            <w:noWrap/>
            <w:vAlign w:val="bottom"/>
            <w:hideMark/>
          </w:tcPr>
          <w:p w14:paraId="434B807D" w14:textId="77777777" w:rsidR="00815DA4" w:rsidRPr="00815DA4" w:rsidRDefault="00815DA4" w:rsidP="00815DA4">
            <w:pPr>
              <w:spacing w:after="0" w:line="240" w:lineRule="auto"/>
              <w:jc w:val="center"/>
              <w:rPr>
                <w:rFonts w:ascii="Calibri Light" w:eastAsia="Times New Roman" w:hAnsi="Calibri Light" w:cs="Calibri Light"/>
                <w:b/>
                <w:bCs/>
                <w:color w:val="000000"/>
                <w:sz w:val="18"/>
                <w:szCs w:val="18"/>
              </w:rPr>
            </w:pPr>
            <w:r w:rsidRPr="00815DA4">
              <w:rPr>
                <w:rFonts w:ascii="Calibri Light" w:eastAsia="Times New Roman" w:hAnsi="Calibri Light" w:cs="Calibri Light"/>
                <w:b/>
                <w:bCs/>
                <w:color w:val="000000"/>
                <w:sz w:val="18"/>
                <w:szCs w:val="18"/>
              </w:rPr>
              <w:t>Embodied</w:t>
            </w:r>
          </w:p>
        </w:tc>
        <w:tc>
          <w:tcPr>
            <w:tcW w:w="981" w:type="dxa"/>
            <w:tcBorders>
              <w:top w:val="nil"/>
              <w:left w:val="nil"/>
              <w:bottom w:val="single" w:sz="4" w:space="0" w:color="auto"/>
              <w:right w:val="single" w:sz="4" w:space="0" w:color="auto"/>
            </w:tcBorders>
            <w:shd w:val="clear" w:color="000000" w:fill="FFFFFF"/>
            <w:noWrap/>
            <w:vAlign w:val="bottom"/>
            <w:hideMark/>
          </w:tcPr>
          <w:p w14:paraId="428D1CF8" w14:textId="77777777" w:rsidR="00815DA4" w:rsidRPr="00815DA4" w:rsidRDefault="00815DA4" w:rsidP="00815DA4">
            <w:pPr>
              <w:spacing w:after="0" w:line="240" w:lineRule="auto"/>
              <w:jc w:val="center"/>
              <w:rPr>
                <w:rFonts w:ascii="Calibri Light" w:eastAsia="Times New Roman" w:hAnsi="Calibri Light" w:cs="Calibri Light"/>
                <w:b/>
                <w:bCs/>
                <w:color w:val="000000"/>
                <w:sz w:val="18"/>
                <w:szCs w:val="18"/>
              </w:rPr>
            </w:pPr>
            <w:r w:rsidRPr="00815DA4">
              <w:rPr>
                <w:rFonts w:ascii="Calibri Light" w:eastAsia="Times New Roman" w:hAnsi="Calibri Light" w:cs="Calibri Light"/>
                <w:b/>
                <w:bCs/>
                <w:color w:val="000000"/>
                <w:sz w:val="18"/>
                <w:szCs w:val="18"/>
              </w:rPr>
              <w:t>Direct</w:t>
            </w:r>
          </w:p>
        </w:tc>
        <w:tc>
          <w:tcPr>
            <w:tcW w:w="1277" w:type="dxa"/>
            <w:tcBorders>
              <w:top w:val="nil"/>
              <w:left w:val="nil"/>
              <w:bottom w:val="single" w:sz="4" w:space="0" w:color="auto"/>
              <w:right w:val="single" w:sz="4" w:space="0" w:color="auto"/>
            </w:tcBorders>
            <w:shd w:val="clear" w:color="000000" w:fill="FFFFFF"/>
            <w:noWrap/>
            <w:vAlign w:val="bottom"/>
            <w:hideMark/>
          </w:tcPr>
          <w:p w14:paraId="3A9D339B" w14:textId="77777777" w:rsidR="00815DA4" w:rsidRPr="00815DA4" w:rsidRDefault="00815DA4" w:rsidP="00815DA4">
            <w:pPr>
              <w:spacing w:after="0" w:line="240" w:lineRule="auto"/>
              <w:jc w:val="center"/>
              <w:rPr>
                <w:rFonts w:ascii="Calibri Light" w:eastAsia="Times New Roman" w:hAnsi="Calibri Light" w:cs="Calibri Light"/>
                <w:b/>
                <w:bCs/>
                <w:color w:val="000000"/>
                <w:sz w:val="18"/>
                <w:szCs w:val="18"/>
              </w:rPr>
            </w:pPr>
            <w:r w:rsidRPr="00815DA4">
              <w:rPr>
                <w:rFonts w:ascii="Calibri Light" w:eastAsia="Times New Roman" w:hAnsi="Calibri Light" w:cs="Calibri Light"/>
                <w:b/>
                <w:bCs/>
                <w:color w:val="000000"/>
                <w:sz w:val="18"/>
                <w:szCs w:val="18"/>
              </w:rPr>
              <w:t>Embodied</w:t>
            </w:r>
          </w:p>
        </w:tc>
      </w:tr>
      <w:tr w:rsidR="002137D2" w:rsidRPr="00815DA4" w14:paraId="7601ABC4" w14:textId="77777777" w:rsidTr="00815DA4">
        <w:trPr>
          <w:trHeight w:val="260"/>
        </w:trPr>
        <w:tc>
          <w:tcPr>
            <w:tcW w:w="2541" w:type="dxa"/>
            <w:vMerge w:val="restart"/>
            <w:tcBorders>
              <w:top w:val="nil"/>
              <w:left w:val="single" w:sz="4" w:space="0" w:color="auto"/>
              <w:bottom w:val="nil"/>
              <w:right w:val="single" w:sz="4" w:space="0" w:color="auto"/>
            </w:tcBorders>
            <w:shd w:val="clear" w:color="000000" w:fill="FFFFFF"/>
            <w:noWrap/>
            <w:vAlign w:val="center"/>
            <w:hideMark/>
          </w:tcPr>
          <w:p w14:paraId="716DE72A" w14:textId="77777777" w:rsidR="002137D2" w:rsidRPr="00815DA4" w:rsidRDefault="002137D2" w:rsidP="002137D2">
            <w:pPr>
              <w:spacing w:after="0" w:line="240" w:lineRule="auto"/>
              <w:rPr>
                <w:rFonts w:ascii="Calibri Light" w:eastAsia="Times New Roman" w:hAnsi="Calibri Light" w:cs="Calibri Light"/>
                <w:b/>
                <w:bCs/>
                <w:color w:val="000000"/>
                <w:sz w:val="18"/>
                <w:szCs w:val="18"/>
              </w:rPr>
            </w:pPr>
            <w:r w:rsidRPr="00815DA4">
              <w:rPr>
                <w:rFonts w:ascii="Calibri Light" w:eastAsia="Times New Roman" w:hAnsi="Calibri Light" w:cs="Calibri Light"/>
                <w:b/>
                <w:bCs/>
                <w:color w:val="000000"/>
                <w:sz w:val="18"/>
                <w:szCs w:val="18"/>
              </w:rPr>
              <w:t>Africa</w:t>
            </w:r>
          </w:p>
        </w:tc>
        <w:tc>
          <w:tcPr>
            <w:tcW w:w="800" w:type="dxa"/>
            <w:tcBorders>
              <w:top w:val="nil"/>
              <w:left w:val="nil"/>
              <w:bottom w:val="nil"/>
              <w:right w:val="single" w:sz="4" w:space="0" w:color="auto"/>
            </w:tcBorders>
            <w:shd w:val="clear" w:color="000000" w:fill="FFFFFF"/>
            <w:noWrap/>
            <w:vAlign w:val="bottom"/>
            <w:hideMark/>
          </w:tcPr>
          <w:p w14:paraId="204A3D35" w14:textId="7492068D"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0.38 </w:t>
            </w:r>
          </w:p>
        </w:tc>
        <w:tc>
          <w:tcPr>
            <w:tcW w:w="1260" w:type="dxa"/>
            <w:tcBorders>
              <w:top w:val="nil"/>
              <w:left w:val="nil"/>
              <w:bottom w:val="nil"/>
              <w:right w:val="single" w:sz="4" w:space="0" w:color="auto"/>
            </w:tcBorders>
            <w:shd w:val="clear" w:color="000000" w:fill="FFFFFF"/>
            <w:noWrap/>
            <w:vAlign w:val="bottom"/>
            <w:hideMark/>
          </w:tcPr>
          <w:p w14:paraId="5B1AD2F9" w14:textId="55DCE196"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0.60 </w:t>
            </w:r>
          </w:p>
        </w:tc>
        <w:tc>
          <w:tcPr>
            <w:tcW w:w="900" w:type="dxa"/>
            <w:tcBorders>
              <w:top w:val="nil"/>
              <w:left w:val="nil"/>
              <w:bottom w:val="nil"/>
              <w:right w:val="single" w:sz="4" w:space="0" w:color="auto"/>
            </w:tcBorders>
            <w:shd w:val="clear" w:color="000000" w:fill="FFFFFF"/>
            <w:noWrap/>
            <w:vAlign w:val="bottom"/>
            <w:hideMark/>
          </w:tcPr>
          <w:p w14:paraId="2F1C878E" w14:textId="1201CF45"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0.42 </w:t>
            </w:r>
          </w:p>
        </w:tc>
        <w:tc>
          <w:tcPr>
            <w:tcW w:w="1080" w:type="dxa"/>
            <w:tcBorders>
              <w:top w:val="nil"/>
              <w:left w:val="nil"/>
              <w:bottom w:val="nil"/>
              <w:right w:val="single" w:sz="4" w:space="0" w:color="auto"/>
            </w:tcBorders>
            <w:shd w:val="clear" w:color="000000" w:fill="FFFFFF"/>
            <w:noWrap/>
            <w:vAlign w:val="bottom"/>
            <w:hideMark/>
          </w:tcPr>
          <w:p w14:paraId="7489180B" w14:textId="46FBBD86"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0.63 </w:t>
            </w:r>
          </w:p>
        </w:tc>
        <w:tc>
          <w:tcPr>
            <w:tcW w:w="990" w:type="dxa"/>
            <w:tcBorders>
              <w:top w:val="nil"/>
              <w:left w:val="nil"/>
              <w:bottom w:val="nil"/>
              <w:right w:val="single" w:sz="4" w:space="0" w:color="auto"/>
            </w:tcBorders>
            <w:shd w:val="clear" w:color="000000" w:fill="FFFFFF"/>
            <w:noWrap/>
            <w:vAlign w:val="bottom"/>
            <w:hideMark/>
          </w:tcPr>
          <w:p w14:paraId="4A6C4672" w14:textId="721A40CE"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0.43 </w:t>
            </w:r>
          </w:p>
        </w:tc>
        <w:tc>
          <w:tcPr>
            <w:tcW w:w="1080" w:type="dxa"/>
            <w:tcBorders>
              <w:top w:val="nil"/>
              <w:left w:val="nil"/>
              <w:bottom w:val="nil"/>
              <w:right w:val="single" w:sz="4" w:space="0" w:color="auto"/>
            </w:tcBorders>
            <w:shd w:val="clear" w:color="000000" w:fill="FFFFFF"/>
            <w:noWrap/>
            <w:vAlign w:val="bottom"/>
            <w:hideMark/>
          </w:tcPr>
          <w:p w14:paraId="36D76559" w14:textId="33EF0013"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0.65 </w:t>
            </w:r>
          </w:p>
        </w:tc>
        <w:tc>
          <w:tcPr>
            <w:tcW w:w="981" w:type="dxa"/>
            <w:tcBorders>
              <w:top w:val="nil"/>
              <w:left w:val="nil"/>
              <w:bottom w:val="nil"/>
              <w:right w:val="single" w:sz="4" w:space="0" w:color="auto"/>
            </w:tcBorders>
            <w:shd w:val="clear" w:color="000000" w:fill="FFFFFF"/>
            <w:noWrap/>
            <w:vAlign w:val="bottom"/>
            <w:hideMark/>
          </w:tcPr>
          <w:p w14:paraId="0057CA52" w14:textId="7C970436"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0.41 </w:t>
            </w:r>
          </w:p>
        </w:tc>
        <w:tc>
          <w:tcPr>
            <w:tcW w:w="1277" w:type="dxa"/>
            <w:tcBorders>
              <w:top w:val="nil"/>
              <w:left w:val="nil"/>
              <w:bottom w:val="nil"/>
              <w:right w:val="single" w:sz="4" w:space="0" w:color="auto"/>
            </w:tcBorders>
            <w:shd w:val="clear" w:color="000000" w:fill="FFFFFF"/>
            <w:noWrap/>
            <w:vAlign w:val="bottom"/>
            <w:hideMark/>
          </w:tcPr>
          <w:p w14:paraId="42F96E1A" w14:textId="5F1950CB"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0.65 </w:t>
            </w:r>
          </w:p>
        </w:tc>
      </w:tr>
      <w:tr w:rsidR="002137D2" w:rsidRPr="00815DA4" w14:paraId="3F800A13" w14:textId="77777777" w:rsidTr="00815DA4">
        <w:trPr>
          <w:trHeight w:val="260"/>
        </w:trPr>
        <w:tc>
          <w:tcPr>
            <w:tcW w:w="2541" w:type="dxa"/>
            <w:vMerge/>
            <w:tcBorders>
              <w:top w:val="nil"/>
              <w:left w:val="single" w:sz="4" w:space="0" w:color="auto"/>
              <w:bottom w:val="nil"/>
              <w:right w:val="single" w:sz="4" w:space="0" w:color="auto"/>
            </w:tcBorders>
            <w:vAlign w:val="center"/>
            <w:hideMark/>
          </w:tcPr>
          <w:p w14:paraId="39278201" w14:textId="77777777" w:rsidR="002137D2" w:rsidRPr="00815DA4" w:rsidRDefault="002137D2" w:rsidP="002137D2">
            <w:pPr>
              <w:spacing w:after="0" w:line="240" w:lineRule="auto"/>
              <w:rPr>
                <w:rFonts w:ascii="Calibri Light" w:eastAsia="Times New Roman" w:hAnsi="Calibri Light" w:cs="Calibri Light"/>
                <w:b/>
                <w:bCs/>
                <w:color w:val="000000"/>
                <w:sz w:val="18"/>
                <w:szCs w:val="18"/>
              </w:rPr>
            </w:pPr>
          </w:p>
        </w:tc>
        <w:tc>
          <w:tcPr>
            <w:tcW w:w="800" w:type="dxa"/>
            <w:tcBorders>
              <w:top w:val="nil"/>
              <w:left w:val="nil"/>
              <w:bottom w:val="nil"/>
              <w:right w:val="single" w:sz="4" w:space="0" w:color="auto"/>
            </w:tcBorders>
            <w:shd w:val="clear" w:color="000000" w:fill="FFFFFF"/>
            <w:noWrap/>
            <w:vAlign w:val="bottom"/>
            <w:hideMark/>
          </w:tcPr>
          <w:p w14:paraId="3BB32752" w14:textId="7492A46C"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(0.29)</w:t>
            </w:r>
          </w:p>
        </w:tc>
        <w:tc>
          <w:tcPr>
            <w:tcW w:w="1260" w:type="dxa"/>
            <w:tcBorders>
              <w:top w:val="nil"/>
              <w:left w:val="nil"/>
              <w:bottom w:val="nil"/>
              <w:right w:val="single" w:sz="4" w:space="0" w:color="auto"/>
            </w:tcBorders>
            <w:shd w:val="clear" w:color="000000" w:fill="FFFFFF"/>
            <w:noWrap/>
            <w:vAlign w:val="bottom"/>
            <w:hideMark/>
          </w:tcPr>
          <w:p w14:paraId="62F84F27" w14:textId="70C5C766"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(0.25)</w:t>
            </w:r>
          </w:p>
        </w:tc>
        <w:tc>
          <w:tcPr>
            <w:tcW w:w="900" w:type="dxa"/>
            <w:tcBorders>
              <w:top w:val="nil"/>
              <w:left w:val="nil"/>
              <w:bottom w:val="nil"/>
              <w:right w:val="single" w:sz="4" w:space="0" w:color="auto"/>
            </w:tcBorders>
            <w:shd w:val="clear" w:color="000000" w:fill="FFFFFF"/>
            <w:noWrap/>
            <w:vAlign w:val="bottom"/>
            <w:hideMark/>
          </w:tcPr>
          <w:p w14:paraId="6B016741" w14:textId="2DC6AC8D"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(0.29)</w:t>
            </w:r>
          </w:p>
        </w:tc>
        <w:tc>
          <w:tcPr>
            <w:tcW w:w="1080" w:type="dxa"/>
            <w:tcBorders>
              <w:top w:val="nil"/>
              <w:left w:val="nil"/>
              <w:bottom w:val="nil"/>
              <w:right w:val="single" w:sz="4" w:space="0" w:color="auto"/>
            </w:tcBorders>
            <w:shd w:val="clear" w:color="000000" w:fill="FFFFFF"/>
            <w:noWrap/>
            <w:vAlign w:val="bottom"/>
            <w:hideMark/>
          </w:tcPr>
          <w:p w14:paraId="2FE30B85" w14:textId="733AF723"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(0.25)</w:t>
            </w:r>
          </w:p>
        </w:tc>
        <w:tc>
          <w:tcPr>
            <w:tcW w:w="990" w:type="dxa"/>
            <w:tcBorders>
              <w:top w:val="nil"/>
              <w:left w:val="nil"/>
              <w:bottom w:val="nil"/>
              <w:right w:val="single" w:sz="4" w:space="0" w:color="auto"/>
            </w:tcBorders>
            <w:shd w:val="clear" w:color="000000" w:fill="FFFFFF"/>
            <w:noWrap/>
            <w:vAlign w:val="bottom"/>
            <w:hideMark/>
          </w:tcPr>
          <w:p w14:paraId="343DBE2A" w14:textId="6FD6C7AF"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(0.29)</w:t>
            </w:r>
          </w:p>
        </w:tc>
        <w:tc>
          <w:tcPr>
            <w:tcW w:w="1080" w:type="dxa"/>
            <w:tcBorders>
              <w:top w:val="nil"/>
              <w:left w:val="nil"/>
              <w:bottom w:val="nil"/>
              <w:right w:val="single" w:sz="4" w:space="0" w:color="auto"/>
            </w:tcBorders>
            <w:shd w:val="clear" w:color="000000" w:fill="FFFFFF"/>
            <w:noWrap/>
            <w:vAlign w:val="bottom"/>
            <w:hideMark/>
          </w:tcPr>
          <w:p w14:paraId="3FB52AB9" w14:textId="251CF014"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(0.23)</w:t>
            </w:r>
          </w:p>
        </w:tc>
        <w:tc>
          <w:tcPr>
            <w:tcW w:w="981" w:type="dxa"/>
            <w:tcBorders>
              <w:top w:val="nil"/>
              <w:left w:val="nil"/>
              <w:bottom w:val="nil"/>
              <w:right w:val="single" w:sz="4" w:space="0" w:color="auto"/>
            </w:tcBorders>
            <w:shd w:val="clear" w:color="000000" w:fill="FFFFFF"/>
            <w:noWrap/>
            <w:vAlign w:val="bottom"/>
            <w:hideMark/>
          </w:tcPr>
          <w:p w14:paraId="2434D067" w14:textId="57B267DB"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(0.26)</w:t>
            </w:r>
          </w:p>
        </w:tc>
        <w:tc>
          <w:tcPr>
            <w:tcW w:w="1277" w:type="dxa"/>
            <w:tcBorders>
              <w:top w:val="nil"/>
              <w:left w:val="nil"/>
              <w:bottom w:val="nil"/>
              <w:right w:val="single" w:sz="4" w:space="0" w:color="auto"/>
            </w:tcBorders>
            <w:shd w:val="clear" w:color="000000" w:fill="FFFFFF"/>
            <w:noWrap/>
            <w:vAlign w:val="bottom"/>
            <w:hideMark/>
          </w:tcPr>
          <w:p w14:paraId="192BC70D" w14:textId="2C63F688"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(0.21)</w:t>
            </w:r>
          </w:p>
        </w:tc>
      </w:tr>
      <w:tr w:rsidR="002137D2" w:rsidRPr="00815DA4" w14:paraId="33BC74DA" w14:textId="77777777" w:rsidTr="00815DA4">
        <w:trPr>
          <w:trHeight w:val="260"/>
        </w:trPr>
        <w:tc>
          <w:tcPr>
            <w:tcW w:w="2541" w:type="dxa"/>
            <w:vMerge w:val="restart"/>
            <w:tcBorders>
              <w:top w:val="nil"/>
              <w:left w:val="single" w:sz="4" w:space="0" w:color="auto"/>
              <w:bottom w:val="nil"/>
              <w:right w:val="single" w:sz="4" w:space="0" w:color="auto"/>
            </w:tcBorders>
            <w:shd w:val="clear" w:color="000000" w:fill="FFFFFF"/>
            <w:noWrap/>
            <w:vAlign w:val="center"/>
            <w:hideMark/>
          </w:tcPr>
          <w:p w14:paraId="2E0F5844" w14:textId="77777777" w:rsidR="002137D2" w:rsidRPr="00815DA4" w:rsidRDefault="002137D2" w:rsidP="002137D2">
            <w:pPr>
              <w:spacing w:after="0" w:line="240" w:lineRule="auto"/>
              <w:rPr>
                <w:rFonts w:ascii="Calibri Light" w:eastAsia="Times New Roman" w:hAnsi="Calibri Light" w:cs="Calibri Light"/>
                <w:b/>
                <w:bCs/>
                <w:color w:val="000000"/>
                <w:sz w:val="18"/>
                <w:szCs w:val="18"/>
              </w:rPr>
            </w:pPr>
            <w:r w:rsidRPr="00815DA4">
              <w:rPr>
                <w:rFonts w:ascii="Calibri Light" w:eastAsia="Times New Roman" w:hAnsi="Calibri Light" w:cs="Calibri Light"/>
                <w:b/>
                <w:bCs/>
                <w:color w:val="000000"/>
                <w:sz w:val="18"/>
                <w:szCs w:val="18"/>
              </w:rPr>
              <w:t>China</w:t>
            </w:r>
          </w:p>
        </w:tc>
        <w:tc>
          <w:tcPr>
            <w:tcW w:w="800" w:type="dxa"/>
            <w:tcBorders>
              <w:top w:val="nil"/>
              <w:left w:val="nil"/>
              <w:bottom w:val="nil"/>
              <w:right w:val="single" w:sz="4" w:space="0" w:color="auto"/>
            </w:tcBorders>
            <w:shd w:val="clear" w:color="000000" w:fill="FFFFFF"/>
            <w:noWrap/>
            <w:vAlign w:val="bottom"/>
            <w:hideMark/>
          </w:tcPr>
          <w:p w14:paraId="1DB9E89F" w14:textId="11368EEA"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0.08 </w:t>
            </w:r>
          </w:p>
        </w:tc>
        <w:tc>
          <w:tcPr>
            <w:tcW w:w="1260" w:type="dxa"/>
            <w:tcBorders>
              <w:top w:val="nil"/>
              <w:left w:val="nil"/>
              <w:bottom w:val="nil"/>
              <w:right w:val="single" w:sz="4" w:space="0" w:color="auto"/>
            </w:tcBorders>
            <w:shd w:val="clear" w:color="000000" w:fill="FFFFFF"/>
            <w:noWrap/>
            <w:vAlign w:val="bottom"/>
            <w:hideMark/>
          </w:tcPr>
          <w:p w14:paraId="001DCCEB" w14:textId="4F095B0C"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0.22 </w:t>
            </w:r>
          </w:p>
        </w:tc>
        <w:tc>
          <w:tcPr>
            <w:tcW w:w="900" w:type="dxa"/>
            <w:tcBorders>
              <w:top w:val="nil"/>
              <w:left w:val="nil"/>
              <w:bottom w:val="nil"/>
              <w:right w:val="single" w:sz="4" w:space="0" w:color="auto"/>
            </w:tcBorders>
            <w:shd w:val="clear" w:color="000000" w:fill="FFFFFF"/>
            <w:noWrap/>
            <w:vAlign w:val="bottom"/>
            <w:hideMark/>
          </w:tcPr>
          <w:p w14:paraId="124B0CD8" w14:textId="771F3C5F"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0.12 </w:t>
            </w:r>
          </w:p>
        </w:tc>
        <w:tc>
          <w:tcPr>
            <w:tcW w:w="1080" w:type="dxa"/>
            <w:tcBorders>
              <w:top w:val="nil"/>
              <w:left w:val="nil"/>
              <w:bottom w:val="nil"/>
              <w:right w:val="single" w:sz="4" w:space="0" w:color="auto"/>
            </w:tcBorders>
            <w:shd w:val="clear" w:color="000000" w:fill="FFFFFF"/>
            <w:noWrap/>
            <w:vAlign w:val="bottom"/>
            <w:hideMark/>
          </w:tcPr>
          <w:p w14:paraId="64387A28" w14:textId="55AB158F"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0.29 </w:t>
            </w:r>
          </w:p>
        </w:tc>
        <w:tc>
          <w:tcPr>
            <w:tcW w:w="990" w:type="dxa"/>
            <w:tcBorders>
              <w:top w:val="nil"/>
              <w:left w:val="nil"/>
              <w:bottom w:val="nil"/>
              <w:right w:val="single" w:sz="4" w:space="0" w:color="auto"/>
            </w:tcBorders>
            <w:shd w:val="clear" w:color="000000" w:fill="FFFFFF"/>
            <w:noWrap/>
            <w:vAlign w:val="bottom"/>
            <w:hideMark/>
          </w:tcPr>
          <w:p w14:paraId="65B347DF" w14:textId="4CC91EDA"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0.23 </w:t>
            </w:r>
          </w:p>
        </w:tc>
        <w:tc>
          <w:tcPr>
            <w:tcW w:w="1080" w:type="dxa"/>
            <w:tcBorders>
              <w:top w:val="nil"/>
              <w:left w:val="nil"/>
              <w:bottom w:val="nil"/>
              <w:right w:val="single" w:sz="4" w:space="0" w:color="auto"/>
            </w:tcBorders>
            <w:shd w:val="clear" w:color="000000" w:fill="FFFFFF"/>
            <w:noWrap/>
            <w:vAlign w:val="bottom"/>
            <w:hideMark/>
          </w:tcPr>
          <w:p w14:paraId="29D92548" w14:textId="64C59A08"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0.40 </w:t>
            </w:r>
          </w:p>
        </w:tc>
        <w:tc>
          <w:tcPr>
            <w:tcW w:w="981" w:type="dxa"/>
            <w:tcBorders>
              <w:top w:val="nil"/>
              <w:left w:val="nil"/>
              <w:bottom w:val="nil"/>
              <w:right w:val="single" w:sz="4" w:space="0" w:color="auto"/>
            </w:tcBorders>
            <w:shd w:val="clear" w:color="000000" w:fill="FFFFFF"/>
            <w:noWrap/>
            <w:vAlign w:val="bottom"/>
            <w:hideMark/>
          </w:tcPr>
          <w:p w14:paraId="0A780AE2" w14:textId="7158E3B7"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0.25 </w:t>
            </w:r>
          </w:p>
        </w:tc>
        <w:tc>
          <w:tcPr>
            <w:tcW w:w="1277" w:type="dxa"/>
            <w:tcBorders>
              <w:top w:val="nil"/>
              <w:left w:val="nil"/>
              <w:bottom w:val="nil"/>
              <w:right w:val="single" w:sz="4" w:space="0" w:color="auto"/>
            </w:tcBorders>
            <w:shd w:val="clear" w:color="000000" w:fill="FFFFFF"/>
            <w:noWrap/>
            <w:vAlign w:val="bottom"/>
            <w:hideMark/>
          </w:tcPr>
          <w:p w14:paraId="3A463DC5" w14:textId="7076CDFA"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0.41 </w:t>
            </w:r>
          </w:p>
        </w:tc>
      </w:tr>
      <w:tr w:rsidR="002137D2" w:rsidRPr="00815DA4" w14:paraId="6F790E42" w14:textId="77777777" w:rsidTr="00815DA4">
        <w:trPr>
          <w:trHeight w:val="260"/>
        </w:trPr>
        <w:tc>
          <w:tcPr>
            <w:tcW w:w="2541" w:type="dxa"/>
            <w:vMerge/>
            <w:tcBorders>
              <w:top w:val="nil"/>
              <w:left w:val="single" w:sz="4" w:space="0" w:color="auto"/>
              <w:bottom w:val="nil"/>
              <w:right w:val="single" w:sz="4" w:space="0" w:color="auto"/>
            </w:tcBorders>
            <w:vAlign w:val="center"/>
            <w:hideMark/>
          </w:tcPr>
          <w:p w14:paraId="5FDB9135" w14:textId="77777777" w:rsidR="002137D2" w:rsidRPr="00815DA4" w:rsidRDefault="002137D2" w:rsidP="002137D2">
            <w:pPr>
              <w:spacing w:after="0" w:line="240" w:lineRule="auto"/>
              <w:rPr>
                <w:rFonts w:ascii="Calibri Light" w:eastAsia="Times New Roman" w:hAnsi="Calibri Light" w:cs="Calibri Light"/>
                <w:b/>
                <w:bCs/>
                <w:color w:val="000000"/>
                <w:sz w:val="18"/>
                <w:szCs w:val="18"/>
              </w:rPr>
            </w:pPr>
          </w:p>
        </w:tc>
        <w:tc>
          <w:tcPr>
            <w:tcW w:w="800" w:type="dxa"/>
            <w:tcBorders>
              <w:top w:val="nil"/>
              <w:left w:val="nil"/>
              <w:bottom w:val="nil"/>
              <w:right w:val="single" w:sz="4" w:space="0" w:color="auto"/>
            </w:tcBorders>
            <w:shd w:val="clear" w:color="000000" w:fill="FFFFFF"/>
            <w:noWrap/>
            <w:vAlign w:val="bottom"/>
            <w:hideMark/>
          </w:tcPr>
          <w:p w14:paraId="055E7912" w14:textId="6D1D8569"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w:t>
            </w:r>
          </w:p>
        </w:tc>
        <w:tc>
          <w:tcPr>
            <w:tcW w:w="1260" w:type="dxa"/>
            <w:tcBorders>
              <w:top w:val="nil"/>
              <w:left w:val="nil"/>
              <w:bottom w:val="nil"/>
              <w:right w:val="single" w:sz="4" w:space="0" w:color="auto"/>
            </w:tcBorders>
            <w:shd w:val="clear" w:color="000000" w:fill="FFFFFF"/>
            <w:noWrap/>
            <w:vAlign w:val="bottom"/>
            <w:hideMark/>
          </w:tcPr>
          <w:p w14:paraId="145760B6" w14:textId="68DF9786"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w:t>
            </w:r>
          </w:p>
        </w:tc>
        <w:tc>
          <w:tcPr>
            <w:tcW w:w="900" w:type="dxa"/>
            <w:tcBorders>
              <w:top w:val="nil"/>
              <w:left w:val="nil"/>
              <w:bottom w:val="nil"/>
              <w:right w:val="single" w:sz="4" w:space="0" w:color="auto"/>
            </w:tcBorders>
            <w:shd w:val="clear" w:color="000000" w:fill="FFFFFF"/>
            <w:noWrap/>
            <w:vAlign w:val="bottom"/>
            <w:hideMark/>
          </w:tcPr>
          <w:p w14:paraId="7725F04B" w14:textId="71D4A70A"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w:t>
            </w:r>
          </w:p>
        </w:tc>
        <w:tc>
          <w:tcPr>
            <w:tcW w:w="1080" w:type="dxa"/>
            <w:tcBorders>
              <w:top w:val="nil"/>
              <w:left w:val="nil"/>
              <w:bottom w:val="nil"/>
              <w:right w:val="single" w:sz="4" w:space="0" w:color="auto"/>
            </w:tcBorders>
            <w:shd w:val="clear" w:color="000000" w:fill="FFFFFF"/>
            <w:noWrap/>
            <w:vAlign w:val="bottom"/>
            <w:hideMark/>
          </w:tcPr>
          <w:p w14:paraId="058066B5" w14:textId="0BDE2454"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w:t>
            </w:r>
          </w:p>
        </w:tc>
        <w:tc>
          <w:tcPr>
            <w:tcW w:w="990" w:type="dxa"/>
            <w:tcBorders>
              <w:top w:val="nil"/>
              <w:left w:val="nil"/>
              <w:bottom w:val="nil"/>
              <w:right w:val="single" w:sz="4" w:space="0" w:color="auto"/>
            </w:tcBorders>
            <w:shd w:val="clear" w:color="000000" w:fill="FFFFFF"/>
            <w:noWrap/>
            <w:vAlign w:val="bottom"/>
            <w:hideMark/>
          </w:tcPr>
          <w:p w14:paraId="29F0F22A" w14:textId="60456151"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w:t>
            </w:r>
          </w:p>
        </w:tc>
        <w:tc>
          <w:tcPr>
            <w:tcW w:w="1080" w:type="dxa"/>
            <w:tcBorders>
              <w:top w:val="nil"/>
              <w:left w:val="nil"/>
              <w:bottom w:val="nil"/>
              <w:right w:val="single" w:sz="4" w:space="0" w:color="auto"/>
            </w:tcBorders>
            <w:shd w:val="clear" w:color="000000" w:fill="FFFFFF"/>
            <w:noWrap/>
            <w:vAlign w:val="bottom"/>
            <w:hideMark/>
          </w:tcPr>
          <w:p w14:paraId="1B8708E1" w14:textId="5A194E7B"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w:t>
            </w:r>
          </w:p>
        </w:tc>
        <w:tc>
          <w:tcPr>
            <w:tcW w:w="981" w:type="dxa"/>
            <w:tcBorders>
              <w:top w:val="nil"/>
              <w:left w:val="nil"/>
              <w:bottom w:val="nil"/>
              <w:right w:val="single" w:sz="4" w:space="0" w:color="auto"/>
            </w:tcBorders>
            <w:shd w:val="clear" w:color="000000" w:fill="FFFFFF"/>
            <w:noWrap/>
            <w:vAlign w:val="bottom"/>
            <w:hideMark/>
          </w:tcPr>
          <w:p w14:paraId="266C6E7D" w14:textId="3B964A57"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w:t>
            </w:r>
          </w:p>
        </w:tc>
        <w:tc>
          <w:tcPr>
            <w:tcW w:w="1277" w:type="dxa"/>
            <w:tcBorders>
              <w:top w:val="nil"/>
              <w:left w:val="nil"/>
              <w:bottom w:val="nil"/>
              <w:right w:val="single" w:sz="4" w:space="0" w:color="auto"/>
            </w:tcBorders>
            <w:shd w:val="clear" w:color="000000" w:fill="FFFFFF"/>
            <w:noWrap/>
            <w:vAlign w:val="bottom"/>
            <w:hideMark/>
          </w:tcPr>
          <w:p w14:paraId="28D78794" w14:textId="3D55698C"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w:t>
            </w:r>
          </w:p>
        </w:tc>
      </w:tr>
      <w:tr w:rsidR="002137D2" w:rsidRPr="00815DA4" w14:paraId="3326721B" w14:textId="77777777" w:rsidTr="00815DA4">
        <w:trPr>
          <w:trHeight w:val="260"/>
        </w:trPr>
        <w:tc>
          <w:tcPr>
            <w:tcW w:w="2541" w:type="dxa"/>
            <w:vMerge w:val="restart"/>
            <w:tcBorders>
              <w:top w:val="nil"/>
              <w:left w:val="single" w:sz="4" w:space="0" w:color="auto"/>
              <w:bottom w:val="nil"/>
              <w:right w:val="single" w:sz="4" w:space="0" w:color="auto"/>
            </w:tcBorders>
            <w:shd w:val="clear" w:color="000000" w:fill="FFFFFF"/>
            <w:noWrap/>
            <w:vAlign w:val="center"/>
            <w:hideMark/>
          </w:tcPr>
          <w:p w14:paraId="1224DD7C" w14:textId="77777777" w:rsidR="002137D2" w:rsidRPr="00815DA4" w:rsidRDefault="002137D2" w:rsidP="002137D2">
            <w:pPr>
              <w:spacing w:after="0" w:line="240" w:lineRule="auto"/>
              <w:rPr>
                <w:rFonts w:ascii="Calibri Light" w:eastAsia="Times New Roman" w:hAnsi="Calibri Light" w:cs="Calibri Light"/>
                <w:b/>
                <w:bCs/>
                <w:color w:val="000000"/>
                <w:sz w:val="18"/>
                <w:szCs w:val="18"/>
              </w:rPr>
            </w:pPr>
            <w:r w:rsidRPr="00815DA4">
              <w:rPr>
                <w:rFonts w:ascii="Calibri Light" w:eastAsia="Times New Roman" w:hAnsi="Calibri Light" w:cs="Calibri Light"/>
                <w:b/>
                <w:bCs/>
                <w:color w:val="000000"/>
                <w:sz w:val="18"/>
                <w:szCs w:val="18"/>
              </w:rPr>
              <w:t>East Asia</w:t>
            </w:r>
          </w:p>
        </w:tc>
        <w:tc>
          <w:tcPr>
            <w:tcW w:w="800" w:type="dxa"/>
            <w:tcBorders>
              <w:top w:val="nil"/>
              <w:left w:val="nil"/>
              <w:bottom w:val="nil"/>
              <w:right w:val="single" w:sz="4" w:space="0" w:color="auto"/>
            </w:tcBorders>
            <w:shd w:val="clear" w:color="000000" w:fill="FFFFFF"/>
            <w:noWrap/>
            <w:vAlign w:val="bottom"/>
            <w:hideMark/>
          </w:tcPr>
          <w:p w14:paraId="2B5199EB" w14:textId="068FDB75"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0.61 </w:t>
            </w:r>
          </w:p>
        </w:tc>
        <w:tc>
          <w:tcPr>
            <w:tcW w:w="1260" w:type="dxa"/>
            <w:tcBorders>
              <w:top w:val="nil"/>
              <w:left w:val="nil"/>
              <w:bottom w:val="nil"/>
              <w:right w:val="single" w:sz="4" w:space="0" w:color="auto"/>
            </w:tcBorders>
            <w:shd w:val="clear" w:color="000000" w:fill="FFFFFF"/>
            <w:noWrap/>
            <w:vAlign w:val="bottom"/>
            <w:hideMark/>
          </w:tcPr>
          <w:p w14:paraId="748A84DD" w14:textId="32B72F2D"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0.84 </w:t>
            </w:r>
          </w:p>
        </w:tc>
        <w:tc>
          <w:tcPr>
            <w:tcW w:w="900" w:type="dxa"/>
            <w:tcBorders>
              <w:top w:val="nil"/>
              <w:left w:val="nil"/>
              <w:bottom w:val="nil"/>
              <w:right w:val="single" w:sz="4" w:space="0" w:color="auto"/>
            </w:tcBorders>
            <w:shd w:val="clear" w:color="000000" w:fill="FFFFFF"/>
            <w:noWrap/>
            <w:vAlign w:val="bottom"/>
            <w:hideMark/>
          </w:tcPr>
          <w:p w14:paraId="011810D8" w14:textId="77F05D23"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0.67 </w:t>
            </w:r>
          </w:p>
        </w:tc>
        <w:tc>
          <w:tcPr>
            <w:tcW w:w="1080" w:type="dxa"/>
            <w:tcBorders>
              <w:top w:val="nil"/>
              <w:left w:val="nil"/>
              <w:bottom w:val="nil"/>
              <w:right w:val="single" w:sz="4" w:space="0" w:color="auto"/>
            </w:tcBorders>
            <w:shd w:val="clear" w:color="000000" w:fill="FFFFFF"/>
            <w:noWrap/>
            <w:vAlign w:val="bottom"/>
            <w:hideMark/>
          </w:tcPr>
          <w:p w14:paraId="134ADA01" w14:textId="262D9929"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0.82 </w:t>
            </w:r>
          </w:p>
        </w:tc>
        <w:tc>
          <w:tcPr>
            <w:tcW w:w="990" w:type="dxa"/>
            <w:tcBorders>
              <w:top w:val="nil"/>
              <w:left w:val="nil"/>
              <w:bottom w:val="nil"/>
              <w:right w:val="single" w:sz="4" w:space="0" w:color="auto"/>
            </w:tcBorders>
            <w:shd w:val="clear" w:color="000000" w:fill="FFFFFF"/>
            <w:noWrap/>
            <w:vAlign w:val="bottom"/>
            <w:hideMark/>
          </w:tcPr>
          <w:p w14:paraId="399A204C" w14:textId="0C7A1100"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0.68 </w:t>
            </w:r>
          </w:p>
        </w:tc>
        <w:tc>
          <w:tcPr>
            <w:tcW w:w="1080" w:type="dxa"/>
            <w:tcBorders>
              <w:top w:val="nil"/>
              <w:left w:val="nil"/>
              <w:bottom w:val="nil"/>
              <w:right w:val="single" w:sz="4" w:space="0" w:color="auto"/>
            </w:tcBorders>
            <w:shd w:val="clear" w:color="000000" w:fill="FFFFFF"/>
            <w:noWrap/>
            <w:vAlign w:val="bottom"/>
            <w:hideMark/>
          </w:tcPr>
          <w:p w14:paraId="68D5D0F8" w14:textId="6A92DB6A"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0.83 </w:t>
            </w:r>
          </w:p>
        </w:tc>
        <w:tc>
          <w:tcPr>
            <w:tcW w:w="981" w:type="dxa"/>
            <w:tcBorders>
              <w:top w:val="nil"/>
              <w:left w:val="nil"/>
              <w:bottom w:val="nil"/>
              <w:right w:val="single" w:sz="4" w:space="0" w:color="auto"/>
            </w:tcBorders>
            <w:shd w:val="clear" w:color="000000" w:fill="FFFFFF"/>
            <w:noWrap/>
            <w:vAlign w:val="bottom"/>
            <w:hideMark/>
          </w:tcPr>
          <w:p w14:paraId="6DBEBC04" w14:textId="37697BC1"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0.75 </w:t>
            </w:r>
          </w:p>
        </w:tc>
        <w:tc>
          <w:tcPr>
            <w:tcW w:w="1277" w:type="dxa"/>
            <w:tcBorders>
              <w:top w:val="nil"/>
              <w:left w:val="nil"/>
              <w:bottom w:val="nil"/>
              <w:right w:val="single" w:sz="4" w:space="0" w:color="auto"/>
            </w:tcBorders>
            <w:shd w:val="clear" w:color="000000" w:fill="FFFFFF"/>
            <w:noWrap/>
            <w:vAlign w:val="bottom"/>
            <w:hideMark/>
          </w:tcPr>
          <w:p w14:paraId="493FE44E" w14:textId="512E7DFA"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0.88 </w:t>
            </w:r>
          </w:p>
        </w:tc>
      </w:tr>
      <w:tr w:rsidR="002137D2" w:rsidRPr="00815DA4" w14:paraId="5C3D60E8" w14:textId="77777777" w:rsidTr="00815DA4">
        <w:trPr>
          <w:trHeight w:val="260"/>
        </w:trPr>
        <w:tc>
          <w:tcPr>
            <w:tcW w:w="2541" w:type="dxa"/>
            <w:vMerge/>
            <w:tcBorders>
              <w:top w:val="nil"/>
              <w:left w:val="single" w:sz="4" w:space="0" w:color="auto"/>
              <w:bottom w:val="nil"/>
              <w:right w:val="single" w:sz="4" w:space="0" w:color="auto"/>
            </w:tcBorders>
            <w:vAlign w:val="center"/>
            <w:hideMark/>
          </w:tcPr>
          <w:p w14:paraId="64F4539E" w14:textId="77777777" w:rsidR="002137D2" w:rsidRPr="00815DA4" w:rsidRDefault="002137D2" w:rsidP="002137D2">
            <w:pPr>
              <w:spacing w:after="0" w:line="240" w:lineRule="auto"/>
              <w:rPr>
                <w:rFonts w:ascii="Calibri Light" w:eastAsia="Times New Roman" w:hAnsi="Calibri Light" w:cs="Calibri Light"/>
                <w:b/>
                <w:bCs/>
                <w:color w:val="000000"/>
                <w:sz w:val="18"/>
                <w:szCs w:val="18"/>
              </w:rPr>
            </w:pPr>
          </w:p>
        </w:tc>
        <w:tc>
          <w:tcPr>
            <w:tcW w:w="800" w:type="dxa"/>
            <w:tcBorders>
              <w:top w:val="nil"/>
              <w:left w:val="nil"/>
              <w:bottom w:val="nil"/>
              <w:right w:val="single" w:sz="4" w:space="0" w:color="auto"/>
            </w:tcBorders>
            <w:shd w:val="clear" w:color="000000" w:fill="FFFFFF"/>
            <w:noWrap/>
            <w:vAlign w:val="bottom"/>
            <w:hideMark/>
          </w:tcPr>
          <w:p w14:paraId="0C38BE20" w14:textId="4ACDCF42"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(0.27)</w:t>
            </w:r>
          </w:p>
        </w:tc>
        <w:tc>
          <w:tcPr>
            <w:tcW w:w="1260" w:type="dxa"/>
            <w:tcBorders>
              <w:top w:val="nil"/>
              <w:left w:val="nil"/>
              <w:bottom w:val="nil"/>
              <w:right w:val="single" w:sz="4" w:space="0" w:color="auto"/>
            </w:tcBorders>
            <w:shd w:val="clear" w:color="000000" w:fill="FFFFFF"/>
            <w:noWrap/>
            <w:vAlign w:val="bottom"/>
            <w:hideMark/>
          </w:tcPr>
          <w:p w14:paraId="77E29069" w14:textId="736576E2"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(0.13)</w:t>
            </w:r>
          </w:p>
        </w:tc>
        <w:tc>
          <w:tcPr>
            <w:tcW w:w="900" w:type="dxa"/>
            <w:tcBorders>
              <w:top w:val="nil"/>
              <w:left w:val="nil"/>
              <w:bottom w:val="nil"/>
              <w:right w:val="single" w:sz="4" w:space="0" w:color="auto"/>
            </w:tcBorders>
            <w:shd w:val="clear" w:color="000000" w:fill="FFFFFF"/>
            <w:noWrap/>
            <w:vAlign w:val="bottom"/>
            <w:hideMark/>
          </w:tcPr>
          <w:p w14:paraId="49CB1497" w14:textId="7DA9C4C5"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(0.26)</w:t>
            </w:r>
          </w:p>
        </w:tc>
        <w:tc>
          <w:tcPr>
            <w:tcW w:w="1080" w:type="dxa"/>
            <w:tcBorders>
              <w:top w:val="nil"/>
              <w:left w:val="nil"/>
              <w:bottom w:val="nil"/>
              <w:right w:val="single" w:sz="4" w:space="0" w:color="auto"/>
            </w:tcBorders>
            <w:shd w:val="clear" w:color="000000" w:fill="FFFFFF"/>
            <w:noWrap/>
            <w:vAlign w:val="bottom"/>
            <w:hideMark/>
          </w:tcPr>
          <w:p w14:paraId="0EE1B5DB" w14:textId="021AD1C4"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(0.13)</w:t>
            </w:r>
          </w:p>
        </w:tc>
        <w:tc>
          <w:tcPr>
            <w:tcW w:w="990" w:type="dxa"/>
            <w:tcBorders>
              <w:top w:val="nil"/>
              <w:left w:val="nil"/>
              <w:bottom w:val="nil"/>
              <w:right w:val="single" w:sz="4" w:space="0" w:color="auto"/>
            </w:tcBorders>
            <w:shd w:val="clear" w:color="000000" w:fill="FFFFFF"/>
            <w:noWrap/>
            <w:vAlign w:val="bottom"/>
            <w:hideMark/>
          </w:tcPr>
          <w:p w14:paraId="040A539A" w14:textId="1CC0ED81"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(0.23)</w:t>
            </w:r>
          </w:p>
        </w:tc>
        <w:tc>
          <w:tcPr>
            <w:tcW w:w="1080" w:type="dxa"/>
            <w:tcBorders>
              <w:top w:val="nil"/>
              <w:left w:val="nil"/>
              <w:bottom w:val="nil"/>
              <w:right w:val="single" w:sz="4" w:space="0" w:color="auto"/>
            </w:tcBorders>
            <w:shd w:val="clear" w:color="000000" w:fill="FFFFFF"/>
            <w:noWrap/>
            <w:vAlign w:val="bottom"/>
            <w:hideMark/>
          </w:tcPr>
          <w:p w14:paraId="1B35E189" w14:textId="103F8BAA"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(0.11)</w:t>
            </w:r>
          </w:p>
        </w:tc>
        <w:tc>
          <w:tcPr>
            <w:tcW w:w="981" w:type="dxa"/>
            <w:tcBorders>
              <w:top w:val="nil"/>
              <w:left w:val="nil"/>
              <w:bottom w:val="nil"/>
              <w:right w:val="single" w:sz="4" w:space="0" w:color="auto"/>
            </w:tcBorders>
            <w:shd w:val="clear" w:color="000000" w:fill="FFFFFF"/>
            <w:noWrap/>
            <w:vAlign w:val="bottom"/>
            <w:hideMark/>
          </w:tcPr>
          <w:p w14:paraId="7D1A0D26" w14:textId="02BAF042"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(0.20)</w:t>
            </w:r>
          </w:p>
        </w:tc>
        <w:tc>
          <w:tcPr>
            <w:tcW w:w="1277" w:type="dxa"/>
            <w:tcBorders>
              <w:top w:val="nil"/>
              <w:left w:val="nil"/>
              <w:bottom w:val="nil"/>
              <w:right w:val="single" w:sz="4" w:space="0" w:color="auto"/>
            </w:tcBorders>
            <w:shd w:val="clear" w:color="000000" w:fill="FFFFFF"/>
            <w:noWrap/>
            <w:vAlign w:val="bottom"/>
            <w:hideMark/>
          </w:tcPr>
          <w:p w14:paraId="6B775679" w14:textId="047FC126"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(0.09)</w:t>
            </w:r>
          </w:p>
        </w:tc>
      </w:tr>
      <w:tr w:rsidR="002137D2" w:rsidRPr="00815DA4" w14:paraId="05ACFD8D" w14:textId="77777777" w:rsidTr="00815DA4">
        <w:trPr>
          <w:trHeight w:val="260"/>
        </w:trPr>
        <w:tc>
          <w:tcPr>
            <w:tcW w:w="2541" w:type="dxa"/>
            <w:vMerge w:val="restart"/>
            <w:tcBorders>
              <w:top w:val="nil"/>
              <w:left w:val="single" w:sz="4" w:space="0" w:color="auto"/>
              <w:bottom w:val="nil"/>
              <w:right w:val="single" w:sz="4" w:space="0" w:color="auto"/>
            </w:tcBorders>
            <w:shd w:val="clear" w:color="000000" w:fill="FFFFFF"/>
            <w:noWrap/>
            <w:vAlign w:val="center"/>
            <w:hideMark/>
          </w:tcPr>
          <w:p w14:paraId="39BB9559" w14:textId="77777777" w:rsidR="002137D2" w:rsidRPr="00815DA4" w:rsidRDefault="002137D2" w:rsidP="002137D2">
            <w:pPr>
              <w:spacing w:after="0" w:line="240" w:lineRule="auto"/>
              <w:rPr>
                <w:rFonts w:ascii="Calibri Light" w:eastAsia="Times New Roman" w:hAnsi="Calibri Light" w:cs="Calibri Light"/>
                <w:b/>
                <w:bCs/>
                <w:color w:val="000000"/>
                <w:sz w:val="18"/>
                <w:szCs w:val="18"/>
              </w:rPr>
            </w:pPr>
            <w:r w:rsidRPr="00815DA4">
              <w:rPr>
                <w:rFonts w:ascii="Calibri Light" w:eastAsia="Times New Roman" w:hAnsi="Calibri Light" w:cs="Calibri Light"/>
                <w:b/>
                <w:bCs/>
                <w:color w:val="000000"/>
                <w:sz w:val="18"/>
                <w:szCs w:val="18"/>
              </w:rPr>
              <w:t>Europe</w:t>
            </w:r>
          </w:p>
        </w:tc>
        <w:tc>
          <w:tcPr>
            <w:tcW w:w="800" w:type="dxa"/>
            <w:tcBorders>
              <w:top w:val="nil"/>
              <w:left w:val="nil"/>
              <w:bottom w:val="nil"/>
              <w:right w:val="single" w:sz="4" w:space="0" w:color="auto"/>
            </w:tcBorders>
            <w:shd w:val="clear" w:color="000000" w:fill="FFFFFF"/>
            <w:noWrap/>
            <w:vAlign w:val="bottom"/>
            <w:hideMark/>
          </w:tcPr>
          <w:p w14:paraId="6C5D54D7" w14:textId="01CF9584"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0.51 </w:t>
            </w:r>
          </w:p>
        </w:tc>
        <w:tc>
          <w:tcPr>
            <w:tcW w:w="1260" w:type="dxa"/>
            <w:tcBorders>
              <w:top w:val="nil"/>
              <w:left w:val="nil"/>
              <w:bottom w:val="nil"/>
              <w:right w:val="single" w:sz="4" w:space="0" w:color="auto"/>
            </w:tcBorders>
            <w:shd w:val="clear" w:color="000000" w:fill="FFFFFF"/>
            <w:noWrap/>
            <w:vAlign w:val="bottom"/>
            <w:hideMark/>
          </w:tcPr>
          <w:p w14:paraId="538CB052" w14:textId="21EC4555"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0.68 </w:t>
            </w:r>
          </w:p>
        </w:tc>
        <w:tc>
          <w:tcPr>
            <w:tcW w:w="900" w:type="dxa"/>
            <w:tcBorders>
              <w:top w:val="nil"/>
              <w:left w:val="nil"/>
              <w:bottom w:val="nil"/>
              <w:right w:val="single" w:sz="4" w:space="0" w:color="auto"/>
            </w:tcBorders>
            <w:shd w:val="clear" w:color="000000" w:fill="FFFFFF"/>
            <w:noWrap/>
            <w:vAlign w:val="bottom"/>
            <w:hideMark/>
          </w:tcPr>
          <w:p w14:paraId="57550923" w14:textId="4A92E1E1"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0.53 </w:t>
            </w:r>
          </w:p>
        </w:tc>
        <w:tc>
          <w:tcPr>
            <w:tcW w:w="1080" w:type="dxa"/>
            <w:tcBorders>
              <w:top w:val="nil"/>
              <w:left w:val="nil"/>
              <w:bottom w:val="nil"/>
              <w:right w:val="single" w:sz="4" w:space="0" w:color="auto"/>
            </w:tcBorders>
            <w:shd w:val="clear" w:color="000000" w:fill="FFFFFF"/>
            <w:noWrap/>
            <w:vAlign w:val="bottom"/>
            <w:hideMark/>
          </w:tcPr>
          <w:p w14:paraId="744C6B43" w14:textId="4267D3CA"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0.72 </w:t>
            </w:r>
          </w:p>
        </w:tc>
        <w:tc>
          <w:tcPr>
            <w:tcW w:w="990" w:type="dxa"/>
            <w:tcBorders>
              <w:top w:val="nil"/>
              <w:left w:val="nil"/>
              <w:bottom w:val="nil"/>
              <w:right w:val="single" w:sz="4" w:space="0" w:color="auto"/>
            </w:tcBorders>
            <w:shd w:val="clear" w:color="000000" w:fill="FFFFFF"/>
            <w:noWrap/>
            <w:vAlign w:val="bottom"/>
            <w:hideMark/>
          </w:tcPr>
          <w:p w14:paraId="32BBEA98" w14:textId="150A6863"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0.53 </w:t>
            </w:r>
          </w:p>
        </w:tc>
        <w:tc>
          <w:tcPr>
            <w:tcW w:w="1080" w:type="dxa"/>
            <w:tcBorders>
              <w:top w:val="nil"/>
              <w:left w:val="nil"/>
              <w:bottom w:val="nil"/>
              <w:right w:val="single" w:sz="4" w:space="0" w:color="auto"/>
            </w:tcBorders>
            <w:shd w:val="clear" w:color="000000" w:fill="FFFFFF"/>
            <w:noWrap/>
            <w:vAlign w:val="bottom"/>
            <w:hideMark/>
          </w:tcPr>
          <w:p w14:paraId="6E23896E" w14:textId="55E3F3AC"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0.74 </w:t>
            </w:r>
          </w:p>
        </w:tc>
        <w:tc>
          <w:tcPr>
            <w:tcW w:w="981" w:type="dxa"/>
            <w:tcBorders>
              <w:top w:val="nil"/>
              <w:left w:val="nil"/>
              <w:bottom w:val="nil"/>
              <w:right w:val="single" w:sz="4" w:space="0" w:color="auto"/>
            </w:tcBorders>
            <w:shd w:val="clear" w:color="000000" w:fill="FFFFFF"/>
            <w:noWrap/>
            <w:vAlign w:val="bottom"/>
            <w:hideMark/>
          </w:tcPr>
          <w:p w14:paraId="645C3459" w14:textId="3ADAB17B"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0.51 </w:t>
            </w:r>
          </w:p>
        </w:tc>
        <w:tc>
          <w:tcPr>
            <w:tcW w:w="1277" w:type="dxa"/>
            <w:tcBorders>
              <w:top w:val="nil"/>
              <w:left w:val="nil"/>
              <w:bottom w:val="nil"/>
              <w:right w:val="single" w:sz="4" w:space="0" w:color="auto"/>
            </w:tcBorders>
            <w:shd w:val="clear" w:color="000000" w:fill="FFFFFF"/>
            <w:noWrap/>
            <w:vAlign w:val="bottom"/>
            <w:hideMark/>
          </w:tcPr>
          <w:p w14:paraId="4051300B" w14:textId="52BB50EC"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0.73 </w:t>
            </w:r>
          </w:p>
        </w:tc>
      </w:tr>
      <w:tr w:rsidR="002137D2" w:rsidRPr="00815DA4" w14:paraId="3EFE6BBC" w14:textId="77777777" w:rsidTr="00815DA4">
        <w:trPr>
          <w:trHeight w:val="260"/>
        </w:trPr>
        <w:tc>
          <w:tcPr>
            <w:tcW w:w="2541" w:type="dxa"/>
            <w:vMerge/>
            <w:tcBorders>
              <w:top w:val="nil"/>
              <w:left w:val="single" w:sz="4" w:space="0" w:color="auto"/>
              <w:bottom w:val="nil"/>
              <w:right w:val="single" w:sz="4" w:space="0" w:color="auto"/>
            </w:tcBorders>
            <w:vAlign w:val="center"/>
            <w:hideMark/>
          </w:tcPr>
          <w:p w14:paraId="5887BEBF" w14:textId="77777777" w:rsidR="002137D2" w:rsidRPr="00815DA4" w:rsidRDefault="002137D2" w:rsidP="002137D2">
            <w:pPr>
              <w:spacing w:after="0" w:line="240" w:lineRule="auto"/>
              <w:rPr>
                <w:rFonts w:ascii="Calibri Light" w:eastAsia="Times New Roman" w:hAnsi="Calibri Light" w:cs="Calibri Light"/>
                <w:b/>
                <w:bCs/>
                <w:color w:val="000000"/>
                <w:sz w:val="18"/>
                <w:szCs w:val="18"/>
              </w:rPr>
            </w:pPr>
          </w:p>
        </w:tc>
        <w:tc>
          <w:tcPr>
            <w:tcW w:w="800" w:type="dxa"/>
            <w:tcBorders>
              <w:top w:val="nil"/>
              <w:left w:val="nil"/>
              <w:bottom w:val="nil"/>
              <w:right w:val="single" w:sz="4" w:space="0" w:color="auto"/>
            </w:tcBorders>
            <w:shd w:val="clear" w:color="000000" w:fill="FFFFFF"/>
            <w:noWrap/>
            <w:vAlign w:val="bottom"/>
            <w:hideMark/>
          </w:tcPr>
          <w:p w14:paraId="6AAD8BE3" w14:textId="1296A837"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(0.25)</w:t>
            </w:r>
          </w:p>
        </w:tc>
        <w:tc>
          <w:tcPr>
            <w:tcW w:w="1260" w:type="dxa"/>
            <w:tcBorders>
              <w:top w:val="nil"/>
              <w:left w:val="nil"/>
              <w:bottom w:val="nil"/>
              <w:right w:val="single" w:sz="4" w:space="0" w:color="auto"/>
            </w:tcBorders>
            <w:shd w:val="clear" w:color="000000" w:fill="FFFFFF"/>
            <w:noWrap/>
            <w:vAlign w:val="bottom"/>
            <w:hideMark/>
          </w:tcPr>
          <w:p w14:paraId="1EDC6FE3" w14:textId="3A4A32BA"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(0.23)</w:t>
            </w:r>
          </w:p>
        </w:tc>
        <w:tc>
          <w:tcPr>
            <w:tcW w:w="900" w:type="dxa"/>
            <w:tcBorders>
              <w:top w:val="nil"/>
              <w:left w:val="nil"/>
              <w:bottom w:val="nil"/>
              <w:right w:val="single" w:sz="4" w:space="0" w:color="auto"/>
            </w:tcBorders>
            <w:shd w:val="clear" w:color="000000" w:fill="FFFFFF"/>
            <w:noWrap/>
            <w:vAlign w:val="bottom"/>
            <w:hideMark/>
          </w:tcPr>
          <w:p w14:paraId="09BD2AF0" w14:textId="59D46F7E"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(0.23)</w:t>
            </w:r>
          </w:p>
        </w:tc>
        <w:tc>
          <w:tcPr>
            <w:tcW w:w="1080" w:type="dxa"/>
            <w:tcBorders>
              <w:top w:val="nil"/>
              <w:left w:val="nil"/>
              <w:bottom w:val="nil"/>
              <w:right w:val="single" w:sz="4" w:space="0" w:color="auto"/>
            </w:tcBorders>
            <w:shd w:val="clear" w:color="000000" w:fill="FFFFFF"/>
            <w:noWrap/>
            <w:vAlign w:val="bottom"/>
            <w:hideMark/>
          </w:tcPr>
          <w:p w14:paraId="3924FA00" w14:textId="5CAF51BD"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(0.18)</w:t>
            </w:r>
          </w:p>
        </w:tc>
        <w:tc>
          <w:tcPr>
            <w:tcW w:w="990" w:type="dxa"/>
            <w:tcBorders>
              <w:top w:val="nil"/>
              <w:left w:val="nil"/>
              <w:bottom w:val="nil"/>
              <w:right w:val="single" w:sz="4" w:space="0" w:color="auto"/>
            </w:tcBorders>
            <w:shd w:val="clear" w:color="000000" w:fill="FFFFFF"/>
            <w:noWrap/>
            <w:vAlign w:val="bottom"/>
            <w:hideMark/>
          </w:tcPr>
          <w:p w14:paraId="5A97B069" w14:textId="38A35A16"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(0.23)</w:t>
            </w:r>
          </w:p>
        </w:tc>
        <w:tc>
          <w:tcPr>
            <w:tcW w:w="1080" w:type="dxa"/>
            <w:tcBorders>
              <w:top w:val="nil"/>
              <w:left w:val="nil"/>
              <w:bottom w:val="nil"/>
              <w:right w:val="single" w:sz="4" w:space="0" w:color="auto"/>
            </w:tcBorders>
            <w:shd w:val="clear" w:color="000000" w:fill="FFFFFF"/>
            <w:noWrap/>
            <w:vAlign w:val="bottom"/>
            <w:hideMark/>
          </w:tcPr>
          <w:p w14:paraId="085780E4" w14:textId="0DA35366"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(0.17)</w:t>
            </w:r>
          </w:p>
        </w:tc>
        <w:tc>
          <w:tcPr>
            <w:tcW w:w="981" w:type="dxa"/>
            <w:tcBorders>
              <w:top w:val="nil"/>
              <w:left w:val="nil"/>
              <w:bottom w:val="nil"/>
              <w:right w:val="single" w:sz="4" w:space="0" w:color="auto"/>
            </w:tcBorders>
            <w:shd w:val="clear" w:color="000000" w:fill="FFFFFF"/>
            <w:noWrap/>
            <w:vAlign w:val="bottom"/>
            <w:hideMark/>
          </w:tcPr>
          <w:p w14:paraId="1FF86F04" w14:textId="52EEE1CD"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(0.22)</w:t>
            </w:r>
          </w:p>
        </w:tc>
        <w:tc>
          <w:tcPr>
            <w:tcW w:w="1277" w:type="dxa"/>
            <w:tcBorders>
              <w:top w:val="nil"/>
              <w:left w:val="nil"/>
              <w:bottom w:val="nil"/>
              <w:right w:val="single" w:sz="4" w:space="0" w:color="auto"/>
            </w:tcBorders>
            <w:shd w:val="clear" w:color="000000" w:fill="FFFFFF"/>
            <w:noWrap/>
            <w:vAlign w:val="bottom"/>
            <w:hideMark/>
          </w:tcPr>
          <w:p w14:paraId="18C7AB2C" w14:textId="4AEB3A3C"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(0.18)</w:t>
            </w:r>
          </w:p>
        </w:tc>
      </w:tr>
      <w:tr w:rsidR="002137D2" w:rsidRPr="00815DA4" w14:paraId="6324B7B5" w14:textId="77777777" w:rsidTr="00815DA4">
        <w:trPr>
          <w:trHeight w:val="260"/>
        </w:trPr>
        <w:tc>
          <w:tcPr>
            <w:tcW w:w="2541" w:type="dxa"/>
            <w:vMerge w:val="restart"/>
            <w:tcBorders>
              <w:top w:val="nil"/>
              <w:left w:val="single" w:sz="4" w:space="0" w:color="auto"/>
              <w:bottom w:val="nil"/>
              <w:right w:val="single" w:sz="4" w:space="0" w:color="auto"/>
            </w:tcBorders>
            <w:shd w:val="clear" w:color="000000" w:fill="FFFFFF"/>
            <w:noWrap/>
            <w:vAlign w:val="center"/>
            <w:hideMark/>
          </w:tcPr>
          <w:p w14:paraId="4177E057" w14:textId="77777777" w:rsidR="002137D2" w:rsidRPr="00815DA4" w:rsidRDefault="002137D2" w:rsidP="002137D2">
            <w:pPr>
              <w:spacing w:after="0" w:line="240" w:lineRule="auto"/>
              <w:rPr>
                <w:rFonts w:ascii="Calibri Light" w:eastAsia="Times New Roman" w:hAnsi="Calibri Light" w:cs="Calibri Light"/>
                <w:b/>
                <w:bCs/>
                <w:color w:val="000000"/>
                <w:sz w:val="18"/>
                <w:szCs w:val="18"/>
              </w:rPr>
            </w:pPr>
            <w:r w:rsidRPr="00815DA4">
              <w:rPr>
                <w:rFonts w:ascii="Calibri Light" w:eastAsia="Times New Roman" w:hAnsi="Calibri Light" w:cs="Calibri Light"/>
                <w:b/>
                <w:bCs/>
                <w:color w:val="000000"/>
                <w:sz w:val="18"/>
                <w:szCs w:val="18"/>
              </w:rPr>
              <w:t>Latin America</w:t>
            </w:r>
          </w:p>
        </w:tc>
        <w:tc>
          <w:tcPr>
            <w:tcW w:w="800" w:type="dxa"/>
            <w:tcBorders>
              <w:top w:val="nil"/>
              <w:left w:val="nil"/>
              <w:bottom w:val="nil"/>
              <w:right w:val="single" w:sz="4" w:space="0" w:color="auto"/>
            </w:tcBorders>
            <w:shd w:val="clear" w:color="000000" w:fill="FFFFFF"/>
            <w:noWrap/>
            <w:vAlign w:val="bottom"/>
            <w:hideMark/>
          </w:tcPr>
          <w:p w14:paraId="2EE649AA" w14:textId="711C73EC"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0.28 </w:t>
            </w:r>
          </w:p>
        </w:tc>
        <w:tc>
          <w:tcPr>
            <w:tcW w:w="1260" w:type="dxa"/>
            <w:tcBorders>
              <w:top w:val="nil"/>
              <w:left w:val="nil"/>
              <w:bottom w:val="nil"/>
              <w:right w:val="single" w:sz="4" w:space="0" w:color="auto"/>
            </w:tcBorders>
            <w:shd w:val="clear" w:color="000000" w:fill="FFFFFF"/>
            <w:noWrap/>
            <w:vAlign w:val="bottom"/>
            <w:hideMark/>
          </w:tcPr>
          <w:p w14:paraId="53A4D35A" w14:textId="42D44AB7"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0.48 </w:t>
            </w:r>
          </w:p>
        </w:tc>
        <w:tc>
          <w:tcPr>
            <w:tcW w:w="900" w:type="dxa"/>
            <w:tcBorders>
              <w:top w:val="nil"/>
              <w:left w:val="nil"/>
              <w:bottom w:val="nil"/>
              <w:right w:val="single" w:sz="4" w:space="0" w:color="auto"/>
            </w:tcBorders>
            <w:shd w:val="clear" w:color="000000" w:fill="FFFFFF"/>
            <w:noWrap/>
            <w:vAlign w:val="bottom"/>
            <w:hideMark/>
          </w:tcPr>
          <w:p w14:paraId="754D004E" w14:textId="5D93D645"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0.32 </w:t>
            </w:r>
          </w:p>
        </w:tc>
        <w:tc>
          <w:tcPr>
            <w:tcW w:w="1080" w:type="dxa"/>
            <w:tcBorders>
              <w:top w:val="nil"/>
              <w:left w:val="nil"/>
              <w:bottom w:val="nil"/>
              <w:right w:val="single" w:sz="4" w:space="0" w:color="auto"/>
            </w:tcBorders>
            <w:shd w:val="clear" w:color="000000" w:fill="FFFFFF"/>
            <w:noWrap/>
            <w:vAlign w:val="bottom"/>
            <w:hideMark/>
          </w:tcPr>
          <w:p w14:paraId="26119DA9" w14:textId="2BFB09E3"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0.52 </w:t>
            </w:r>
          </w:p>
        </w:tc>
        <w:tc>
          <w:tcPr>
            <w:tcW w:w="990" w:type="dxa"/>
            <w:tcBorders>
              <w:top w:val="nil"/>
              <w:left w:val="nil"/>
              <w:bottom w:val="nil"/>
              <w:right w:val="single" w:sz="4" w:space="0" w:color="auto"/>
            </w:tcBorders>
            <w:shd w:val="clear" w:color="000000" w:fill="FFFFFF"/>
            <w:noWrap/>
            <w:vAlign w:val="bottom"/>
            <w:hideMark/>
          </w:tcPr>
          <w:p w14:paraId="0CDA1079" w14:textId="009F2961"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0.29 </w:t>
            </w:r>
          </w:p>
        </w:tc>
        <w:tc>
          <w:tcPr>
            <w:tcW w:w="1080" w:type="dxa"/>
            <w:tcBorders>
              <w:top w:val="nil"/>
              <w:left w:val="nil"/>
              <w:bottom w:val="nil"/>
              <w:right w:val="single" w:sz="4" w:space="0" w:color="auto"/>
            </w:tcBorders>
            <w:shd w:val="clear" w:color="000000" w:fill="FFFFFF"/>
            <w:noWrap/>
            <w:vAlign w:val="bottom"/>
            <w:hideMark/>
          </w:tcPr>
          <w:p w14:paraId="24B6AEA7" w14:textId="1522B04B"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0.56 </w:t>
            </w:r>
          </w:p>
        </w:tc>
        <w:tc>
          <w:tcPr>
            <w:tcW w:w="981" w:type="dxa"/>
            <w:tcBorders>
              <w:top w:val="nil"/>
              <w:left w:val="nil"/>
              <w:bottom w:val="nil"/>
              <w:right w:val="single" w:sz="4" w:space="0" w:color="auto"/>
            </w:tcBorders>
            <w:shd w:val="clear" w:color="000000" w:fill="FFFFFF"/>
            <w:noWrap/>
            <w:vAlign w:val="bottom"/>
            <w:hideMark/>
          </w:tcPr>
          <w:p w14:paraId="0F56F518" w14:textId="062DD94B"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0.29 </w:t>
            </w:r>
          </w:p>
        </w:tc>
        <w:tc>
          <w:tcPr>
            <w:tcW w:w="1277" w:type="dxa"/>
            <w:tcBorders>
              <w:top w:val="nil"/>
              <w:left w:val="nil"/>
              <w:bottom w:val="nil"/>
              <w:right w:val="single" w:sz="4" w:space="0" w:color="auto"/>
            </w:tcBorders>
            <w:shd w:val="clear" w:color="000000" w:fill="FFFFFF"/>
            <w:noWrap/>
            <w:vAlign w:val="bottom"/>
            <w:hideMark/>
          </w:tcPr>
          <w:p w14:paraId="16054495" w14:textId="1CE28289"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0.55 </w:t>
            </w:r>
          </w:p>
        </w:tc>
      </w:tr>
      <w:tr w:rsidR="002137D2" w:rsidRPr="00815DA4" w14:paraId="1F624A18" w14:textId="77777777" w:rsidTr="00815DA4">
        <w:trPr>
          <w:trHeight w:val="260"/>
        </w:trPr>
        <w:tc>
          <w:tcPr>
            <w:tcW w:w="2541" w:type="dxa"/>
            <w:vMerge/>
            <w:tcBorders>
              <w:top w:val="nil"/>
              <w:left w:val="single" w:sz="4" w:space="0" w:color="auto"/>
              <w:bottom w:val="nil"/>
              <w:right w:val="single" w:sz="4" w:space="0" w:color="auto"/>
            </w:tcBorders>
            <w:vAlign w:val="center"/>
            <w:hideMark/>
          </w:tcPr>
          <w:p w14:paraId="12A881B5" w14:textId="77777777" w:rsidR="002137D2" w:rsidRPr="00815DA4" w:rsidRDefault="002137D2" w:rsidP="002137D2">
            <w:pPr>
              <w:spacing w:after="0" w:line="240" w:lineRule="auto"/>
              <w:rPr>
                <w:rFonts w:ascii="Calibri Light" w:eastAsia="Times New Roman" w:hAnsi="Calibri Light" w:cs="Calibri Light"/>
                <w:b/>
                <w:bCs/>
                <w:color w:val="000000"/>
                <w:sz w:val="18"/>
                <w:szCs w:val="18"/>
              </w:rPr>
            </w:pPr>
          </w:p>
        </w:tc>
        <w:tc>
          <w:tcPr>
            <w:tcW w:w="800" w:type="dxa"/>
            <w:tcBorders>
              <w:top w:val="nil"/>
              <w:left w:val="nil"/>
              <w:bottom w:val="nil"/>
              <w:right w:val="single" w:sz="4" w:space="0" w:color="auto"/>
            </w:tcBorders>
            <w:shd w:val="clear" w:color="000000" w:fill="FFFFFF"/>
            <w:noWrap/>
            <w:vAlign w:val="bottom"/>
            <w:hideMark/>
          </w:tcPr>
          <w:p w14:paraId="6584C642" w14:textId="4A5B07F5"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(0.28)</w:t>
            </w:r>
          </w:p>
        </w:tc>
        <w:tc>
          <w:tcPr>
            <w:tcW w:w="1260" w:type="dxa"/>
            <w:tcBorders>
              <w:top w:val="nil"/>
              <w:left w:val="nil"/>
              <w:bottom w:val="nil"/>
              <w:right w:val="single" w:sz="4" w:space="0" w:color="auto"/>
            </w:tcBorders>
            <w:shd w:val="clear" w:color="000000" w:fill="FFFFFF"/>
            <w:noWrap/>
            <w:vAlign w:val="bottom"/>
            <w:hideMark/>
          </w:tcPr>
          <w:p w14:paraId="31B6B316" w14:textId="242116F0"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(0.22)</w:t>
            </w:r>
          </w:p>
        </w:tc>
        <w:tc>
          <w:tcPr>
            <w:tcW w:w="900" w:type="dxa"/>
            <w:tcBorders>
              <w:top w:val="nil"/>
              <w:left w:val="nil"/>
              <w:bottom w:val="nil"/>
              <w:right w:val="single" w:sz="4" w:space="0" w:color="auto"/>
            </w:tcBorders>
            <w:shd w:val="clear" w:color="000000" w:fill="FFFFFF"/>
            <w:noWrap/>
            <w:vAlign w:val="bottom"/>
            <w:hideMark/>
          </w:tcPr>
          <w:p w14:paraId="4901160E" w14:textId="6E9DE182"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(0.28)</w:t>
            </w:r>
          </w:p>
        </w:tc>
        <w:tc>
          <w:tcPr>
            <w:tcW w:w="1080" w:type="dxa"/>
            <w:tcBorders>
              <w:top w:val="nil"/>
              <w:left w:val="nil"/>
              <w:bottom w:val="nil"/>
              <w:right w:val="single" w:sz="4" w:space="0" w:color="auto"/>
            </w:tcBorders>
            <w:shd w:val="clear" w:color="000000" w:fill="FFFFFF"/>
            <w:noWrap/>
            <w:vAlign w:val="bottom"/>
            <w:hideMark/>
          </w:tcPr>
          <w:p w14:paraId="49B7E05E" w14:textId="0D814544"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(0.24)</w:t>
            </w:r>
          </w:p>
        </w:tc>
        <w:tc>
          <w:tcPr>
            <w:tcW w:w="990" w:type="dxa"/>
            <w:tcBorders>
              <w:top w:val="nil"/>
              <w:left w:val="nil"/>
              <w:bottom w:val="nil"/>
              <w:right w:val="single" w:sz="4" w:space="0" w:color="auto"/>
            </w:tcBorders>
            <w:shd w:val="clear" w:color="000000" w:fill="FFFFFF"/>
            <w:noWrap/>
            <w:vAlign w:val="bottom"/>
            <w:hideMark/>
          </w:tcPr>
          <w:p w14:paraId="2E27425A" w14:textId="5FDD3E2A"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(0.16)</w:t>
            </w:r>
          </w:p>
        </w:tc>
        <w:tc>
          <w:tcPr>
            <w:tcW w:w="1080" w:type="dxa"/>
            <w:tcBorders>
              <w:top w:val="nil"/>
              <w:left w:val="nil"/>
              <w:bottom w:val="nil"/>
              <w:right w:val="single" w:sz="4" w:space="0" w:color="auto"/>
            </w:tcBorders>
            <w:shd w:val="clear" w:color="000000" w:fill="FFFFFF"/>
            <w:noWrap/>
            <w:vAlign w:val="bottom"/>
            <w:hideMark/>
          </w:tcPr>
          <w:p w14:paraId="3329461F" w14:textId="263B0D0A"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(0.20)</w:t>
            </w:r>
          </w:p>
        </w:tc>
        <w:tc>
          <w:tcPr>
            <w:tcW w:w="981" w:type="dxa"/>
            <w:tcBorders>
              <w:top w:val="nil"/>
              <w:left w:val="nil"/>
              <w:bottom w:val="nil"/>
              <w:right w:val="single" w:sz="4" w:space="0" w:color="auto"/>
            </w:tcBorders>
            <w:shd w:val="clear" w:color="000000" w:fill="FFFFFF"/>
            <w:noWrap/>
            <w:vAlign w:val="bottom"/>
            <w:hideMark/>
          </w:tcPr>
          <w:p w14:paraId="5173DB6B" w14:textId="5EF7AF58"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(0.15)</w:t>
            </w:r>
          </w:p>
        </w:tc>
        <w:tc>
          <w:tcPr>
            <w:tcW w:w="1277" w:type="dxa"/>
            <w:tcBorders>
              <w:top w:val="nil"/>
              <w:left w:val="nil"/>
              <w:bottom w:val="nil"/>
              <w:right w:val="single" w:sz="4" w:space="0" w:color="auto"/>
            </w:tcBorders>
            <w:shd w:val="clear" w:color="000000" w:fill="FFFFFF"/>
            <w:noWrap/>
            <w:vAlign w:val="bottom"/>
            <w:hideMark/>
          </w:tcPr>
          <w:p w14:paraId="64B56EA3" w14:textId="52B0342F"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(0.16)</w:t>
            </w:r>
          </w:p>
        </w:tc>
      </w:tr>
      <w:tr w:rsidR="002137D2" w:rsidRPr="00815DA4" w14:paraId="2B85214C" w14:textId="77777777" w:rsidTr="00815DA4">
        <w:trPr>
          <w:trHeight w:val="260"/>
        </w:trPr>
        <w:tc>
          <w:tcPr>
            <w:tcW w:w="2541" w:type="dxa"/>
            <w:vMerge w:val="restart"/>
            <w:tcBorders>
              <w:top w:val="nil"/>
              <w:left w:val="single" w:sz="4" w:space="0" w:color="auto"/>
              <w:bottom w:val="nil"/>
              <w:right w:val="single" w:sz="4" w:space="0" w:color="auto"/>
            </w:tcBorders>
            <w:shd w:val="clear" w:color="000000" w:fill="FFFFFF"/>
            <w:noWrap/>
            <w:vAlign w:val="center"/>
            <w:hideMark/>
          </w:tcPr>
          <w:p w14:paraId="18C13D42" w14:textId="77777777" w:rsidR="002137D2" w:rsidRPr="00815DA4" w:rsidRDefault="002137D2" w:rsidP="002137D2">
            <w:pPr>
              <w:spacing w:after="0" w:line="240" w:lineRule="auto"/>
              <w:rPr>
                <w:rFonts w:ascii="Calibri Light" w:eastAsia="Times New Roman" w:hAnsi="Calibri Light" w:cs="Calibri Light"/>
                <w:b/>
                <w:bCs/>
                <w:color w:val="000000"/>
                <w:sz w:val="18"/>
                <w:szCs w:val="18"/>
              </w:rPr>
            </w:pPr>
            <w:r w:rsidRPr="00815DA4">
              <w:rPr>
                <w:rFonts w:ascii="Calibri Light" w:eastAsia="Times New Roman" w:hAnsi="Calibri Light" w:cs="Calibri Light"/>
                <w:b/>
                <w:bCs/>
                <w:color w:val="000000"/>
                <w:sz w:val="18"/>
                <w:szCs w:val="18"/>
              </w:rPr>
              <w:t>North and Central America</w:t>
            </w:r>
          </w:p>
        </w:tc>
        <w:tc>
          <w:tcPr>
            <w:tcW w:w="800" w:type="dxa"/>
            <w:tcBorders>
              <w:top w:val="nil"/>
              <w:left w:val="nil"/>
              <w:bottom w:val="nil"/>
              <w:right w:val="single" w:sz="4" w:space="0" w:color="auto"/>
            </w:tcBorders>
            <w:shd w:val="clear" w:color="000000" w:fill="FFFFFF"/>
            <w:noWrap/>
            <w:vAlign w:val="bottom"/>
            <w:hideMark/>
          </w:tcPr>
          <w:p w14:paraId="4857CBD7" w14:textId="35321CD8"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0.43 </w:t>
            </w:r>
          </w:p>
        </w:tc>
        <w:tc>
          <w:tcPr>
            <w:tcW w:w="1260" w:type="dxa"/>
            <w:tcBorders>
              <w:top w:val="nil"/>
              <w:left w:val="nil"/>
              <w:bottom w:val="nil"/>
              <w:right w:val="single" w:sz="4" w:space="0" w:color="auto"/>
            </w:tcBorders>
            <w:shd w:val="clear" w:color="000000" w:fill="FFFFFF"/>
            <w:noWrap/>
            <w:vAlign w:val="bottom"/>
            <w:hideMark/>
          </w:tcPr>
          <w:p w14:paraId="6B33E027" w14:textId="54F17DDE"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0.71 </w:t>
            </w:r>
          </w:p>
        </w:tc>
        <w:tc>
          <w:tcPr>
            <w:tcW w:w="900" w:type="dxa"/>
            <w:tcBorders>
              <w:top w:val="nil"/>
              <w:left w:val="nil"/>
              <w:bottom w:val="nil"/>
              <w:right w:val="single" w:sz="4" w:space="0" w:color="auto"/>
            </w:tcBorders>
            <w:shd w:val="clear" w:color="000000" w:fill="FFFFFF"/>
            <w:noWrap/>
            <w:vAlign w:val="bottom"/>
            <w:hideMark/>
          </w:tcPr>
          <w:p w14:paraId="402B2B55" w14:textId="1021C4A1"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0.50 </w:t>
            </w:r>
          </w:p>
        </w:tc>
        <w:tc>
          <w:tcPr>
            <w:tcW w:w="1080" w:type="dxa"/>
            <w:tcBorders>
              <w:top w:val="nil"/>
              <w:left w:val="nil"/>
              <w:bottom w:val="nil"/>
              <w:right w:val="single" w:sz="4" w:space="0" w:color="auto"/>
            </w:tcBorders>
            <w:shd w:val="clear" w:color="000000" w:fill="FFFFFF"/>
            <w:noWrap/>
            <w:vAlign w:val="bottom"/>
            <w:hideMark/>
          </w:tcPr>
          <w:p w14:paraId="532A3CC3" w14:textId="45742560"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0.71 </w:t>
            </w:r>
          </w:p>
        </w:tc>
        <w:tc>
          <w:tcPr>
            <w:tcW w:w="990" w:type="dxa"/>
            <w:tcBorders>
              <w:top w:val="nil"/>
              <w:left w:val="nil"/>
              <w:bottom w:val="nil"/>
              <w:right w:val="single" w:sz="4" w:space="0" w:color="auto"/>
            </w:tcBorders>
            <w:shd w:val="clear" w:color="000000" w:fill="FFFFFF"/>
            <w:noWrap/>
            <w:vAlign w:val="bottom"/>
            <w:hideMark/>
          </w:tcPr>
          <w:p w14:paraId="1669D95D" w14:textId="5ED0B5AC"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0.46 </w:t>
            </w:r>
          </w:p>
        </w:tc>
        <w:tc>
          <w:tcPr>
            <w:tcW w:w="1080" w:type="dxa"/>
            <w:tcBorders>
              <w:top w:val="nil"/>
              <w:left w:val="nil"/>
              <w:bottom w:val="nil"/>
              <w:right w:val="single" w:sz="4" w:space="0" w:color="auto"/>
            </w:tcBorders>
            <w:shd w:val="clear" w:color="000000" w:fill="FFFFFF"/>
            <w:noWrap/>
            <w:vAlign w:val="bottom"/>
            <w:hideMark/>
          </w:tcPr>
          <w:p w14:paraId="75C47410" w14:textId="4854A852"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0.68 </w:t>
            </w:r>
          </w:p>
        </w:tc>
        <w:tc>
          <w:tcPr>
            <w:tcW w:w="981" w:type="dxa"/>
            <w:tcBorders>
              <w:top w:val="nil"/>
              <w:left w:val="nil"/>
              <w:bottom w:val="nil"/>
              <w:right w:val="single" w:sz="4" w:space="0" w:color="auto"/>
            </w:tcBorders>
            <w:shd w:val="clear" w:color="000000" w:fill="FFFFFF"/>
            <w:noWrap/>
            <w:vAlign w:val="bottom"/>
            <w:hideMark/>
          </w:tcPr>
          <w:p w14:paraId="0CA57B42" w14:textId="52AD7D80"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0.44 </w:t>
            </w:r>
          </w:p>
        </w:tc>
        <w:tc>
          <w:tcPr>
            <w:tcW w:w="1277" w:type="dxa"/>
            <w:tcBorders>
              <w:top w:val="nil"/>
              <w:left w:val="nil"/>
              <w:bottom w:val="nil"/>
              <w:right w:val="single" w:sz="4" w:space="0" w:color="auto"/>
            </w:tcBorders>
            <w:shd w:val="clear" w:color="000000" w:fill="FFFFFF"/>
            <w:noWrap/>
            <w:vAlign w:val="bottom"/>
            <w:hideMark/>
          </w:tcPr>
          <w:p w14:paraId="437646C1" w14:textId="7D3E3C4E"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0.64 </w:t>
            </w:r>
          </w:p>
        </w:tc>
      </w:tr>
      <w:tr w:rsidR="002137D2" w:rsidRPr="00815DA4" w14:paraId="4A84A363" w14:textId="77777777" w:rsidTr="00815DA4">
        <w:trPr>
          <w:trHeight w:val="260"/>
        </w:trPr>
        <w:tc>
          <w:tcPr>
            <w:tcW w:w="2541" w:type="dxa"/>
            <w:vMerge/>
            <w:tcBorders>
              <w:top w:val="nil"/>
              <w:left w:val="single" w:sz="4" w:space="0" w:color="auto"/>
              <w:bottom w:val="nil"/>
              <w:right w:val="single" w:sz="4" w:space="0" w:color="auto"/>
            </w:tcBorders>
            <w:vAlign w:val="center"/>
            <w:hideMark/>
          </w:tcPr>
          <w:p w14:paraId="2D5B2984" w14:textId="77777777" w:rsidR="002137D2" w:rsidRPr="00815DA4" w:rsidRDefault="002137D2" w:rsidP="002137D2">
            <w:pPr>
              <w:spacing w:after="0" w:line="240" w:lineRule="auto"/>
              <w:rPr>
                <w:rFonts w:ascii="Calibri Light" w:eastAsia="Times New Roman" w:hAnsi="Calibri Light" w:cs="Calibri Light"/>
                <w:b/>
                <w:bCs/>
                <w:color w:val="000000"/>
                <w:sz w:val="18"/>
                <w:szCs w:val="18"/>
              </w:rPr>
            </w:pPr>
          </w:p>
        </w:tc>
        <w:tc>
          <w:tcPr>
            <w:tcW w:w="800" w:type="dxa"/>
            <w:tcBorders>
              <w:top w:val="nil"/>
              <w:left w:val="nil"/>
              <w:bottom w:val="nil"/>
              <w:right w:val="single" w:sz="4" w:space="0" w:color="auto"/>
            </w:tcBorders>
            <w:shd w:val="clear" w:color="000000" w:fill="FFFFFF"/>
            <w:noWrap/>
            <w:vAlign w:val="bottom"/>
            <w:hideMark/>
          </w:tcPr>
          <w:p w14:paraId="1D547CAE" w14:textId="264EEF51"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(0.25)</w:t>
            </w:r>
          </w:p>
        </w:tc>
        <w:tc>
          <w:tcPr>
            <w:tcW w:w="1260" w:type="dxa"/>
            <w:tcBorders>
              <w:top w:val="nil"/>
              <w:left w:val="nil"/>
              <w:bottom w:val="nil"/>
              <w:right w:val="single" w:sz="4" w:space="0" w:color="auto"/>
            </w:tcBorders>
            <w:shd w:val="clear" w:color="000000" w:fill="FFFFFF"/>
            <w:noWrap/>
            <w:vAlign w:val="bottom"/>
            <w:hideMark/>
          </w:tcPr>
          <w:p w14:paraId="4D3FDCE0" w14:textId="51DE0CA1"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(0.19)</w:t>
            </w:r>
          </w:p>
        </w:tc>
        <w:tc>
          <w:tcPr>
            <w:tcW w:w="900" w:type="dxa"/>
            <w:tcBorders>
              <w:top w:val="nil"/>
              <w:left w:val="nil"/>
              <w:bottom w:val="nil"/>
              <w:right w:val="single" w:sz="4" w:space="0" w:color="auto"/>
            </w:tcBorders>
            <w:shd w:val="clear" w:color="000000" w:fill="FFFFFF"/>
            <w:noWrap/>
            <w:vAlign w:val="bottom"/>
            <w:hideMark/>
          </w:tcPr>
          <w:p w14:paraId="26096A06" w14:textId="1DA9D3C5"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(0.27)</w:t>
            </w:r>
          </w:p>
        </w:tc>
        <w:tc>
          <w:tcPr>
            <w:tcW w:w="1080" w:type="dxa"/>
            <w:tcBorders>
              <w:top w:val="nil"/>
              <w:left w:val="nil"/>
              <w:bottom w:val="nil"/>
              <w:right w:val="single" w:sz="4" w:space="0" w:color="auto"/>
            </w:tcBorders>
            <w:shd w:val="clear" w:color="000000" w:fill="FFFFFF"/>
            <w:noWrap/>
            <w:vAlign w:val="bottom"/>
            <w:hideMark/>
          </w:tcPr>
          <w:p w14:paraId="52352A31" w14:textId="5782A5F3"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(0.23)</w:t>
            </w:r>
          </w:p>
        </w:tc>
        <w:tc>
          <w:tcPr>
            <w:tcW w:w="990" w:type="dxa"/>
            <w:tcBorders>
              <w:top w:val="nil"/>
              <w:left w:val="nil"/>
              <w:bottom w:val="nil"/>
              <w:right w:val="single" w:sz="4" w:space="0" w:color="auto"/>
            </w:tcBorders>
            <w:shd w:val="clear" w:color="000000" w:fill="FFFFFF"/>
            <w:noWrap/>
            <w:vAlign w:val="bottom"/>
            <w:hideMark/>
          </w:tcPr>
          <w:p w14:paraId="5CA0749D" w14:textId="12031F99"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(0.28)</w:t>
            </w:r>
          </w:p>
        </w:tc>
        <w:tc>
          <w:tcPr>
            <w:tcW w:w="1080" w:type="dxa"/>
            <w:tcBorders>
              <w:top w:val="nil"/>
              <w:left w:val="nil"/>
              <w:bottom w:val="nil"/>
              <w:right w:val="single" w:sz="4" w:space="0" w:color="auto"/>
            </w:tcBorders>
            <w:shd w:val="clear" w:color="000000" w:fill="FFFFFF"/>
            <w:noWrap/>
            <w:vAlign w:val="bottom"/>
            <w:hideMark/>
          </w:tcPr>
          <w:p w14:paraId="12A68A92" w14:textId="5490415F"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(0.23)</w:t>
            </w:r>
          </w:p>
        </w:tc>
        <w:tc>
          <w:tcPr>
            <w:tcW w:w="981" w:type="dxa"/>
            <w:tcBorders>
              <w:top w:val="nil"/>
              <w:left w:val="nil"/>
              <w:bottom w:val="nil"/>
              <w:right w:val="single" w:sz="4" w:space="0" w:color="auto"/>
            </w:tcBorders>
            <w:shd w:val="clear" w:color="000000" w:fill="FFFFFF"/>
            <w:noWrap/>
            <w:vAlign w:val="bottom"/>
            <w:hideMark/>
          </w:tcPr>
          <w:p w14:paraId="1A1ECD39" w14:textId="5CBA7DC6"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(0.29)</w:t>
            </w:r>
          </w:p>
        </w:tc>
        <w:tc>
          <w:tcPr>
            <w:tcW w:w="1277" w:type="dxa"/>
            <w:tcBorders>
              <w:top w:val="nil"/>
              <w:left w:val="nil"/>
              <w:bottom w:val="nil"/>
              <w:right w:val="single" w:sz="4" w:space="0" w:color="auto"/>
            </w:tcBorders>
            <w:shd w:val="clear" w:color="000000" w:fill="FFFFFF"/>
            <w:noWrap/>
            <w:vAlign w:val="bottom"/>
            <w:hideMark/>
          </w:tcPr>
          <w:p w14:paraId="2AB3B071" w14:textId="08E4AF2F"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(0.25)</w:t>
            </w:r>
          </w:p>
        </w:tc>
      </w:tr>
      <w:tr w:rsidR="002137D2" w:rsidRPr="00815DA4" w14:paraId="3962C397" w14:textId="77777777" w:rsidTr="00815DA4">
        <w:trPr>
          <w:trHeight w:val="260"/>
        </w:trPr>
        <w:tc>
          <w:tcPr>
            <w:tcW w:w="2541" w:type="dxa"/>
            <w:vMerge w:val="restart"/>
            <w:tcBorders>
              <w:top w:val="nil"/>
              <w:left w:val="single" w:sz="4" w:space="0" w:color="auto"/>
              <w:bottom w:val="nil"/>
              <w:right w:val="single" w:sz="4" w:space="0" w:color="auto"/>
            </w:tcBorders>
            <w:shd w:val="clear" w:color="000000" w:fill="FFFFFF"/>
            <w:noWrap/>
            <w:vAlign w:val="center"/>
            <w:hideMark/>
          </w:tcPr>
          <w:p w14:paraId="5D7CD99D" w14:textId="77777777" w:rsidR="002137D2" w:rsidRPr="00815DA4" w:rsidRDefault="002137D2" w:rsidP="002137D2">
            <w:pPr>
              <w:spacing w:after="0" w:line="240" w:lineRule="auto"/>
              <w:rPr>
                <w:rFonts w:ascii="Calibri Light" w:eastAsia="Times New Roman" w:hAnsi="Calibri Light" w:cs="Calibri Light"/>
                <w:b/>
                <w:bCs/>
                <w:color w:val="000000"/>
                <w:sz w:val="18"/>
                <w:szCs w:val="18"/>
              </w:rPr>
            </w:pPr>
            <w:r w:rsidRPr="00815DA4">
              <w:rPr>
                <w:rFonts w:ascii="Calibri Light" w:eastAsia="Times New Roman" w:hAnsi="Calibri Light" w:cs="Calibri Light"/>
                <w:b/>
                <w:bCs/>
                <w:color w:val="000000"/>
                <w:sz w:val="18"/>
                <w:szCs w:val="18"/>
              </w:rPr>
              <w:t>Oceania</w:t>
            </w:r>
          </w:p>
        </w:tc>
        <w:tc>
          <w:tcPr>
            <w:tcW w:w="800" w:type="dxa"/>
            <w:tcBorders>
              <w:top w:val="nil"/>
              <w:left w:val="nil"/>
              <w:bottom w:val="nil"/>
              <w:right w:val="single" w:sz="4" w:space="0" w:color="auto"/>
            </w:tcBorders>
            <w:shd w:val="clear" w:color="000000" w:fill="FFFFFF"/>
            <w:noWrap/>
            <w:vAlign w:val="bottom"/>
            <w:hideMark/>
          </w:tcPr>
          <w:p w14:paraId="19B55546" w14:textId="3EF7FA47"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0.15 </w:t>
            </w:r>
          </w:p>
        </w:tc>
        <w:tc>
          <w:tcPr>
            <w:tcW w:w="1260" w:type="dxa"/>
            <w:tcBorders>
              <w:top w:val="nil"/>
              <w:left w:val="nil"/>
              <w:bottom w:val="nil"/>
              <w:right w:val="single" w:sz="4" w:space="0" w:color="auto"/>
            </w:tcBorders>
            <w:shd w:val="clear" w:color="000000" w:fill="FFFFFF"/>
            <w:noWrap/>
            <w:vAlign w:val="bottom"/>
            <w:hideMark/>
          </w:tcPr>
          <w:p w14:paraId="5C950DDC" w14:textId="78F111FD"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0.46 </w:t>
            </w:r>
          </w:p>
        </w:tc>
        <w:tc>
          <w:tcPr>
            <w:tcW w:w="900" w:type="dxa"/>
            <w:tcBorders>
              <w:top w:val="nil"/>
              <w:left w:val="nil"/>
              <w:bottom w:val="nil"/>
              <w:right w:val="single" w:sz="4" w:space="0" w:color="auto"/>
            </w:tcBorders>
            <w:shd w:val="clear" w:color="000000" w:fill="FFFFFF"/>
            <w:noWrap/>
            <w:vAlign w:val="bottom"/>
            <w:hideMark/>
          </w:tcPr>
          <w:p w14:paraId="5D4189EF" w14:textId="2570AFB4"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0.22 </w:t>
            </w:r>
          </w:p>
        </w:tc>
        <w:tc>
          <w:tcPr>
            <w:tcW w:w="1080" w:type="dxa"/>
            <w:tcBorders>
              <w:top w:val="nil"/>
              <w:left w:val="nil"/>
              <w:bottom w:val="nil"/>
              <w:right w:val="single" w:sz="4" w:space="0" w:color="auto"/>
            </w:tcBorders>
            <w:shd w:val="clear" w:color="000000" w:fill="FFFFFF"/>
            <w:noWrap/>
            <w:vAlign w:val="bottom"/>
            <w:hideMark/>
          </w:tcPr>
          <w:p w14:paraId="36558DEF" w14:textId="061EFE8E"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0.55 </w:t>
            </w:r>
          </w:p>
        </w:tc>
        <w:tc>
          <w:tcPr>
            <w:tcW w:w="990" w:type="dxa"/>
            <w:tcBorders>
              <w:top w:val="nil"/>
              <w:left w:val="nil"/>
              <w:bottom w:val="nil"/>
              <w:right w:val="single" w:sz="4" w:space="0" w:color="auto"/>
            </w:tcBorders>
            <w:shd w:val="clear" w:color="000000" w:fill="FFFFFF"/>
            <w:noWrap/>
            <w:vAlign w:val="bottom"/>
            <w:hideMark/>
          </w:tcPr>
          <w:p w14:paraId="0B32EA30" w14:textId="321AA4C8"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0.20 </w:t>
            </w:r>
          </w:p>
        </w:tc>
        <w:tc>
          <w:tcPr>
            <w:tcW w:w="1080" w:type="dxa"/>
            <w:tcBorders>
              <w:top w:val="nil"/>
              <w:left w:val="nil"/>
              <w:bottom w:val="nil"/>
              <w:right w:val="single" w:sz="4" w:space="0" w:color="auto"/>
            </w:tcBorders>
            <w:shd w:val="clear" w:color="000000" w:fill="FFFFFF"/>
            <w:noWrap/>
            <w:vAlign w:val="bottom"/>
            <w:hideMark/>
          </w:tcPr>
          <w:p w14:paraId="3B4ED72E" w14:textId="301B875E"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0.52 </w:t>
            </w:r>
          </w:p>
        </w:tc>
        <w:tc>
          <w:tcPr>
            <w:tcW w:w="981" w:type="dxa"/>
            <w:tcBorders>
              <w:top w:val="nil"/>
              <w:left w:val="nil"/>
              <w:bottom w:val="nil"/>
              <w:right w:val="single" w:sz="4" w:space="0" w:color="auto"/>
            </w:tcBorders>
            <w:shd w:val="clear" w:color="000000" w:fill="FFFFFF"/>
            <w:noWrap/>
            <w:vAlign w:val="bottom"/>
            <w:hideMark/>
          </w:tcPr>
          <w:p w14:paraId="5AA1CBD6" w14:textId="4023029B"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0.24 </w:t>
            </w:r>
          </w:p>
        </w:tc>
        <w:tc>
          <w:tcPr>
            <w:tcW w:w="1277" w:type="dxa"/>
            <w:tcBorders>
              <w:top w:val="nil"/>
              <w:left w:val="nil"/>
              <w:bottom w:val="nil"/>
              <w:right w:val="single" w:sz="4" w:space="0" w:color="auto"/>
            </w:tcBorders>
            <w:shd w:val="clear" w:color="000000" w:fill="FFFFFF"/>
            <w:noWrap/>
            <w:vAlign w:val="bottom"/>
            <w:hideMark/>
          </w:tcPr>
          <w:p w14:paraId="0C15BF91" w14:textId="044A5769"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0.56 </w:t>
            </w:r>
          </w:p>
        </w:tc>
      </w:tr>
      <w:tr w:rsidR="002137D2" w:rsidRPr="00815DA4" w14:paraId="157A524C" w14:textId="77777777" w:rsidTr="00815DA4">
        <w:trPr>
          <w:trHeight w:val="260"/>
        </w:trPr>
        <w:tc>
          <w:tcPr>
            <w:tcW w:w="2541" w:type="dxa"/>
            <w:vMerge/>
            <w:tcBorders>
              <w:top w:val="nil"/>
              <w:left w:val="single" w:sz="4" w:space="0" w:color="auto"/>
              <w:bottom w:val="nil"/>
              <w:right w:val="single" w:sz="4" w:space="0" w:color="auto"/>
            </w:tcBorders>
            <w:vAlign w:val="center"/>
            <w:hideMark/>
          </w:tcPr>
          <w:p w14:paraId="1CF64E40" w14:textId="77777777" w:rsidR="002137D2" w:rsidRPr="00815DA4" w:rsidRDefault="002137D2" w:rsidP="002137D2">
            <w:pPr>
              <w:spacing w:after="0" w:line="240" w:lineRule="auto"/>
              <w:rPr>
                <w:rFonts w:ascii="Calibri Light" w:eastAsia="Times New Roman" w:hAnsi="Calibri Light" w:cs="Calibri Light"/>
                <w:b/>
                <w:bCs/>
                <w:color w:val="000000"/>
                <w:sz w:val="18"/>
                <w:szCs w:val="18"/>
              </w:rPr>
            </w:pPr>
          </w:p>
        </w:tc>
        <w:tc>
          <w:tcPr>
            <w:tcW w:w="800" w:type="dxa"/>
            <w:tcBorders>
              <w:top w:val="nil"/>
              <w:left w:val="nil"/>
              <w:bottom w:val="nil"/>
              <w:right w:val="single" w:sz="4" w:space="0" w:color="auto"/>
            </w:tcBorders>
            <w:shd w:val="clear" w:color="000000" w:fill="FFFFFF"/>
            <w:noWrap/>
            <w:vAlign w:val="bottom"/>
            <w:hideMark/>
          </w:tcPr>
          <w:p w14:paraId="3024B149" w14:textId="5818F596"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(0.04)</w:t>
            </w:r>
          </w:p>
        </w:tc>
        <w:tc>
          <w:tcPr>
            <w:tcW w:w="1260" w:type="dxa"/>
            <w:tcBorders>
              <w:top w:val="nil"/>
              <w:left w:val="nil"/>
              <w:bottom w:val="nil"/>
              <w:right w:val="single" w:sz="4" w:space="0" w:color="auto"/>
            </w:tcBorders>
            <w:shd w:val="clear" w:color="000000" w:fill="FFFFFF"/>
            <w:noWrap/>
            <w:vAlign w:val="bottom"/>
            <w:hideMark/>
          </w:tcPr>
          <w:p w14:paraId="0AB214AA" w14:textId="19D1E4B1"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(0.01)</w:t>
            </w:r>
          </w:p>
        </w:tc>
        <w:tc>
          <w:tcPr>
            <w:tcW w:w="900" w:type="dxa"/>
            <w:tcBorders>
              <w:top w:val="nil"/>
              <w:left w:val="nil"/>
              <w:bottom w:val="nil"/>
              <w:right w:val="single" w:sz="4" w:space="0" w:color="auto"/>
            </w:tcBorders>
            <w:shd w:val="clear" w:color="000000" w:fill="FFFFFF"/>
            <w:noWrap/>
            <w:vAlign w:val="bottom"/>
            <w:hideMark/>
          </w:tcPr>
          <w:p w14:paraId="6CCF7ABF" w14:textId="21CC9F4B"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(0.02)</w:t>
            </w:r>
          </w:p>
        </w:tc>
        <w:tc>
          <w:tcPr>
            <w:tcW w:w="1080" w:type="dxa"/>
            <w:tcBorders>
              <w:top w:val="nil"/>
              <w:left w:val="nil"/>
              <w:bottom w:val="nil"/>
              <w:right w:val="single" w:sz="4" w:space="0" w:color="auto"/>
            </w:tcBorders>
            <w:shd w:val="clear" w:color="000000" w:fill="FFFFFF"/>
            <w:noWrap/>
            <w:vAlign w:val="bottom"/>
            <w:hideMark/>
          </w:tcPr>
          <w:p w14:paraId="6EA4EC0B" w14:textId="41D354D6"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(0.01)</w:t>
            </w:r>
          </w:p>
        </w:tc>
        <w:tc>
          <w:tcPr>
            <w:tcW w:w="990" w:type="dxa"/>
            <w:tcBorders>
              <w:top w:val="nil"/>
              <w:left w:val="nil"/>
              <w:bottom w:val="nil"/>
              <w:right w:val="single" w:sz="4" w:space="0" w:color="auto"/>
            </w:tcBorders>
            <w:shd w:val="clear" w:color="000000" w:fill="FFFFFF"/>
            <w:noWrap/>
            <w:vAlign w:val="bottom"/>
            <w:hideMark/>
          </w:tcPr>
          <w:p w14:paraId="4800492C" w14:textId="06EB25EC"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(0.11)</w:t>
            </w:r>
          </w:p>
        </w:tc>
        <w:tc>
          <w:tcPr>
            <w:tcW w:w="1080" w:type="dxa"/>
            <w:tcBorders>
              <w:top w:val="nil"/>
              <w:left w:val="nil"/>
              <w:bottom w:val="nil"/>
              <w:right w:val="single" w:sz="4" w:space="0" w:color="auto"/>
            </w:tcBorders>
            <w:shd w:val="clear" w:color="000000" w:fill="FFFFFF"/>
            <w:noWrap/>
            <w:vAlign w:val="bottom"/>
            <w:hideMark/>
          </w:tcPr>
          <w:p w14:paraId="4E03FB78" w14:textId="43C28F1D"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(0.09)</w:t>
            </w:r>
          </w:p>
        </w:tc>
        <w:tc>
          <w:tcPr>
            <w:tcW w:w="981" w:type="dxa"/>
            <w:tcBorders>
              <w:top w:val="nil"/>
              <w:left w:val="nil"/>
              <w:bottom w:val="nil"/>
              <w:right w:val="single" w:sz="4" w:space="0" w:color="auto"/>
            </w:tcBorders>
            <w:shd w:val="clear" w:color="000000" w:fill="FFFFFF"/>
            <w:noWrap/>
            <w:vAlign w:val="bottom"/>
            <w:hideMark/>
          </w:tcPr>
          <w:p w14:paraId="09D3064F" w14:textId="076ED64A"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(0.18)</w:t>
            </w:r>
          </w:p>
        </w:tc>
        <w:tc>
          <w:tcPr>
            <w:tcW w:w="1277" w:type="dxa"/>
            <w:tcBorders>
              <w:top w:val="nil"/>
              <w:left w:val="nil"/>
              <w:bottom w:val="nil"/>
              <w:right w:val="single" w:sz="4" w:space="0" w:color="auto"/>
            </w:tcBorders>
            <w:shd w:val="clear" w:color="000000" w:fill="FFFFFF"/>
            <w:noWrap/>
            <w:vAlign w:val="bottom"/>
            <w:hideMark/>
          </w:tcPr>
          <w:p w14:paraId="7FA5C4C2" w14:textId="508AEE67"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(0.17)</w:t>
            </w:r>
          </w:p>
        </w:tc>
      </w:tr>
      <w:tr w:rsidR="002137D2" w:rsidRPr="00815DA4" w14:paraId="19FFEF1C" w14:textId="77777777" w:rsidTr="00815DA4">
        <w:trPr>
          <w:trHeight w:val="260"/>
        </w:trPr>
        <w:tc>
          <w:tcPr>
            <w:tcW w:w="2541" w:type="dxa"/>
            <w:vMerge w:val="restart"/>
            <w:tcBorders>
              <w:top w:val="nil"/>
              <w:left w:val="single" w:sz="4" w:space="0" w:color="auto"/>
              <w:bottom w:val="nil"/>
              <w:right w:val="single" w:sz="4" w:space="0" w:color="auto"/>
            </w:tcBorders>
            <w:shd w:val="clear" w:color="000000" w:fill="FFFFFF"/>
            <w:noWrap/>
            <w:vAlign w:val="center"/>
            <w:hideMark/>
          </w:tcPr>
          <w:p w14:paraId="10B3DEFE" w14:textId="77777777" w:rsidR="002137D2" w:rsidRPr="00815DA4" w:rsidRDefault="002137D2" w:rsidP="002137D2">
            <w:pPr>
              <w:spacing w:after="0" w:line="240" w:lineRule="auto"/>
              <w:rPr>
                <w:rFonts w:ascii="Calibri Light" w:eastAsia="Times New Roman" w:hAnsi="Calibri Light" w:cs="Calibri Light"/>
                <w:b/>
                <w:bCs/>
                <w:color w:val="000000"/>
                <w:sz w:val="18"/>
                <w:szCs w:val="18"/>
              </w:rPr>
            </w:pPr>
            <w:r w:rsidRPr="00815DA4">
              <w:rPr>
                <w:rFonts w:ascii="Calibri Light" w:eastAsia="Times New Roman" w:hAnsi="Calibri Light" w:cs="Calibri Light"/>
                <w:b/>
                <w:bCs/>
                <w:color w:val="000000"/>
                <w:sz w:val="18"/>
                <w:szCs w:val="18"/>
              </w:rPr>
              <w:t>Persian Gulf Countries</w:t>
            </w:r>
          </w:p>
        </w:tc>
        <w:tc>
          <w:tcPr>
            <w:tcW w:w="800" w:type="dxa"/>
            <w:tcBorders>
              <w:top w:val="nil"/>
              <w:left w:val="nil"/>
              <w:bottom w:val="nil"/>
              <w:right w:val="single" w:sz="4" w:space="0" w:color="auto"/>
            </w:tcBorders>
            <w:shd w:val="clear" w:color="000000" w:fill="FFFFFF"/>
            <w:noWrap/>
            <w:vAlign w:val="bottom"/>
            <w:hideMark/>
          </w:tcPr>
          <w:p w14:paraId="5F7E5E49" w14:textId="06D8E5D8"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0.08 </w:t>
            </w:r>
          </w:p>
        </w:tc>
        <w:tc>
          <w:tcPr>
            <w:tcW w:w="1260" w:type="dxa"/>
            <w:tcBorders>
              <w:top w:val="nil"/>
              <w:left w:val="nil"/>
              <w:bottom w:val="nil"/>
              <w:right w:val="single" w:sz="4" w:space="0" w:color="auto"/>
            </w:tcBorders>
            <w:shd w:val="clear" w:color="000000" w:fill="FFFFFF"/>
            <w:noWrap/>
            <w:vAlign w:val="bottom"/>
            <w:hideMark/>
          </w:tcPr>
          <w:p w14:paraId="0DF3F036" w14:textId="07229336"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0.25 </w:t>
            </w:r>
          </w:p>
        </w:tc>
        <w:tc>
          <w:tcPr>
            <w:tcW w:w="900" w:type="dxa"/>
            <w:tcBorders>
              <w:top w:val="nil"/>
              <w:left w:val="nil"/>
              <w:bottom w:val="nil"/>
              <w:right w:val="single" w:sz="4" w:space="0" w:color="auto"/>
            </w:tcBorders>
            <w:shd w:val="clear" w:color="000000" w:fill="FFFFFF"/>
            <w:noWrap/>
            <w:vAlign w:val="bottom"/>
            <w:hideMark/>
          </w:tcPr>
          <w:p w14:paraId="62530B5A" w14:textId="5566D4A6"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0.11 </w:t>
            </w:r>
          </w:p>
        </w:tc>
        <w:tc>
          <w:tcPr>
            <w:tcW w:w="1080" w:type="dxa"/>
            <w:tcBorders>
              <w:top w:val="nil"/>
              <w:left w:val="nil"/>
              <w:bottom w:val="nil"/>
              <w:right w:val="single" w:sz="4" w:space="0" w:color="auto"/>
            </w:tcBorders>
            <w:shd w:val="clear" w:color="000000" w:fill="FFFFFF"/>
            <w:noWrap/>
            <w:vAlign w:val="bottom"/>
            <w:hideMark/>
          </w:tcPr>
          <w:p w14:paraId="26E75D54" w14:textId="36CE55AA"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0.34 </w:t>
            </w:r>
          </w:p>
        </w:tc>
        <w:tc>
          <w:tcPr>
            <w:tcW w:w="990" w:type="dxa"/>
            <w:tcBorders>
              <w:top w:val="nil"/>
              <w:left w:val="nil"/>
              <w:bottom w:val="nil"/>
              <w:right w:val="single" w:sz="4" w:space="0" w:color="auto"/>
            </w:tcBorders>
            <w:shd w:val="clear" w:color="000000" w:fill="FFFFFF"/>
            <w:noWrap/>
            <w:vAlign w:val="bottom"/>
            <w:hideMark/>
          </w:tcPr>
          <w:p w14:paraId="14F42CFF" w14:textId="6F156F68"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0.13 </w:t>
            </w:r>
          </w:p>
        </w:tc>
        <w:tc>
          <w:tcPr>
            <w:tcW w:w="1080" w:type="dxa"/>
            <w:tcBorders>
              <w:top w:val="nil"/>
              <w:left w:val="nil"/>
              <w:bottom w:val="nil"/>
              <w:right w:val="single" w:sz="4" w:space="0" w:color="auto"/>
            </w:tcBorders>
            <w:shd w:val="clear" w:color="000000" w:fill="FFFFFF"/>
            <w:noWrap/>
            <w:vAlign w:val="bottom"/>
            <w:hideMark/>
          </w:tcPr>
          <w:p w14:paraId="766EDF11" w14:textId="0EF8579B"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0.35 </w:t>
            </w:r>
          </w:p>
        </w:tc>
        <w:tc>
          <w:tcPr>
            <w:tcW w:w="981" w:type="dxa"/>
            <w:tcBorders>
              <w:top w:val="nil"/>
              <w:left w:val="nil"/>
              <w:bottom w:val="nil"/>
              <w:right w:val="single" w:sz="4" w:space="0" w:color="auto"/>
            </w:tcBorders>
            <w:shd w:val="clear" w:color="000000" w:fill="FFFFFF"/>
            <w:noWrap/>
            <w:vAlign w:val="bottom"/>
            <w:hideMark/>
          </w:tcPr>
          <w:p w14:paraId="1670845E" w14:textId="5129DB55"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0.13 </w:t>
            </w:r>
          </w:p>
        </w:tc>
        <w:tc>
          <w:tcPr>
            <w:tcW w:w="1277" w:type="dxa"/>
            <w:tcBorders>
              <w:top w:val="nil"/>
              <w:left w:val="nil"/>
              <w:bottom w:val="nil"/>
              <w:right w:val="single" w:sz="4" w:space="0" w:color="auto"/>
            </w:tcBorders>
            <w:shd w:val="clear" w:color="000000" w:fill="FFFFFF"/>
            <w:noWrap/>
            <w:vAlign w:val="bottom"/>
            <w:hideMark/>
          </w:tcPr>
          <w:p w14:paraId="7592C0EB" w14:textId="48BC0D8E"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0.36 </w:t>
            </w:r>
          </w:p>
        </w:tc>
      </w:tr>
      <w:tr w:rsidR="002137D2" w:rsidRPr="00815DA4" w14:paraId="139685C2" w14:textId="77777777" w:rsidTr="00815DA4">
        <w:trPr>
          <w:trHeight w:val="260"/>
        </w:trPr>
        <w:tc>
          <w:tcPr>
            <w:tcW w:w="2541" w:type="dxa"/>
            <w:vMerge/>
            <w:tcBorders>
              <w:top w:val="nil"/>
              <w:left w:val="single" w:sz="4" w:space="0" w:color="auto"/>
              <w:bottom w:val="nil"/>
              <w:right w:val="single" w:sz="4" w:space="0" w:color="auto"/>
            </w:tcBorders>
            <w:vAlign w:val="center"/>
            <w:hideMark/>
          </w:tcPr>
          <w:p w14:paraId="0A84C2D7" w14:textId="77777777" w:rsidR="002137D2" w:rsidRPr="00815DA4" w:rsidRDefault="002137D2" w:rsidP="002137D2">
            <w:pPr>
              <w:spacing w:after="0" w:line="240" w:lineRule="auto"/>
              <w:rPr>
                <w:rFonts w:ascii="Calibri Light" w:eastAsia="Times New Roman" w:hAnsi="Calibri Light" w:cs="Calibri Light"/>
                <w:b/>
                <w:bCs/>
                <w:color w:val="000000"/>
                <w:sz w:val="18"/>
                <w:szCs w:val="18"/>
              </w:rPr>
            </w:pPr>
          </w:p>
        </w:tc>
        <w:tc>
          <w:tcPr>
            <w:tcW w:w="800" w:type="dxa"/>
            <w:tcBorders>
              <w:top w:val="nil"/>
              <w:left w:val="nil"/>
              <w:bottom w:val="nil"/>
              <w:right w:val="single" w:sz="4" w:space="0" w:color="auto"/>
            </w:tcBorders>
            <w:shd w:val="clear" w:color="000000" w:fill="FFFFFF"/>
            <w:noWrap/>
            <w:vAlign w:val="bottom"/>
            <w:hideMark/>
          </w:tcPr>
          <w:p w14:paraId="22337864" w14:textId="2A7A86DA"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(0.03)</w:t>
            </w:r>
          </w:p>
        </w:tc>
        <w:tc>
          <w:tcPr>
            <w:tcW w:w="1260" w:type="dxa"/>
            <w:tcBorders>
              <w:top w:val="nil"/>
              <w:left w:val="nil"/>
              <w:bottom w:val="nil"/>
              <w:right w:val="single" w:sz="4" w:space="0" w:color="auto"/>
            </w:tcBorders>
            <w:shd w:val="clear" w:color="000000" w:fill="FFFFFF"/>
            <w:noWrap/>
            <w:vAlign w:val="bottom"/>
            <w:hideMark/>
          </w:tcPr>
          <w:p w14:paraId="2B9E5657" w14:textId="0143A250"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(0.13)</w:t>
            </w:r>
          </w:p>
        </w:tc>
        <w:tc>
          <w:tcPr>
            <w:tcW w:w="900" w:type="dxa"/>
            <w:tcBorders>
              <w:top w:val="nil"/>
              <w:left w:val="nil"/>
              <w:bottom w:val="nil"/>
              <w:right w:val="single" w:sz="4" w:space="0" w:color="auto"/>
            </w:tcBorders>
            <w:shd w:val="clear" w:color="000000" w:fill="FFFFFF"/>
            <w:noWrap/>
            <w:vAlign w:val="bottom"/>
            <w:hideMark/>
          </w:tcPr>
          <w:p w14:paraId="7463226A" w14:textId="68DF16F1"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(0.05)</w:t>
            </w:r>
          </w:p>
        </w:tc>
        <w:tc>
          <w:tcPr>
            <w:tcW w:w="1080" w:type="dxa"/>
            <w:tcBorders>
              <w:top w:val="nil"/>
              <w:left w:val="nil"/>
              <w:bottom w:val="nil"/>
              <w:right w:val="single" w:sz="4" w:space="0" w:color="auto"/>
            </w:tcBorders>
            <w:shd w:val="clear" w:color="000000" w:fill="FFFFFF"/>
            <w:noWrap/>
            <w:vAlign w:val="bottom"/>
            <w:hideMark/>
          </w:tcPr>
          <w:p w14:paraId="1A2C4268" w14:textId="367B4D84"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(0.12)</w:t>
            </w:r>
          </w:p>
        </w:tc>
        <w:tc>
          <w:tcPr>
            <w:tcW w:w="990" w:type="dxa"/>
            <w:tcBorders>
              <w:top w:val="nil"/>
              <w:left w:val="nil"/>
              <w:bottom w:val="nil"/>
              <w:right w:val="single" w:sz="4" w:space="0" w:color="auto"/>
            </w:tcBorders>
            <w:shd w:val="clear" w:color="000000" w:fill="FFFFFF"/>
            <w:noWrap/>
            <w:vAlign w:val="bottom"/>
            <w:hideMark/>
          </w:tcPr>
          <w:p w14:paraId="2EFC5A09" w14:textId="0CD6CEFA"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(0.10)</w:t>
            </w:r>
          </w:p>
        </w:tc>
        <w:tc>
          <w:tcPr>
            <w:tcW w:w="1080" w:type="dxa"/>
            <w:tcBorders>
              <w:top w:val="nil"/>
              <w:left w:val="nil"/>
              <w:bottom w:val="nil"/>
              <w:right w:val="single" w:sz="4" w:space="0" w:color="auto"/>
            </w:tcBorders>
            <w:shd w:val="clear" w:color="000000" w:fill="FFFFFF"/>
            <w:noWrap/>
            <w:vAlign w:val="bottom"/>
            <w:hideMark/>
          </w:tcPr>
          <w:p w14:paraId="2216E556" w14:textId="4C706817"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(0.16)</w:t>
            </w:r>
          </w:p>
        </w:tc>
        <w:tc>
          <w:tcPr>
            <w:tcW w:w="981" w:type="dxa"/>
            <w:tcBorders>
              <w:top w:val="nil"/>
              <w:left w:val="nil"/>
              <w:bottom w:val="nil"/>
              <w:right w:val="single" w:sz="4" w:space="0" w:color="auto"/>
            </w:tcBorders>
            <w:shd w:val="clear" w:color="000000" w:fill="FFFFFF"/>
            <w:noWrap/>
            <w:vAlign w:val="bottom"/>
            <w:hideMark/>
          </w:tcPr>
          <w:p w14:paraId="6368D474" w14:textId="747F91C4"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(0.09)</w:t>
            </w:r>
          </w:p>
        </w:tc>
        <w:tc>
          <w:tcPr>
            <w:tcW w:w="1277" w:type="dxa"/>
            <w:tcBorders>
              <w:top w:val="nil"/>
              <w:left w:val="nil"/>
              <w:bottom w:val="nil"/>
              <w:right w:val="single" w:sz="4" w:space="0" w:color="auto"/>
            </w:tcBorders>
            <w:shd w:val="clear" w:color="000000" w:fill="FFFFFF"/>
            <w:noWrap/>
            <w:vAlign w:val="bottom"/>
            <w:hideMark/>
          </w:tcPr>
          <w:p w14:paraId="47AB5988" w14:textId="149DB3E6"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(0.14)</w:t>
            </w:r>
          </w:p>
        </w:tc>
      </w:tr>
      <w:tr w:rsidR="002137D2" w:rsidRPr="00815DA4" w14:paraId="0EA394D2" w14:textId="77777777" w:rsidTr="00815DA4">
        <w:trPr>
          <w:trHeight w:val="260"/>
        </w:trPr>
        <w:tc>
          <w:tcPr>
            <w:tcW w:w="2541" w:type="dxa"/>
            <w:vMerge w:val="restart"/>
            <w:tcBorders>
              <w:top w:val="nil"/>
              <w:left w:val="single" w:sz="4" w:space="0" w:color="auto"/>
              <w:bottom w:val="nil"/>
              <w:right w:val="single" w:sz="4" w:space="0" w:color="auto"/>
            </w:tcBorders>
            <w:shd w:val="clear" w:color="000000" w:fill="FFFFFF"/>
            <w:noWrap/>
            <w:vAlign w:val="center"/>
            <w:hideMark/>
          </w:tcPr>
          <w:p w14:paraId="109624AB" w14:textId="77777777" w:rsidR="002137D2" w:rsidRPr="00815DA4" w:rsidRDefault="002137D2" w:rsidP="002137D2">
            <w:pPr>
              <w:spacing w:after="0" w:line="240" w:lineRule="auto"/>
              <w:rPr>
                <w:rFonts w:ascii="Calibri Light" w:eastAsia="Times New Roman" w:hAnsi="Calibri Light" w:cs="Calibri Light"/>
                <w:b/>
                <w:bCs/>
                <w:color w:val="000000"/>
                <w:sz w:val="18"/>
                <w:szCs w:val="18"/>
              </w:rPr>
            </w:pPr>
            <w:r w:rsidRPr="00815DA4">
              <w:rPr>
                <w:rFonts w:ascii="Calibri Light" w:eastAsia="Times New Roman" w:hAnsi="Calibri Light" w:cs="Calibri Light"/>
                <w:b/>
                <w:bCs/>
                <w:color w:val="000000"/>
                <w:sz w:val="18"/>
                <w:szCs w:val="18"/>
              </w:rPr>
              <w:t>South Asia</w:t>
            </w:r>
          </w:p>
        </w:tc>
        <w:tc>
          <w:tcPr>
            <w:tcW w:w="800" w:type="dxa"/>
            <w:tcBorders>
              <w:top w:val="nil"/>
              <w:left w:val="nil"/>
              <w:bottom w:val="nil"/>
              <w:right w:val="single" w:sz="4" w:space="0" w:color="auto"/>
            </w:tcBorders>
            <w:shd w:val="clear" w:color="000000" w:fill="FFFFFF"/>
            <w:noWrap/>
            <w:vAlign w:val="bottom"/>
            <w:hideMark/>
          </w:tcPr>
          <w:p w14:paraId="6B0968A5" w14:textId="2787F7B0"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0.32 </w:t>
            </w:r>
          </w:p>
        </w:tc>
        <w:tc>
          <w:tcPr>
            <w:tcW w:w="1260" w:type="dxa"/>
            <w:tcBorders>
              <w:top w:val="nil"/>
              <w:left w:val="nil"/>
              <w:bottom w:val="nil"/>
              <w:right w:val="single" w:sz="4" w:space="0" w:color="auto"/>
            </w:tcBorders>
            <w:shd w:val="clear" w:color="000000" w:fill="FFFFFF"/>
            <w:noWrap/>
            <w:vAlign w:val="bottom"/>
            <w:hideMark/>
          </w:tcPr>
          <w:p w14:paraId="63006871" w14:textId="7ED6F525"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0.64 </w:t>
            </w:r>
          </w:p>
        </w:tc>
        <w:tc>
          <w:tcPr>
            <w:tcW w:w="900" w:type="dxa"/>
            <w:tcBorders>
              <w:top w:val="nil"/>
              <w:left w:val="nil"/>
              <w:bottom w:val="nil"/>
              <w:right w:val="single" w:sz="4" w:space="0" w:color="auto"/>
            </w:tcBorders>
            <w:shd w:val="clear" w:color="000000" w:fill="FFFFFF"/>
            <w:noWrap/>
            <w:vAlign w:val="bottom"/>
            <w:hideMark/>
          </w:tcPr>
          <w:p w14:paraId="21B3A379" w14:textId="44D3E71B"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0.35 </w:t>
            </w:r>
          </w:p>
        </w:tc>
        <w:tc>
          <w:tcPr>
            <w:tcW w:w="1080" w:type="dxa"/>
            <w:tcBorders>
              <w:top w:val="nil"/>
              <w:left w:val="nil"/>
              <w:bottom w:val="nil"/>
              <w:right w:val="single" w:sz="4" w:space="0" w:color="auto"/>
            </w:tcBorders>
            <w:shd w:val="clear" w:color="000000" w:fill="FFFFFF"/>
            <w:noWrap/>
            <w:vAlign w:val="bottom"/>
            <w:hideMark/>
          </w:tcPr>
          <w:p w14:paraId="03932C6E" w14:textId="46B6A78A"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0.65 </w:t>
            </w:r>
          </w:p>
        </w:tc>
        <w:tc>
          <w:tcPr>
            <w:tcW w:w="990" w:type="dxa"/>
            <w:tcBorders>
              <w:top w:val="nil"/>
              <w:left w:val="nil"/>
              <w:bottom w:val="nil"/>
              <w:right w:val="single" w:sz="4" w:space="0" w:color="auto"/>
            </w:tcBorders>
            <w:shd w:val="clear" w:color="000000" w:fill="FFFFFF"/>
            <w:noWrap/>
            <w:vAlign w:val="bottom"/>
            <w:hideMark/>
          </w:tcPr>
          <w:p w14:paraId="401C38C6" w14:textId="65DC861F"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0.36 </w:t>
            </w:r>
          </w:p>
        </w:tc>
        <w:tc>
          <w:tcPr>
            <w:tcW w:w="1080" w:type="dxa"/>
            <w:tcBorders>
              <w:top w:val="nil"/>
              <w:left w:val="nil"/>
              <w:bottom w:val="nil"/>
              <w:right w:val="single" w:sz="4" w:space="0" w:color="auto"/>
            </w:tcBorders>
            <w:shd w:val="clear" w:color="000000" w:fill="FFFFFF"/>
            <w:noWrap/>
            <w:vAlign w:val="bottom"/>
            <w:hideMark/>
          </w:tcPr>
          <w:p w14:paraId="15BAE258" w14:textId="4FAEC9B5"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0.66 </w:t>
            </w:r>
          </w:p>
        </w:tc>
        <w:tc>
          <w:tcPr>
            <w:tcW w:w="981" w:type="dxa"/>
            <w:tcBorders>
              <w:top w:val="nil"/>
              <w:left w:val="nil"/>
              <w:bottom w:val="nil"/>
              <w:right w:val="single" w:sz="4" w:space="0" w:color="auto"/>
            </w:tcBorders>
            <w:shd w:val="clear" w:color="000000" w:fill="FFFFFF"/>
            <w:noWrap/>
            <w:vAlign w:val="bottom"/>
            <w:hideMark/>
          </w:tcPr>
          <w:p w14:paraId="3D89F85A" w14:textId="79BB7954"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0.40 </w:t>
            </w:r>
          </w:p>
        </w:tc>
        <w:tc>
          <w:tcPr>
            <w:tcW w:w="1277" w:type="dxa"/>
            <w:tcBorders>
              <w:top w:val="nil"/>
              <w:left w:val="nil"/>
              <w:bottom w:val="nil"/>
              <w:right w:val="single" w:sz="4" w:space="0" w:color="auto"/>
            </w:tcBorders>
            <w:shd w:val="clear" w:color="000000" w:fill="FFFFFF"/>
            <w:noWrap/>
            <w:vAlign w:val="bottom"/>
            <w:hideMark/>
          </w:tcPr>
          <w:p w14:paraId="710958E1" w14:textId="7FA14D3B"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0.71 </w:t>
            </w:r>
          </w:p>
        </w:tc>
      </w:tr>
      <w:tr w:rsidR="002137D2" w:rsidRPr="00815DA4" w14:paraId="3125E7C1" w14:textId="77777777" w:rsidTr="00815DA4">
        <w:trPr>
          <w:trHeight w:val="260"/>
        </w:trPr>
        <w:tc>
          <w:tcPr>
            <w:tcW w:w="2541" w:type="dxa"/>
            <w:vMerge/>
            <w:tcBorders>
              <w:top w:val="nil"/>
              <w:left w:val="single" w:sz="4" w:space="0" w:color="auto"/>
              <w:bottom w:val="nil"/>
              <w:right w:val="single" w:sz="4" w:space="0" w:color="auto"/>
            </w:tcBorders>
            <w:vAlign w:val="center"/>
            <w:hideMark/>
          </w:tcPr>
          <w:p w14:paraId="3490F11D" w14:textId="77777777" w:rsidR="002137D2" w:rsidRPr="00815DA4" w:rsidRDefault="002137D2" w:rsidP="002137D2">
            <w:pPr>
              <w:spacing w:after="0" w:line="240" w:lineRule="auto"/>
              <w:rPr>
                <w:rFonts w:ascii="Calibri Light" w:eastAsia="Times New Roman" w:hAnsi="Calibri Light" w:cs="Calibri Light"/>
                <w:b/>
                <w:bCs/>
                <w:color w:val="000000"/>
                <w:sz w:val="18"/>
                <w:szCs w:val="18"/>
              </w:rPr>
            </w:pPr>
          </w:p>
        </w:tc>
        <w:tc>
          <w:tcPr>
            <w:tcW w:w="800" w:type="dxa"/>
            <w:tcBorders>
              <w:top w:val="nil"/>
              <w:left w:val="nil"/>
              <w:bottom w:val="nil"/>
              <w:right w:val="single" w:sz="4" w:space="0" w:color="auto"/>
            </w:tcBorders>
            <w:shd w:val="clear" w:color="000000" w:fill="FFFFFF"/>
            <w:noWrap/>
            <w:vAlign w:val="bottom"/>
            <w:hideMark/>
          </w:tcPr>
          <w:p w14:paraId="377EC18C" w14:textId="6D1B3ECB"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(0.23)</w:t>
            </w:r>
          </w:p>
        </w:tc>
        <w:tc>
          <w:tcPr>
            <w:tcW w:w="1260" w:type="dxa"/>
            <w:tcBorders>
              <w:top w:val="nil"/>
              <w:left w:val="nil"/>
              <w:bottom w:val="nil"/>
              <w:right w:val="single" w:sz="4" w:space="0" w:color="auto"/>
            </w:tcBorders>
            <w:shd w:val="clear" w:color="000000" w:fill="FFFFFF"/>
            <w:noWrap/>
            <w:vAlign w:val="bottom"/>
            <w:hideMark/>
          </w:tcPr>
          <w:p w14:paraId="14D3F3CD" w14:textId="706B1DFE"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(0.23)</w:t>
            </w:r>
          </w:p>
        </w:tc>
        <w:tc>
          <w:tcPr>
            <w:tcW w:w="900" w:type="dxa"/>
            <w:tcBorders>
              <w:top w:val="nil"/>
              <w:left w:val="nil"/>
              <w:bottom w:val="nil"/>
              <w:right w:val="single" w:sz="4" w:space="0" w:color="auto"/>
            </w:tcBorders>
            <w:shd w:val="clear" w:color="000000" w:fill="FFFFFF"/>
            <w:noWrap/>
            <w:vAlign w:val="bottom"/>
            <w:hideMark/>
          </w:tcPr>
          <w:p w14:paraId="223CAE15" w14:textId="08757E5A"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(0.22)</w:t>
            </w:r>
          </w:p>
        </w:tc>
        <w:tc>
          <w:tcPr>
            <w:tcW w:w="1080" w:type="dxa"/>
            <w:tcBorders>
              <w:top w:val="nil"/>
              <w:left w:val="nil"/>
              <w:bottom w:val="nil"/>
              <w:right w:val="single" w:sz="4" w:space="0" w:color="auto"/>
            </w:tcBorders>
            <w:shd w:val="clear" w:color="000000" w:fill="FFFFFF"/>
            <w:noWrap/>
            <w:vAlign w:val="bottom"/>
            <w:hideMark/>
          </w:tcPr>
          <w:p w14:paraId="0CEF0E5C" w14:textId="387604C1"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(0.20)</w:t>
            </w:r>
          </w:p>
        </w:tc>
        <w:tc>
          <w:tcPr>
            <w:tcW w:w="990" w:type="dxa"/>
            <w:tcBorders>
              <w:top w:val="nil"/>
              <w:left w:val="nil"/>
              <w:bottom w:val="nil"/>
              <w:right w:val="single" w:sz="4" w:space="0" w:color="auto"/>
            </w:tcBorders>
            <w:shd w:val="clear" w:color="000000" w:fill="FFFFFF"/>
            <w:noWrap/>
            <w:vAlign w:val="bottom"/>
            <w:hideMark/>
          </w:tcPr>
          <w:p w14:paraId="4A0691C6" w14:textId="1F21ECD7"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(0.24)</w:t>
            </w:r>
          </w:p>
        </w:tc>
        <w:tc>
          <w:tcPr>
            <w:tcW w:w="1080" w:type="dxa"/>
            <w:tcBorders>
              <w:top w:val="nil"/>
              <w:left w:val="nil"/>
              <w:bottom w:val="nil"/>
              <w:right w:val="single" w:sz="4" w:space="0" w:color="auto"/>
            </w:tcBorders>
            <w:shd w:val="clear" w:color="000000" w:fill="FFFFFF"/>
            <w:noWrap/>
            <w:vAlign w:val="bottom"/>
            <w:hideMark/>
          </w:tcPr>
          <w:p w14:paraId="7913352A" w14:textId="37DB5DCA"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(0.21)</w:t>
            </w:r>
          </w:p>
        </w:tc>
        <w:tc>
          <w:tcPr>
            <w:tcW w:w="981" w:type="dxa"/>
            <w:tcBorders>
              <w:top w:val="nil"/>
              <w:left w:val="nil"/>
              <w:bottom w:val="nil"/>
              <w:right w:val="single" w:sz="4" w:space="0" w:color="auto"/>
            </w:tcBorders>
            <w:shd w:val="clear" w:color="000000" w:fill="FFFFFF"/>
            <w:noWrap/>
            <w:vAlign w:val="bottom"/>
            <w:hideMark/>
          </w:tcPr>
          <w:p w14:paraId="70EB7D19" w14:textId="1363D731"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(0.22)</w:t>
            </w:r>
          </w:p>
        </w:tc>
        <w:tc>
          <w:tcPr>
            <w:tcW w:w="1277" w:type="dxa"/>
            <w:tcBorders>
              <w:top w:val="nil"/>
              <w:left w:val="nil"/>
              <w:bottom w:val="nil"/>
              <w:right w:val="single" w:sz="4" w:space="0" w:color="auto"/>
            </w:tcBorders>
            <w:shd w:val="clear" w:color="000000" w:fill="FFFFFF"/>
            <w:noWrap/>
            <w:vAlign w:val="bottom"/>
            <w:hideMark/>
          </w:tcPr>
          <w:p w14:paraId="152B1734" w14:textId="434E4165"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(0.15)</w:t>
            </w:r>
          </w:p>
        </w:tc>
      </w:tr>
      <w:tr w:rsidR="002137D2" w:rsidRPr="00815DA4" w14:paraId="1AD06DB9" w14:textId="77777777" w:rsidTr="00815DA4">
        <w:trPr>
          <w:trHeight w:val="260"/>
        </w:trPr>
        <w:tc>
          <w:tcPr>
            <w:tcW w:w="2541" w:type="dxa"/>
            <w:vMerge w:val="restart"/>
            <w:tcBorders>
              <w:top w:val="nil"/>
              <w:left w:val="single" w:sz="4" w:space="0" w:color="auto"/>
              <w:bottom w:val="nil"/>
              <w:right w:val="single" w:sz="4" w:space="0" w:color="auto"/>
            </w:tcBorders>
            <w:shd w:val="clear" w:color="000000" w:fill="FFFFFF"/>
            <w:noWrap/>
            <w:vAlign w:val="center"/>
            <w:hideMark/>
          </w:tcPr>
          <w:p w14:paraId="1638A3FE" w14:textId="77777777" w:rsidR="002137D2" w:rsidRPr="00815DA4" w:rsidRDefault="002137D2" w:rsidP="002137D2">
            <w:pPr>
              <w:spacing w:after="0" w:line="240" w:lineRule="auto"/>
              <w:rPr>
                <w:rFonts w:ascii="Calibri Light" w:eastAsia="Times New Roman" w:hAnsi="Calibri Light" w:cs="Calibri Light"/>
                <w:b/>
                <w:bCs/>
                <w:color w:val="000000"/>
                <w:sz w:val="18"/>
                <w:szCs w:val="18"/>
              </w:rPr>
            </w:pPr>
            <w:r w:rsidRPr="00815DA4">
              <w:rPr>
                <w:rFonts w:ascii="Calibri Light" w:eastAsia="Times New Roman" w:hAnsi="Calibri Light" w:cs="Calibri Light"/>
                <w:b/>
                <w:bCs/>
                <w:color w:val="000000"/>
                <w:sz w:val="18"/>
                <w:szCs w:val="18"/>
              </w:rPr>
              <w:t>West and Central Asia</w:t>
            </w:r>
          </w:p>
        </w:tc>
        <w:tc>
          <w:tcPr>
            <w:tcW w:w="800" w:type="dxa"/>
            <w:tcBorders>
              <w:top w:val="nil"/>
              <w:left w:val="nil"/>
              <w:bottom w:val="nil"/>
              <w:right w:val="single" w:sz="4" w:space="0" w:color="auto"/>
            </w:tcBorders>
            <w:shd w:val="clear" w:color="000000" w:fill="FFFFFF"/>
            <w:noWrap/>
            <w:vAlign w:val="bottom"/>
            <w:hideMark/>
          </w:tcPr>
          <w:p w14:paraId="15F808B0" w14:textId="3AB435F9"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0.36 </w:t>
            </w:r>
          </w:p>
        </w:tc>
        <w:tc>
          <w:tcPr>
            <w:tcW w:w="1260" w:type="dxa"/>
            <w:tcBorders>
              <w:top w:val="nil"/>
              <w:left w:val="nil"/>
              <w:bottom w:val="nil"/>
              <w:right w:val="single" w:sz="4" w:space="0" w:color="auto"/>
            </w:tcBorders>
            <w:shd w:val="clear" w:color="000000" w:fill="FFFFFF"/>
            <w:noWrap/>
            <w:vAlign w:val="bottom"/>
            <w:hideMark/>
          </w:tcPr>
          <w:p w14:paraId="6772115D" w14:textId="1BE157A5"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0.55 </w:t>
            </w:r>
          </w:p>
        </w:tc>
        <w:tc>
          <w:tcPr>
            <w:tcW w:w="900" w:type="dxa"/>
            <w:tcBorders>
              <w:top w:val="nil"/>
              <w:left w:val="nil"/>
              <w:bottom w:val="nil"/>
              <w:right w:val="single" w:sz="4" w:space="0" w:color="auto"/>
            </w:tcBorders>
            <w:shd w:val="clear" w:color="000000" w:fill="FFFFFF"/>
            <w:noWrap/>
            <w:vAlign w:val="bottom"/>
            <w:hideMark/>
          </w:tcPr>
          <w:p w14:paraId="1E111D4A" w14:textId="34898ED0"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0.47 </w:t>
            </w:r>
          </w:p>
        </w:tc>
        <w:tc>
          <w:tcPr>
            <w:tcW w:w="1080" w:type="dxa"/>
            <w:tcBorders>
              <w:top w:val="nil"/>
              <w:left w:val="nil"/>
              <w:bottom w:val="nil"/>
              <w:right w:val="single" w:sz="4" w:space="0" w:color="auto"/>
            </w:tcBorders>
            <w:shd w:val="clear" w:color="000000" w:fill="FFFFFF"/>
            <w:noWrap/>
            <w:vAlign w:val="bottom"/>
            <w:hideMark/>
          </w:tcPr>
          <w:p w14:paraId="119D6711" w14:textId="42CB4ECC"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0.63 </w:t>
            </w:r>
          </w:p>
        </w:tc>
        <w:tc>
          <w:tcPr>
            <w:tcW w:w="990" w:type="dxa"/>
            <w:tcBorders>
              <w:top w:val="nil"/>
              <w:left w:val="nil"/>
              <w:bottom w:val="nil"/>
              <w:right w:val="single" w:sz="4" w:space="0" w:color="auto"/>
            </w:tcBorders>
            <w:shd w:val="clear" w:color="000000" w:fill="FFFFFF"/>
            <w:noWrap/>
            <w:vAlign w:val="bottom"/>
            <w:hideMark/>
          </w:tcPr>
          <w:p w14:paraId="5E87C014" w14:textId="2790DEA4"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0.45 </w:t>
            </w:r>
          </w:p>
        </w:tc>
        <w:tc>
          <w:tcPr>
            <w:tcW w:w="1080" w:type="dxa"/>
            <w:tcBorders>
              <w:top w:val="nil"/>
              <w:left w:val="nil"/>
              <w:bottom w:val="nil"/>
              <w:right w:val="single" w:sz="4" w:space="0" w:color="auto"/>
            </w:tcBorders>
            <w:shd w:val="clear" w:color="000000" w:fill="FFFFFF"/>
            <w:noWrap/>
            <w:vAlign w:val="bottom"/>
            <w:hideMark/>
          </w:tcPr>
          <w:p w14:paraId="18E0B55B" w14:textId="2AE4146D"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0.61 </w:t>
            </w:r>
          </w:p>
        </w:tc>
        <w:tc>
          <w:tcPr>
            <w:tcW w:w="981" w:type="dxa"/>
            <w:tcBorders>
              <w:top w:val="nil"/>
              <w:left w:val="nil"/>
              <w:bottom w:val="nil"/>
              <w:right w:val="single" w:sz="4" w:space="0" w:color="auto"/>
            </w:tcBorders>
            <w:shd w:val="clear" w:color="000000" w:fill="FFFFFF"/>
            <w:noWrap/>
            <w:vAlign w:val="bottom"/>
            <w:hideMark/>
          </w:tcPr>
          <w:p w14:paraId="7F9A21B9" w14:textId="43A67716"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0.45 </w:t>
            </w:r>
          </w:p>
        </w:tc>
        <w:tc>
          <w:tcPr>
            <w:tcW w:w="1277" w:type="dxa"/>
            <w:tcBorders>
              <w:top w:val="nil"/>
              <w:left w:val="nil"/>
              <w:bottom w:val="nil"/>
              <w:right w:val="single" w:sz="4" w:space="0" w:color="auto"/>
            </w:tcBorders>
            <w:shd w:val="clear" w:color="000000" w:fill="FFFFFF"/>
            <w:noWrap/>
            <w:vAlign w:val="bottom"/>
            <w:hideMark/>
          </w:tcPr>
          <w:p w14:paraId="570CA2DA" w14:textId="224A5ABA"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0.63 </w:t>
            </w:r>
          </w:p>
        </w:tc>
      </w:tr>
      <w:tr w:rsidR="002137D2" w:rsidRPr="00815DA4" w14:paraId="4E5E38A3" w14:textId="77777777" w:rsidTr="00815DA4">
        <w:trPr>
          <w:trHeight w:val="260"/>
        </w:trPr>
        <w:tc>
          <w:tcPr>
            <w:tcW w:w="2541" w:type="dxa"/>
            <w:vMerge/>
            <w:tcBorders>
              <w:top w:val="nil"/>
              <w:left w:val="single" w:sz="4" w:space="0" w:color="auto"/>
              <w:bottom w:val="nil"/>
              <w:right w:val="single" w:sz="4" w:space="0" w:color="auto"/>
            </w:tcBorders>
            <w:vAlign w:val="center"/>
            <w:hideMark/>
          </w:tcPr>
          <w:p w14:paraId="490E1498" w14:textId="77777777" w:rsidR="002137D2" w:rsidRPr="00815DA4" w:rsidRDefault="002137D2" w:rsidP="002137D2">
            <w:pPr>
              <w:spacing w:after="0" w:line="240" w:lineRule="auto"/>
              <w:rPr>
                <w:rFonts w:ascii="Calibri Light" w:eastAsia="Times New Roman" w:hAnsi="Calibri Light" w:cs="Calibri Light"/>
                <w:b/>
                <w:bCs/>
                <w:color w:val="000000"/>
                <w:sz w:val="18"/>
                <w:szCs w:val="18"/>
              </w:rPr>
            </w:pPr>
          </w:p>
        </w:tc>
        <w:tc>
          <w:tcPr>
            <w:tcW w:w="800" w:type="dxa"/>
            <w:tcBorders>
              <w:top w:val="nil"/>
              <w:left w:val="nil"/>
              <w:bottom w:val="nil"/>
              <w:right w:val="single" w:sz="4" w:space="0" w:color="auto"/>
            </w:tcBorders>
            <w:shd w:val="clear" w:color="000000" w:fill="FFFFFF"/>
            <w:noWrap/>
            <w:vAlign w:val="bottom"/>
            <w:hideMark/>
          </w:tcPr>
          <w:p w14:paraId="3C38E283" w14:textId="75C12B68"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(0.29)</w:t>
            </w:r>
          </w:p>
        </w:tc>
        <w:tc>
          <w:tcPr>
            <w:tcW w:w="1260" w:type="dxa"/>
            <w:tcBorders>
              <w:top w:val="nil"/>
              <w:left w:val="nil"/>
              <w:bottom w:val="nil"/>
              <w:right w:val="single" w:sz="4" w:space="0" w:color="auto"/>
            </w:tcBorders>
            <w:shd w:val="clear" w:color="000000" w:fill="FFFFFF"/>
            <w:noWrap/>
            <w:vAlign w:val="bottom"/>
            <w:hideMark/>
          </w:tcPr>
          <w:p w14:paraId="6D568684" w14:textId="58FFBA96"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(0.32)</w:t>
            </w:r>
          </w:p>
        </w:tc>
        <w:tc>
          <w:tcPr>
            <w:tcW w:w="900" w:type="dxa"/>
            <w:tcBorders>
              <w:top w:val="nil"/>
              <w:left w:val="nil"/>
              <w:bottom w:val="nil"/>
              <w:right w:val="single" w:sz="4" w:space="0" w:color="auto"/>
            </w:tcBorders>
            <w:shd w:val="clear" w:color="000000" w:fill="FFFFFF"/>
            <w:noWrap/>
            <w:vAlign w:val="bottom"/>
            <w:hideMark/>
          </w:tcPr>
          <w:p w14:paraId="2B73685F" w14:textId="29E96C63"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(0.31)</w:t>
            </w:r>
          </w:p>
        </w:tc>
        <w:tc>
          <w:tcPr>
            <w:tcW w:w="1080" w:type="dxa"/>
            <w:tcBorders>
              <w:top w:val="nil"/>
              <w:left w:val="nil"/>
              <w:bottom w:val="nil"/>
              <w:right w:val="single" w:sz="4" w:space="0" w:color="auto"/>
            </w:tcBorders>
            <w:shd w:val="clear" w:color="000000" w:fill="FFFFFF"/>
            <w:noWrap/>
            <w:vAlign w:val="bottom"/>
            <w:hideMark/>
          </w:tcPr>
          <w:p w14:paraId="0577C614" w14:textId="5EAF4C9B"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(0.29)</w:t>
            </w:r>
          </w:p>
        </w:tc>
        <w:tc>
          <w:tcPr>
            <w:tcW w:w="990" w:type="dxa"/>
            <w:tcBorders>
              <w:top w:val="nil"/>
              <w:left w:val="nil"/>
              <w:bottom w:val="nil"/>
              <w:right w:val="single" w:sz="4" w:space="0" w:color="auto"/>
            </w:tcBorders>
            <w:shd w:val="clear" w:color="000000" w:fill="FFFFFF"/>
            <w:noWrap/>
            <w:vAlign w:val="bottom"/>
            <w:hideMark/>
          </w:tcPr>
          <w:p w14:paraId="5EF69E44" w14:textId="49D028DF"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(0.32)</w:t>
            </w:r>
          </w:p>
        </w:tc>
        <w:tc>
          <w:tcPr>
            <w:tcW w:w="1080" w:type="dxa"/>
            <w:tcBorders>
              <w:top w:val="nil"/>
              <w:left w:val="nil"/>
              <w:bottom w:val="nil"/>
              <w:right w:val="single" w:sz="4" w:space="0" w:color="auto"/>
            </w:tcBorders>
            <w:shd w:val="clear" w:color="000000" w:fill="FFFFFF"/>
            <w:noWrap/>
            <w:vAlign w:val="bottom"/>
            <w:hideMark/>
          </w:tcPr>
          <w:p w14:paraId="36228EF7" w14:textId="54140CF8"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(0.29)</w:t>
            </w:r>
          </w:p>
        </w:tc>
        <w:tc>
          <w:tcPr>
            <w:tcW w:w="981" w:type="dxa"/>
            <w:tcBorders>
              <w:top w:val="nil"/>
              <w:left w:val="nil"/>
              <w:bottom w:val="nil"/>
              <w:right w:val="single" w:sz="4" w:space="0" w:color="auto"/>
            </w:tcBorders>
            <w:shd w:val="clear" w:color="000000" w:fill="FFFFFF"/>
            <w:noWrap/>
            <w:vAlign w:val="bottom"/>
            <w:hideMark/>
          </w:tcPr>
          <w:p w14:paraId="66D361A9" w14:textId="2E025E84"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(0.30)</w:t>
            </w:r>
          </w:p>
        </w:tc>
        <w:tc>
          <w:tcPr>
            <w:tcW w:w="1277" w:type="dxa"/>
            <w:tcBorders>
              <w:top w:val="nil"/>
              <w:left w:val="nil"/>
              <w:bottom w:val="nil"/>
              <w:right w:val="single" w:sz="4" w:space="0" w:color="auto"/>
            </w:tcBorders>
            <w:shd w:val="clear" w:color="000000" w:fill="FFFFFF"/>
            <w:noWrap/>
            <w:vAlign w:val="bottom"/>
            <w:hideMark/>
          </w:tcPr>
          <w:p w14:paraId="5656789E" w14:textId="4A81BE38"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(0.27)</w:t>
            </w:r>
          </w:p>
        </w:tc>
      </w:tr>
      <w:tr w:rsidR="002137D2" w:rsidRPr="00815DA4" w14:paraId="6FBCB64E" w14:textId="77777777" w:rsidTr="00815DA4">
        <w:trPr>
          <w:trHeight w:val="260"/>
        </w:trPr>
        <w:tc>
          <w:tcPr>
            <w:tcW w:w="2541" w:type="dxa"/>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14:paraId="0FAFACFE" w14:textId="77777777" w:rsidR="002137D2" w:rsidRPr="00815DA4" w:rsidRDefault="002137D2" w:rsidP="002137D2">
            <w:pPr>
              <w:spacing w:after="0" w:line="240" w:lineRule="auto"/>
              <w:rPr>
                <w:rFonts w:ascii="Calibri Light" w:eastAsia="Times New Roman" w:hAnsi="Calibri Light" w:cs="Calibri Light"/>
                <w:b/>
                <w:bCs/>
                <w:color w:val="000000"/>
                <w:sz w:val="18"/>
                <w:szCs w:val="18"/>
              </w:rPr>
            </w:pPr>
            <w:r w:rsidRPr="00815DA4">
              <w:rPr>
                <w:rFonts w:ascii="Calibri Light" w:eastAsia="Times New Roman" w:hAnsi="Calibri Light" w:cs="Calibri Light"/>
                <w:b/>
                <w:bCs/>
                <w:color w:val="000000"/>
                <w:sz w:val="18"/>
                <w:szCs w:val="18"/>
              </w:rPr>
              <w:t>World</w:t>
            </w:r>
          </w:p>
        </w:tc>
        <w:tc>
          <w:tcPr>
            <w:tcW w:w="800" w:type="dxa"/>
            <w:tcBorders>
              <w:top w:val="single" w:sz="4" w:space="0" w:color="auto"/>
              <w:left w:val="nil"/>
              <w:bottom w:val="nil"/>
              <w:right w:val="single" w:sz="4" w:space="0" w:color="auto"/>
            </w:tcBorders>
            <w:shd w:val="clear" w:color="000000" w:fill="FFFFFF"/>
            <w:noWrap/>
            <w:vAlign w:val="bottom"/>
            <w:hideMark/>
          </w:tcPr>
          <w:p w14:paraId="618C55B4" w14:textId="22466637"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0.39 </w:t>
            </w:r>
          </w:p>
        </w:tc>
        <w:tc>
          <w:tcPr>
            <w:tcW w:w="1260" w:type="dxa"/>
            <w:tcBorders>
              <w:top w:val="single" w:sz="4" w:space="0" w:color="auto"/>
              <w:left w:val="nil"/>
              <w:bottom w:val="nil"/>
              <w:right w:val="single" w:sz="4" w:space="0" w:color="auto"/>
            </w:tcBorders>
            <w:shd w:val="clear" w:color="000000" w:fill="FFFFFF"/>
            <w:noWrap/>
            <w:vAlign w:val="bottom"/>
            <w:hideMark/>
          </w:tcPr>
          <w:p w14:paraId="5FC0B487" w14:textId="0ECB46DD"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0.61 </w:t>
            </w:r>
          </w:p>
        </w:tc>
        <w:tc>
          <w:tcPr>
            <w:tcW w:w="900" w:type="dxa"/>
            <w:tcBorders>
              <w:top w:val="single" w:sz="4" w:space="0" w:color="auto"/>
              <w:left w:val="nil"/>
              <w:bottom w:val="nil"/>
              <w:right w:val="single" w:sz="4" w:space="0" w:color="auto"/>
            </w:tcBorders>
            <w:shd w:val="clear" w:color="000000" w:fill="FFFFFF"/>
            <w:noWrap/>
            <w:vAlign w:val="bottom"/>
            <w:hideMark/>
          </w:tcPr>
          <w:p w14:paraId="7EDA8C96" w14:textId="315F4D0D"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0.44 </w:t>
            </w:r>
          </w:p>
        </w:tc>
        <w:tc>
          <w:tcPr>
            <w:tcW w:w="1080" w:type="dxa"/>
            <w:tcBorders>
              <w:top w:val="single" w:sz="4" w:space="0" w:color="auto"/>
              <w:left w:val="nil"/>
              <w:bottom w:val="nil"/>
              <w:right w:val="single" w:sz="4" w:space="0" w:color="auto"/>
            </w:tcBorders>
            <w:shd w:val="clear" w:color="000000" w:fill="FFFFFF"/>
            <w:noWrap/>
            <w:vAlign w:val="bottom"/>
            <w:hideMark/>
          </w:tcPr>
          <w:p w14:paraId="215045C3" w14:textId="338E2176"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0.64 </w:t>
            </w:r>
          </w:p>
        </w:tc>
        <w:tc>
          <w:tcPr>
            <w:tcW w:w="990" w:type="dxa"/>
            <w:tcBorders>
              <w:top w:val="single" w:sz="4" w:space="0" w:color="auto"/>
              <w:left w:val="nil"/>
              <w:bottom w:val="nil"/>
              <w:right w:val="single" w:sz="4" w:space="0" w:color="auto"/>
            </w:tcBorders>
            <w:shd w:val="clear" w:color="000000" w:fill="FFFFFF"/>
            <w:noWrap/>
            <w:vAlign w:val="bottom"/>
            <w:hideMark/>
          </w:tcPr>
          <w:p w14:paraId="1F9119A4" w14:textId="039B36FE"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0.43 </w:t>
            </w:r>
          </w:p>
        </w:tc>
        <w:tc>
          <w:tcPr>
            <w:tcW w:w="1080" w:type="dxa"/>
            <w:tcBorders>
              <w:top w:val="single" w:sz="4" w:space="0" w:color="auto"/>
              <w:left w:val="nil"/>
              <w:bottom w:val="nil"/>
              <w:right w:val="single" w:sz="4" w:space="0" w:color="auto"/>
            </w:tcBorders>
            <w:shd w:val="clear" w:color="000000" w:fill="FFFFFF"/>
            <w:noWrap/>
            <w:vAlign w:val="bottom"/>
            <w:hideMark/>
          </w:tcPr>
          <w:p w14:paraId="1C916D37" w14:textId="3BAF4FC4"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0.65 </w:t>
            </w:r>
          </w:p>
        </w:tc>
        <w:tc>
          <w:tcPr>
            <w:tcW w:w="981" w:type="dxa"/>
            <w:tcBorders>
              <w:top w:val="single" w:sz="4" w:space="0" w:color="auto"/>
              <w:left w:val="nil"/>
              <w:bottom w:val="nil"/>
              <w:right w:val="single" w:sz="4" w:space="0" w:color="auto"/>
            </w:tcBorders>
            <w:shd w:val="clear" w:color="000000" w:fill="FFFFFF"/>
            <w:noWrap/>
            <w:vAlign w:val="bottom"/>
            <w:hideMark/>
          </w:tcPr>
          <w:p w14:paraId="12179925" w14:textId="798B2B63"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0.43 </w:t>
            </w:r>
          </w:p>
        </w:tc>
        <w:tc>
          <w:tcPr>
            <w:tcW w:w="1277" w:type="dxa"/>
            <w:tcBorders>
              <w:top w:val="single" w:sz="4" w:space="0" w:color="auto"/>
              <w:left w:val="nil"/>
              <w:bottom w:val="nil"/>
              <w:right w:val="single" w:sz="4" w:space="0" w:color="auto"/>
            </w:tcBorders>
            <w:shd w:val="clear" w:color="000000" w:fill="FFFFFF"/>
            <w:noWrap/>
            <w:vAlign w:val="bottom"/>
            <w:hideMark/>
          </w:tcPr>
          <w:p w14:paraId="2E5AE2D4" w14:textId="589E7CDE"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 xml:space="preserve">0.66 </w:t>
            </w:r>
          </w:p>
        </w:tc>
      </w:tr>
      <w:tr w:rsidR="002137D2" w:rsidRPr="00815DA4" w14:paraId="4EB12E48" w14:textId="77777777" w:rsidTr="00815DA4">
        <w:trPr>
          <w:trHeight w:val="260"/>
        </w:trPr>
        <w:tc>
          <w:tcPr>
            <w:tcW w:w="2541" w:type="dxa"/>
            <w:vMerge/>
            <w:tcBorders>
              <w:top w:val="single" w:sz="4" w:space="0" w:color="auto"/>
              <w:left w:val="single" w:sz="4" w:space="0" w:color="auto"/>
              <w:bottom w:val="single" w:sz="4" w:space="0" w:color="000000"/>
              <w:right w:val="single" w:sz="4" w:space="0" w:color="auto"/>
            </w:tcBorders>
            <w:vAlign w:val="center"/>
            <w:hideMark/>
          </w:tcPr>
          <w:p w14:paraId="35AABFA1" w14:textId="77777777" w:rsidR="002137D2" w:rsidRPr="00815DA4" w:rsidRDefault="002137D2" w:rsidP="002137D2">
            <w:pPr>
              <w:spacing w:after="0" w:line="240" w:lineRule="auto"/>
              <w:rPr>
                <w:rFonts w:ascii="Calibri Light" w:eastAsia="Times New Roman" w:hAnsi="Calibri Light" w:cs="Calibri Light"/>
                <w:b/>
                <w:bCs/>
                <w:color w:val="000000"/>
                <w:sz w:val="18"/>
                <w:szCs w:val="18"/>
              </w:rPr>
            </w:pPr>
          </w:p>
        </w:tc>
        <w:tc>
          <w:tcPr>
            <w:tcW w:w="800" w:type="dxa"/>
            <w:tcBorders>
              <w:top w:val="nil"/>
              <w:left w:val="nil"/>
              <w:bottom w:val="single" w:sz="4" w:space="0" w:color="auto"/>
              <w:right w:val="single" w:sz="4" w:space="0" w:color="auto"/>
            </w:tcBorders>
            <w:shd w:val="clear" w:color="000000" w:fill="FFFFFF"/>
            <w:noWrap/>
            <w:vAlign w:val="bottom"/>
            <w:hideMark/>
          </w:tcPr>
          <w:p w14:paraId="72864F8A" w14:textId="6CF992F6"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(0.28)</w:t>
            </w:r>
          </w:p>
        </w:tc>
        <w:tc>
          <w:tcPr>
            <w:tcW w:w="1260" w:type="dxa"/>
            <w:tcBorders>
              <w:top w:val="nil"/>
              <w:left w:val="nil"/>
              <w:bottom w:val="single" w:sz="4" w:space="0" w:color="auto"/>
              <w:right w:val="single" w:sz="4" w:space="0" w:color="auto"/>
            </w:tcBorders>
            <w:shd w:val="clear" w:color="000000" w:fill="FFFFFF"/>
            <w:noWrap/>
            <w:vAlign w:val="bottom"/>
            <w:hideMark/>
          </w:tcPr>
          <w:p w14:paraId="25A648FC" w14:textId="1D425209"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(0.26)</w:t>
            </w:r>
          </w:p>
        </w:tc>
        <w:tc>
          <w:tcPr>
            <w:tcW w:w="900" w:type="dxa"/>
            <w:tcBorders>
              <w:top w:val="nil"/>
              <w:left w:val="nil"/>
              <w:bottom w:val="single" w:sz="4" w:space="0" w:color="auto"/>
              <w:right w:val="single" w:sz="4" w:space="0" w:color="auto"/>
            </w:tcBorders>
            <w:shd w:val="clear" w:color="000000" w:fill="FFFFFF"/>
            <w:noWrap/>
            <w:vAlign w:val="bottom"/>
            <w:hideMark/>
          </w:tcPr>
          <w:p w14:paraId="774ABC17" w14:textId="25ECA96D"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(0.27)</w:t>
            </w:r>
          </w:p>
        </w:tc>
        <w:tc>
          <w:tcPr>
            <w:tcW w:w="1080" w:type="dxa"/>
            <w:tcBorders>
              <w:top w:val="nil"/>
              <w:left w:val="nil"/>
              <w:bottom w:val="single" w:sz="4" w:space="0" w:color="auto"/>
              <w:right w:val="single" w:sz="4" w:space="0" w:color="auto"/>
            </w:tcBorders>
            <w:shd w:val="clear" w:color="000000" w:fill="FFFFFF"/>
            <w:noWrap/>
            <w:vAlign w:val="bottom"/>
            <w:hideMark/>
          </w:tcPr>
          <w:p w14:paraId="091EC8AD" w14:textId="5EB7D056"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(0.24)</w:t>
            </w:r>
          </w:p>
        </w:tc>
        <w:tc>
          <w:tcPr>
            <w:tcW w:w="990" w:type="dxa"/>
            <w:tcBorders>
              <w:top w:val="nil"/>
              <w:left w:val="nil"/>
              <w:bottom w:val="single" w:sz="4" w:space="0" w:color="auto"/>
              <w:right w:val="single" w:sz="4" w:space="0" w:color="auto"/>
            </w:tcBorders>
            <w:shd w:val="clear" w:color="000000" w:fill="FFFFFF"/>
            <w:noWrap/>
            <w:vAlign w:val="bottom"/>
            <w:hideMark/>
          </w:tcPr>
          <w:p w14:paraId="7D05544F" w14:textId="07E42C9C"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(0.27)</w:t>
            </w:r>
          </w:p>
        </w:tc>
        <w:tc>
          <w:tcPr>
            <w:tcW w:w="1080" w:type="dxa"/>
            <w:tcBorders>
              <w:top w:val="nil"/>
              <w:left w:val="nil"/>
              <w:bottom w:val="single" w:sz="4" w:space="0" w:color="auto"/>
              <w:right w:val="single" w:sz="4" w:space="0" w:color="auto"/>
            </w:tcBorders>
            <w:shd w:val="clear" w:color="000000" w:fill="FFFFFF"/>
            <w:noWrap/>
            <w:vAlign w:val="bottom"/>
            <w:hideMark/>
          </w:tcPr>
          <w:p w14:paraId="50805522" w14:textId="4DAE4921"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(0.23)</w:t>
            </w:r>
          </w:p>
        </w:tc>
        <w:tc>
          <w:tcPr>
            <w:tcW w:w="981" w:type="dxa"/>
            <w:tcBorders>
              <w:top w:val="nil"/>
              <w:left w:val="nil"/>
              <w:bottom w:val="single" w:sz="4" w:space="0" w:color="auto"/>
              <w:right w:val="single" w:sz="4" w:space="0" w:color="auto"/>
            </w:tcBorders>
            <w:shd w:val="clear" w:color="000000" w:fill="FFFFFF"/>
            <w:noWrap/>
            <w:vAlign w:val="bottom"/>
            <w:hideMark/>
          </w:tcPr>
          <w:p w14:paraId="664ECBB2" w14:textId="37C64C91"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(0.25)</w:t>
            </w:r>
          </w:p>
        </w:tc>
        <w:tc>
          <w:tcPr>
            <w:tcW w:w="1277" w:type="dxa"/>
            <w:tcBorders>
              <w:top w:val="nil"/>
              <w:left w:val="nil"/>
              <w:bottom w:val="single" w:sz="4" w:space="0" w:color="auto"/>
              <w:right w:val="single" w:sz="4" w:space="0" w:color="auto"/>
            </w:tcBorders>
            <w:shd w:val="clear" w:color="000000" w:fill="FFFFFF"/>
            <w:noWrap/>
            <w:vAlign w:val="bottom"/>
            <w:hideMark/>
          </w:tcPr>
          <w:p w14:paraId="77E95D67" w14:textId="795FB8B2" w:rsidR="002137D2" w:rsidRPr="00815DA4" w:rsidRDefault="002137D2" w:rsidP="002137D2">
            <w:pPr>
              <w:spacing w:after="0" w:line="240" w:lineRule="auto"/>
              <w:jc w:val="center"/>
              <w:rPr>
                <w:rFonts w:ascii="Calibri Light" w:eastAsia="Times New Roman" w:hAnsi="Calibri Light" w:cs="Calibri Light"/>
                <w:color w:val="000000"/>
                <w:sz w:val="18"/>
                <w:szCs w:val="18"/>
              </w:rPr>
            </w:pPr>
            <w:r>
              <w:rPr>
                <w:rFonts w:ascii="Calibri Light" w:hAnsi="Calibri Light" w:cs="Calibri Light"/>
                <w:color w:val="000000"/>
                <w:sz w:val="18"/>
                <w:szCs w:val="18"/>
              </w:rPr>
              <w:t>(0.22)</w:t>
            </w:r>
          </w:p>
        </w:tc>
      </w:tr>
    </w:tbl>
    <w:p w14:paraId="4351CC23" w14:textId="24FCFC49" w:rsidR="00815DA4" w:rsidRDefault="00815DA4" w:rsidP="00654556"/>
    <w:p w14:paraId="186739E3" w14:textId="77FF790D" w:rsidR="00815DA4" w:rsidRDefault="00815DA4" w:rsidP="00654556"/>
    <w:p w14:paraId="1ED3E4B5" w14:textId="354EF2F5" w:rsidR="00815DA4" w:rsidRDefault="00815DA4" w:rsidP="00654556"/>
    <w:p w14:paraId="30CB6EC8" w14:textId="58204A41" w:rsidR="00815DA4" w:rsidRDefault="00815DA4" w:rsidP="00654556"/>
    <w:p w14:paraId="69CD9732" w14:textId="1E154F4A" w:rsidR="00815DA4" w:rsidRDefault="00815DA4" w:rsidP="00654556"/>
    <w:p w14:paraId="328F7C3C" w14:textId="5AB30F56" w:rsidR="00815DA4" w:rsidRDefault="00815DA4" w:rsidP="00654556"/>
    <w:p w14:paraId="22603C5F" w14:textId="58356184" w:rsidR="00815DA4" w:rsidRDefault="00815DA4" w:rsidP="00654556"/>
    <w:p w14:paraId="12EAF07A" w14:textId="7CEE42A6" w:rsidR="00815DA4" w:rsidRDefault="00815DA4" w:rsidP="00654556"/>
    <w:p w14:paraId="5B7FD629" w14:textId="77777777" w:rsidR="00815DA4" w:rsidRPr="00654556" w:rsidRDefault="00815DA4" w:rsidP="00654556"/>
    <w:p w14:paraId="3205F514" w14:textId="3C14EC4A" w:rsidR="00737253" w:rsidRDefault="0036704C" w:rsidP="00CD35E5">
      <w:pPr>
        <w:pStyle w:val="Heading1"/>
      </w:pPr>
      <w:bookmarkStart w:id="12" w:name="_Toc41047427"/>
      <w:r>
        <w:lastRenderedPageBreak/>
        <w:t>1</w:t>
      </w:r>
      <w:r w:rsidR="00815DA4">
        <w:t>1</w:t>
      </w:r>
      <w:r w:rsidR="00B70F65">
        <w:tab/>
      </w:r>
      <w:r w:rsidR="00B86378">
        <w:t>Energy security metrics</w:t>
      </w:r>
      <w:r w:rsidR="00D21F53">
        <w:t xml:space="preserve"> of the energy importer</w:t>
      </w:r>
      <w:bookmarkEnd w:id="12"/>
    </w:p>
    <w:p w14:paraId="46CAC125" w14:textId="69D88133" w:rsidR="005F7597" w:rsidRDefault="005F7597" w:rsidP="00B86378"/>
    <w:p w14:paraId="7BE15EB4" w14:textId="0D454C57" w:rsidR="005C664F" w:rsidRDefault="008F1F22" w:rsidP="00B86378">
      <w:r>
        <w:t xml:space="preserve">The </w:t>
      </w:r>
      <w:r w:rsidR="00EF1308">
        <w:t>attached</w:t>
      </w:r>
      <w:r>
        <w:t xml:space="preserve"> tables</w:t>
      </w:r>
      <w:r w:rsidR="0008076E">
        <w:t xml:space="preserve"> include </w:t>
      </w:r>
      <w:r>
        <w:t xml:space="preserve">the direct vs. embodied HHI trade linkages for all energy import portfolios resolved by HOMIES. </w:t>
      </w:r>
      <w:r w:rsidR="0008076E">
        <w:t xml:space="preserve">Sheet 1 presents metrics for 2015, Sheet 3 presents metrics for 2010. </w:t>
      </w:r>
      <w:r>
        <w:t>The countries are in order of decreasing embodied import sink.</w:t>
      </w:r>
    </w:p>
    <w:p w14:paraId="2D685A6B" w14:textId="77777777" w:rsidR="00EF1308" w:rsidRDefault="00EF1308" w:rsidP="00B86378"/>
    <w:p w14:paraId="237DF29A" w14:textId="0E17EBAD" w:rsidR="005F7597" w:rsidRDefault="00E06B60" w:rsidP="00A712E3">
      <w:pPr>
        <w:pStyle w:val="Heading1"/>
      </w:pPr>
      <w:bookmarkStart w:id="13" w:name="_Toc41047428"/>
      <w:r>
        <w:t>1</w:t>
      </w:r>
      <w:r w:rsidR="00815DA4">
        <w:t>2</w:t>
      </w:r>
      <w:r w:rsidR="00A712E3">
        <w:tab/>
        <w:t>Energy security metrics, by exporter</w:t>
      </w:r>
      <w:bookmarkEnd w:id="13"/>
    </w:p>
    <w:p w14:paraId="2E969E8A" w14:textId="530699CB" w:rsidR="00A712E3" w:rsidRDefault="00A712E3" w:rsidP="00A712E3"/>
    <w:p w14:paraId="1FF6D33B" w14:textId="53E89ACD" w:rsidR="008F1F22" w:rsidRDefault="008F1F22" w:rsidP="008F1F22">
      <w:r>
        <w:t xml:space="preserve">The </w:t>
      </w:r>
      <w:r w:rsidR="00EF1308">
        <w:t>attached</w:t>
      </w:r>
      <w:r>
        <w:t xml:space="preserve"> tables include</w:t>
      </w:r>
      <w:bookmarkStart w:id="14" w:name="_GoBack"/>
      <w:bookmarkEnd w:id="14"/>
      <w:r>
        <w:t xml:space="preserve"> the direct vs. embodied HHI trade linkages for all energy export portfolios resolved by HOMIES.</w:t>
      </w:r>
      <w:r w:rsidR="0008076E">
        <w:t xml:space="preserve"> Sheet 2 presents metrics for 2015, Sheet 4 presents metrics for 2010.</w:t>
      </w:r>
      <w:r>
        <w:t xml:space="preserve"> The countries are in order of decreasing embodied export source.</w:t>
      </w:r>
    </w:p>
    <w:p w14:paraId="3F46F376" w14:textId="77777777" w:rsidR="008F1F22" w:rsidRDefault="008F1F22" w:rsidP="00A712E3"/>
    <w:p w14:paraId="3191A71C" w14:textId="3BC4ADDF" w:rsidR="005F7597" w:rsidRDefault="005F7597" w:rsidP="00B86378"/>
    <w:p w14:paraId="62B2BC93" w14:textId="77777777" w:rsidR="005F7597" w:rsidRDefault="005F7597" w:rsidP="00B86378">
      <w:pPr>
        <w:ind w:hanging="720"/>
      </w:pPr>
    </w:p>
    <w:p w14:paraId="4AAC4AC9" w14:textId="31FED67A" w:rsidR="00FF4361" w:rsidRDefault="00FF4361" w:rsidP="00B86378">
      <w:pPr>
        <w:ind w:hanging="720"/>
      </w:pPr>
    </w:p>
    <w:p w14:paraId="1876C6D6" w14:textId="1FB6C248" w:rsidR="00FF4361" w:rsidRDefault="00FF4361" w:rsidP="00B86378">
      <w:pPr>
        <w:ind w:hanging="720"/>
      </w:pPr>
    </w:p>
    <w:p w14:paraId="41480305" w14:textId="1A04FB7C" w:rsidR="00FF4361" w:rsidRDefault="00FF4361" w:rsidP="00B86378">
      <w:pPr>
        <w:ind w:hanging="720"/>
      </w:pPr>
    </w:p>
    <w:p w14:paraId="4C308981" w14:textId="7D18024F" w:rsidR="00E737EB" w:rsidRDefault="00E737EB" w:rsidP="00B86378">
      <w:pPr>
        <w:ind w:hanging="720"/>
      </w:pPr>
    </w:p>
    <w:p w14:paraId="1D1D98D9" w14:textId="137D71F6" w:rsidR="00E737EB" w:rsidRDefault="00E737EB" w:rsidP="00B86378">
      <w:pPr>
        <w:ind w:hanging="720"/>
      </w:pPr>
    </w:p>
    <w:p w14:paraId="4E899586" w14:textId="0F3A2780" w:rsidR="00E737EB" w:rsidRDefault="00E737EB" w:rsidP="00B86378">
      <w:pPr>
        <w:ind w:hanging="720"/>
      </w:pPr>
    </w:p>
    <w:p w14:paraId="450A099B" w14:textId="2D1F4A50" w:rsidR="00E737EB" w:rsidRDefault="00E737EB" w:rsidP="00B86378">
      <w:pPr>
        <w:ind w:hanging="720"/>
      </w:pPr>
    </w:p>
    <w:p w14:paraId="2472B216" w14:textId="5F26B35B" w:rsidR="00E737EB" w:rsidRDefault="00E737EB" w:rsidP="00B86378">
      <w:pPr>
        <w:ind w:hanging="720"/>
      </w:pPr>
    </w:p>
    <w:p w14:paraId="6ABBA131" w14:textId="3B23CDA9" w:rsidR="00E737EB" w:rsidRDefault="00E737EB" w:rsidP="00B86378">
      <w:pPr>
        <w:ind w:hanging="720"/>
      </w:pPr>
    </w:p>
    <w:p w14:paraId="6795A5B5" w14:textId="7302FE5F" w:rsidR="00E737EB" w:rsidRDefault="00E737EB" w:rsidP="00B86378">
      <w:pPr>
        <w:ind w:hanging="720"/>
      </w:pPr>
    </w:p>
    <w:p w14:paraId="54E578BF" w14:textId="50CAEC73" w:rsidR="00E737EB" w:rsidRDefault="00E737EB" w:rsidP="00B86378">
      <w:pPr>
        <w:ind w:hanging="720"/>
      </w:pPr>
    </w:p>
    <w:p w14:paraId="13DDD1D8" w14:textId="2F091AB2" w:rsidR="00A712E3" w:rsidRDefault="00A712E3" w:rsidP="00B86378">
      <w:pPr>
        <w:ind w:hanging="720"/>
      </w:pPr>
    </w:p>
    <w:p w14:paraId="0B51F582" w14:textId="624443B5" w:rsidR="00265542" w:rsidRDefault="00265542" w:rsidP="00B86378">
      <w:pPr>
        <w:ind w:hanging="720"/>
      </w:pPr>
    </w:p>
    <w:p w14:paraId="6FE65B88" w14:textId="63714C3F" w:rsidR="00265542" w:rsidRDefault="00265542" w:rsidP="00B86378">
      <w:pPr>
        <w:ind w:hanging="720"/>
      </w:pPr>
    </w:p>
    <w:p w14:paraId="0C86F68A" w14:textId="14452805" w:rsidR="00265542" w:rsidRDefault="00265542" w:rsidP="00B86378">
      <w:pPr>
        <w:ind w:hanging="720"/>
      </w:pPr>
    </w:p>
    <w:p w14:paraId="3C1D057C" w14:textId="0A6C57A5" w:rsidR="00265542" w:rsidRDefault="00265542" w:rsidP="00B86378">
      <w:pPr>
        <w:ind w:hanging="720"/>
      </w:pPr>
    </w:p>
    <w:p w14:paraId="10556B8C" w14:textId="380B871E" w:rsidR="00C816FC" w:rsidRDefault="00C816FC" w:rsidP="00C816FC"/>
    <w:p w14:paraId="6F3E87AC" w14:textId="2AF63983" w:rsidR="00C135A9" w:rsidRDefault="00C135A9" w:rsidP="00C135A9">
      <w:pPr>
        <w:pStyle w:val="Heading1"/>
      </w:pPr>
      <w:bookmarkStart w:id="15" w:name="_Toc41047429"/>
      <w:r>
        <w:t>References</w:t>
      </w:r>
      <w:bookmarkEnd w:id="15"/>
    </w:p>
    <w:p w14:paraId="4309233E" w14:textId="5099D465" w:rsidR="00C135A9" w:rsidRDefault="00C135A9" w:rsidP="00C135A9"/>
    <w:p w14:paraId="7DB35B74" w14:textId="4A77B926" w:rsidR="0036704C" w:rsidRPr="0036704C" w:rsidRDefault="00C135A9" w:rsidP="0036704C">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36704C" w:rsidRPr="0036704C">
        <w:rPr>
          <w:rFonts w:ascii="Calibri" w:hAnsi="Calibri" w:cs="Calibri"/>
          <w:noProof/>
          <w:szCs w:val="24"/>
        </w:rPr>
        <w:t>[1]</w:t>
      </w:r>
      <w:r w:rsidR="0036704C" w:rsidRPr="0036704C">
        <w:rPr>
          <w:rFonts w:ascii="Calibri" w:hAnsi="Calibri" w:cs="Calibri"/>
          <w:noProof/>
          <w:szCs w:val="24"/>
        </w:rPr>
        <w:tab/>
        <w:t>Lenzen M, Moran D, Kanemoto K, Geschke A. BUILDING EORA: A GLOBAL MULTI-REGION INPUT-OUTPUT DATABASE AT HIGH COUNTRY AND SECTOR RESOLUTION. Econ Syst Res 2013. https://doi.org/10.1080/09535314.2013.769938.</w:t>
      </w:r>
    </w:p>
    <w:p w14:paraId="64C86C78" w14:textId="77777777" w:rsidR="0036704C" w:rsidRPr="0036704C" w:rsidRDefault="0036704C" w:rsidP="0036704C">
      <w:pPr>
        <w:widowControl w:val="0"/>
        <w:autoSpaceDE w:val="0"/>
        <w:autoSpaceDN w:val="0"/>
        <w:adjustRightInd w:val="0"/>
        <w:spacing w:line="240" w:lineRule="auto"/>
        <w:ind w:left="640" w:hanging="640"/>
        <w:rPr>
          <w:rFonts w:ascii="Calibri" w:hAnsi="Calibri" w:cs="Calibri"/>
          <w:noProof/>
          <w:szCs w:val="24"/>
        </w:rPr>
      </w:pPr>
      <w:r w:rsidRPr="0036704C">
        <w:rPr>
          <w:rFonts w:ascii="Calibri" w:hAnsi="Calibri" w:cs="Calibri"/>
          <w:noProof/>
          <w:szCs w:val="24"/>
        </w:rPr>
        <w:t>[2]</w:t>
      </w:r>
      <w:r w:rsidRPr="0036704C">
        <w:rPr>
          <w:rFonts w:ascii="Calibri" w:hAnsi="Calibri" w:cs="Calibri"/>
          <w:noProof/>
          <w:szCs w:val="24"/>
        </w:rPr>
        <w:tab/>
        <w:t>U.S. Energy Information Administration. Annual Energy Review: Table F.1, Conversion Efficiencies of Non-combustible Renewable Energy Resources. Washington, DC: 2011.</w:t>
      </w:r>
    </w:p>
    <w:p w14:paraId="77F63732" w14:textId="77777777" w:rsidR="0036704C" w:rsidRPr="0036704C" w:rsidRDefault="0036704C" w:rsidP="0036704C">
      <w:pPr>
        <w:widowControl w:val="0"/>
        <w:autoSpaceDE w:val="0"/>
        <w:autoSpaceDN w:val="0"/>
        <w:adjustRightInd w:val="0"/>
        <w:spacing w:line="240" w:lineRule="auto"/>
        <w:ind w:left="640" w:hanging="640"/>
        <w:rPr>
          <w:rFonts w:ascii="Calibri" w:hAnsi="Calibri" w:cs="Calibri"/>
          <w:noProof/>
          <w:szCs w:val="24"/>
        </w:rPr>
      </w:pPr>
      <w:r w:rsidRPr="0036704C">
        <w:rPr>
          <w:rFonts w:ascii="Calibri" w:hAnsi="Calibri" w:cs="Calibri"/>
          <w:noProof/>
          <w:szCs w:val="24"/>
        </w:rPr>
        <w:t>[3]</w:t>
      </w:r>
      <w:r w:rsidRPr="0036704C">
        <w:rPr>
          <w:rFonts w:ascii="Calibri" w:hAnsi="Calibri" w:cs="Calibri"/>
          <w:noProof/>
          <w:szCs w:val="24"/>
        </w:rPr>
        <w:tab/>
        <w:t>U.S. Energy Information Administration. Average Operating Heat Rate for Selected Energy Sources (Table 8.1). Power Plant Oper Rep 2018. https://www.eia.gov/electricity/annual/html/epa_08_01.html.</w:t>
      </w:r>
    </w:p>
    <w:p w14:paraId="3BB05FD1" w14:textId="77777777" w:rsidR="0036704C" w:rsidRPr="0036704C" w:rsidRDefault="0036704C" w:rsidP="0036704C">
      <w:pPr>
        <w:widowControl w:val="0"/>
        <w:autoSpaceDE w:val="0"/>
        <w:autoSpaceDN w:val="0"/>
        <w:adjustRightInd w:val="0"/>
        <w:spacing w:line="240" w:lineRule="auto"/>
        <w:ind w:left="640" w:hanging="640"/>
        <w:rPr>
          <w:rFonts w:ascii="Calibri" w:hAnsi="Calibri" w:cs="Calibri"/>
          <w:noProof/>
          <w:szCs w:val="24"/>
        </w:rPr>
      </w:pPr>
      <w:r w:rsidRPr="0036704C">
        <w:rPr>
          <w:rFonts w:ascii="Calibri" w:hAnsi="Calibri" w:cs="Calibri"/>
          <w:noProof/>
          <w:szCs w:val="24"/>
        </w:rPr>
        <w:t>[4]</w:t>
      </w:r>
      <w:r w:rsidRPr="0036704C">
        <w:rPr>
          <w:rFonts w:ascii="Calibri" w:hAnsi="Calibri" w:cs="Calibri"/>
          <w:noProof/>
          <w:szCs w:val="24"/>
        </w:rPr>
        <w:tab/>
        <w:t>FAO. FAOSTAT Data. Food Agric Organ United Nations Rome 2018. https://doi.org/10.1016/j.jad.2018.09.064.</w:t>
      </w:r>
    </w:p>
    <w:p w14:paraId="7858A911" w14:textId="77777777" w:rsidR="0036704C" w:rsidRPr="0036704C" w:rsidRDefault="0036704C" w:rsidP="0036704C">
      <w:pPr>
        <w:widowControl w:val="0"/>
        <w:autoSpaceDE w:val="0"/>
        <w:autoSpaceDN w:val="0"/>
        <w:adjustRightInd w:val="0"/>
        <w:spacing w:line="240" w:lineRule="auto"/>
        <w:ind w:left="640" w:hanging="640"/>
        <w:rPr>
          <w:rFonts w:ascii="Calibri" w:hAnsi="Calibri" w:cs="Calibri"/>
          <w:noProof/>
          <w:szCs w:val="24"/>
        </w:rPr>
      </w:pPr>
      <w:r w:rsidRPr="0036704C">
        <w:rPr>
          <w:rFonts w:ascii="Calibri" w:hAnsi="Calibri" w:cs="Calibri"/>
          <w:noProof/>
          <w:szCs w:val="24"/>
        </w:rPr>
        <w:t>[5]</w:t>
      </w:r>
      <w:r w:rsidRPr="0036704C">
        <w:rPr>
          <w:rFonts w:ascii="Calibri" w:hAnsi="Calibri" w:cs="Calibri"/>
          <w:noProof/>
          <w:szCs w:val="24"/>
        </w:rPr>
        <w:tab/>
        <w:t>International Energy Agency. Renewables and Waste Database 2017. https://doi.org/https://doi.org/10.1787/data-00549-en.</w:t>
      </w:r>
    </w:p>
    <w:p w14:paraId="7C5AF0B3" w14:textId="77777777" w:rsidR="0036704C" w:rsidRPr="0036704C" w:rsidRDefault="0036704C" w:rsidP="0036704C">
      <w:pPr>
        <w:widowControl w:val="0"/>
        <w:autoSpaceDE w:val="0"/>
        <w:autoSpaceDN w:val="0"/>
        <w:adjustRightInd w:val="0"/>
        <w:spacing w:line="240" w:lineRule="auto"/>
        <w:ind w:left="640" w:hanging="640"/>
        <w:rPr>
          <w:rFonts w:ascii="Calibri" w:hAnsi="Calibri" w:cs="Calibri"/>
          <w:noProof/>
          <w:szCs w:val="24"/>
        </w:rPr>
      </w:pPr>
      <w:r w:rsidRPr="0036704C">
        <w:rPr>
          <w:rFonts w:ascii="Calibri" w:hAnsi="Calibri" w:cs="Calibri"/>
          <w:noProof/>
          <w:szCs w:val="24"/>
        </w:rPr>
        <w:t>[6]</w:t>
      </w:r>
      <w:r w:rsidRPr="0036704C">
        <w:rPr>
          <w:rFonts w:ascii="Calibri" w:hAnsi="Calibri" w:cs="Calibri"/>
          <w:noProof/>
          <w:szCs w:val="24"/>
        </w:rPr>
        <w:tab/>
        <w:t>Huang WD, Zhang YHP. Energy efficiency analysis: Biomass-to-wheel efficiency related with biofuels production, fuel distribution, and powertrain systems. PLoS One 2011. https://doi.org/10.1371/journal.pone.0022113.</w:t>
      </w:r>
    </w:p>
    <w:p w14:paraId="47D10939" w14:textId="77777777" w:rsidR="0036704C" w:rsidRPr="0036704C" w:rsidRDefault="0036704C" w:rsidP="0036704C">
      <w:pPr>
        <w:widowControl w:val="0"/>
        <w:autoSpaceDE w:val="0"/>
        <w:autoSpaceDN w:val="0"/>
        <w:adjustRightInd w:val="0"/>
        <w:spacing w:line="240" w:lineRule="auto"/>
        <w:ind w:left="640" w:hanging="640"/>
        <w:rPr>
          <w:rFonts w:ascii="Calibri" w:hAnsi="Calibri" w:cs="Calibri"/>
          <w:noProof/>
          <w:szCs w:val="24"/>
        </w:rPr>
      </w:pPr>
      <w:r w:rsidRPr="0036704C">
        <w:rPr>
          <w:rFonts w:ascii="Calibri" w:hAnsi="Calibri" w:cs="Calibri"/>
          <w:noProof/>
          <w:szCs w:val="24"/>
        </w:rPr>
        <w:t>[7]</w:t>
      </w:r>
      <w:r w:rsidRPr="0036704C">
        <w:rPr>
          <w:rFonts w:ascii="Calibri" w:hAnsi="Calibri" w:cs="Calibri"/>
          <w:noProof/>
          <w:szCs w:val="24"/>
        </w:rPr>
        <w:tab/>
        <w:t>Hamelinck CN, Faaij APC. Outlook for advanced biofuels. Energy Policy 2006. https://doi.org/10.1016/j.enpol.2005.06.012.</w:t>
      </w:r>
    </w:p>
    <w:p w14:paraId="395BB5D6" w14:textId="77777777" w:rsidR="0036704C" w:rsidRPr="0036704C" w:rsidRDefault="0036704C" w:rsidP="0036704C">
      <w:pPr>
        <w:widowControl w:val="0"/>
        <w:autoSpaceDE w:val="0"/>
        <w:autoSpaceDN w:val="0"/>
        <w:adjustRightInd w:val="0"/>
        <w:spacing w:line="240" w:lineRule="auto"/>
        <w:ind w:left="640" w:hanging="640"/>
        <w:rPr>
          <w:rFonts w:ascii="Calibri" w:hAnsi="Calibri" w:cs="Calibri"/>
          <w:noProof/>
          <w:szCs w:val="24"/>
        </w:rPr>
      </w:pPr>
      <w:r w:rsidRPr="0036704C">
        <w:rPr>
          <w:rFonts w:ascii="Calibri" w:hAnsi="Calibri" w:cs="Calibri"/>
          <w:noProof/>
          <w:szCs w:val="24"/>
        </w:rPr>
        <w:t>[8]</w:t>
      </w:r>
      <w:r w:rsidRPr="0036704C">
        <w:rPr>
          <w:rFonts w:ascii="Calibri" w:hAnsi="Calibri" w:cs="Calibri"/>
          <w:noProof/>
          <w:szCs w:val="24"/>
        </w:rPr>
        <w:tab/>
        <w:t>van Vliet OPR, Faaij APC, Turkenburg WC. Fischer-Tropsch diesel production in a well-to-wheel perspective: A carbon, energy flow and cost analysis. Energy Convers Manag 2009. https://doi.org/10.1016/j.enconman.2009.01.008.</w:t>
      </w:r>
    </w:p>
    <w:p w14:paraId="0E5B9C53" w14:textId="77777777" w:rsidR="0036704C" w:rsidRPr="0036704C" w:rsidRDefault="0036704C" w:rsidP="0036704C">
      <w:pPr>
        <w:widowControl w:val="0"/>
        <w:autoSpaceDE w:val="0"/>
        <w:autoSpaceDN w:val="0"/>
        <w:adjustRightInd w:val="0"/>
        <w:spacing w:line="240" w:lineRule="auto"/>
        <w:ind w:left="640" w:hanging="640"/>
        <w:rPr>
          <w:rFonts w:ascii="Calibri" w:hAnsi="Calibri" w:cs="Calibri"/>
          <w:noProof/>
          <w:szCs w:val="24"/>
        </w:rPr>
      </w:pPr>
      <w:r w:rsidRPr="0036704C">
        <w:rPr>
          <w:rFonts w:ascii="Calibri" w:hAnsi="Calibri" w:cs="Calibri"/>
          <w:noProof/>
          <w:szCs w:val="24"/>
        </w:rPr>
        <w:t>[9]</w:t>
      </w:r>
      <w:r w:rsidRPr="0036704C">
        <w:rPr>
          <w:rFonts w:ascii="Calibri" w:hAnsi="Calibri" w:cs="Calibri"/>
          <w:noProof/>
          <w:szCs w:val="24"/>
        </w:rPr>
        <w:tab/>
        <w:t>Steen EJ, Kang Y, Bokinsky G, Hu Z, Schirmer A, McClure A, et al. Microbial production of fatty-acid-derived fuels and chemicals from plant biomass. Nature 2010. https://doi.org/10.1038/nature08721.</w:t>
      </w:r>
    </w:p>
    <w:p w14:paraId="6B88DDDD" w14:textId="77777777" w:rsidR="0036704C" w:rsidRPr="0036704C" w:rsidRDefault="0036704C" w:rsidP="0036704C">
      <w:pPr>
        <w:widowControl w:val="0"/>
        <w:autoSpaceDE w:val="0"/>
        <w:autoSpaceDN w:val="0"/>
        <w:adjustRightInd w:val="0"/>
        <w:spacing w:line="240" w:lineRule="auto"/>
        <w:ind w:left="640" w:hanging="640"/>
        <w:rPr>
          <w:rFonts w:ascii="Calibri" w:hAnsi="Calibri" w:cs="Calibri"/>
          <w:noProof/>
          <w:szCs w:val="24"/>
        </w:rPr>
      </w:pPr>
      <w:r w:rsidRPr="0036704C">
        <w:rPr>
          <w:rFonts w:ascii="Calibri" w:hAnsi="Calibri" w:cs="Calibri"/>
          <w:noProof/>
          <w:szCs w:val="24"/>
        </w:rPr>
        <w:t>[10]</w:t>
      </w:r>
      <w:r w:rsidRPr="0036704C">
        <w:rPr>
          <w:rFonts w:ascii="Calibri" w:hAnsi="Calibri" w:cs="Calibri"/>
          <w:noProof/>
          <w:szCs w:val="24"/>
        </w:rPr>
        <w:tab/>
        <w:t>Huang WD, Percival Zhang YH. Analysis of biofuels production from sugar based on three criteria: Thermodynamics, bioenergetics, and product separation. Energy Environ Sci 2011. https://doi.org/10.1039/c0ee00069h.</w:t>
      </w:r>
    </w:p>
    <w:p w14:paraId="7CB44C96" w14:textId="77777777" w:rsidR="0036704C" w:rsidRPr="0036704C" w:rsidRDefault="0036704C" w:rsidP="0036704C">
      <w:pPr>
        <w:widowControl w:val="0"/>
        <w:autoSpaceDE w:val="0"/>
        <w:autoSpaceDN w:val="0"/>
        <w:adjustRightInd w:val="0"/>
        <w:spacing w:line="240" w:lineRule="auto"/>
        <w:ind w:left="640" w:hanging="640"/>
        <w:rPr>
          <w:rFonts w:ascii="Calibri" w:hAnsi="Calibri" w:cs="Calibri"/>
          <w:noProof/>
          <w:szCs w:val="24"/>
        </w:rPr>
      </w:pPr>
      <w:r w:rsidRPr="0036704C">
        <w:rPr>
          <w:rFonts w:ascii="Calibri" w:hAnsi="Calibri" w:cs="Calibri"/>
          <w:noProof/>
          <w:szCs w:val="24"/>
        </w:rPr>
        <w:t>[11]</w:t>
      </w:r>
      <w:r w:rsidRPr="0036704C">
        <w:rPr>
          <w:rFonts w:ascii="Calibri" w:hAnsi="Calibri" w:cs="Calibri"/>
          <w:noProof/>
          <w:szCs w:val="24"/>
        </w:rPr>
        <w:tab/>
        <w:t>Berglund M, Börjesson P. Assessment of energy performance in the life-cycle of biogas production. Biomass and Bioenergy 2006. https://doi.org/10.1016/j.biombioe.2005.11.011.</w:t>
      </w:r>
    </w:p>
    <w:p w14:paraId="2BEB0683" w14:textId="77777777" w:rsidR="0036704C" w:rsidRPr="0036704C" w:rsidRDefault="0036704C" w:rsidP="0036704C">
      <w:pPr>
        <w:widowControl w:val="0"/>
        <w:autoSpaceDE w:val="0"/>
        <w:autoSpaceDN w:val="0"/>
        <w:adjustRightInd w:val="0"/>
        <w:spacing w:line="240" w:lineRule="auto"/>
        <w:ind w:left="640" w:hanging="640"/>
        <w:rPr>
          <w:rFonts w:ascii="Calibri" w:hAnsi="Calibri" w:cs="Calibri"/>
          <w:noProof/>
          <w:szCs w:val="24"/>
        </w:rPr>
      </w:pPr>
      <w:r w:rsidRPr="0036704C">
        <w:rPr>
          <w:rFonts w:ascii="Calibri" w:hAnsi="Calibri" w:cs="Calibri"/>
          <w:noProof/>
          <w:szCs w:val="24"/>
        </w:rPr>
        <w:t>[12]</w:t>
      </w:r>
      <w:r w:rsidRPr="0036704C">
        <w:rPr>
          <w:rFonts w:ascii="Calibri" w:hAnsi="Calibri" w:cs="Calibri"/>
          <w:noProof/>
          <w:szCs w:val="24"/>
        </w:rPr>
        <w:tab/>
        <w:t>Pimentel D, Patzek TW. Ethanol production using corn, switchgrass, and wood; Biodiesel production using soybean and sunflower. Nat Resour Res 2005. https://doi.org/10.1007/s11053-005-4679-8.</w:t>
      </w:r>
    </w:p>
    <w:p w14:paraId="72659858" w14:textId="77777777" w:rsidR="0036704C" w:rsidRPr="0036704C" w:rsidRDefault="0036704C" w:rsidP="0036704C">
      <w:pPr>
        <w:widowControl w:val="0"/>
        <w:autoSpaceDE w:val="0"/>
        <w:autoSpaceDN w:val="0"/>
        <w:adjustRightInd w:val="0"/>
        <w:spacing w:line="240" w:lineRule="auto"/>
        <w:ind w:left="640" w:hanging="640"/>
        <w:rPr>
          <w:rFonts w:ascii="Calibri" w:hAnsi="Calibri" w:cs="Calibri"/>
          <w:noProof/>
          <w:szCs w:val="24"/>
        </w:rPr>
      </w:pPr>
      <w:r w:rsidRPr="0036704C">
        <w:rPr>
          <w:rFonts w:ascii="Calibri" w:hAnsi="Calibri" w:cs="Calibri"/>
          <w:noProof/>
          <w:szCs w:val="24"/>
        </w:rPr>
        <w:t>[13]</w:t>
      </w:r>
      <w:r w:rsidRPr="0036704C">
        <w:rPr>
          <w:rFonts w:ascii="Calibri" w:hAnsi="Calibri" w:cs="Calibri"/>
          <w:noProof/>
          <w:szCs w:val="24"/>
        </w:rPr>
        <w:tab/>
        <w:t>Farrell AE, Plevin RJ, Turner BT, Jones AD, O’Hare M, Kammen DM. Ethanol can contribute to energy and environmental goals. Science (80- ) 2006. https://doi.org/10.1126/science.1121416.</w:t>
      </w:r>
    </w:p>
    <w:p w14:paraId="3E92501F" w14:textId="77777777" w:rsidR="0036704C" w:rsidRPr="0036704C" w:rsidRDefault="0036704C" w:rsidP="0036704C">
      <w:pPr>
        <w:widowControl w:val="0"/>
        <w:autoSpaceDE w:val="0"/>
        <w:autoSpaceDN w:val="0"/>
        <w:adjustRightInd w:val="0"/>
        <w:spacing w:line="240" w:lineRule="auto"/>
        <w:ind w:left="640" w:hanging="640"/>
        <w:rPr>
          <w:rFonts w:ascii="Calibri" w:hAnsi="Calibri" w:cs="Calibri"/>
          <w:noProof/>
          <w:szCs w:val="24"/>
        </w:rPr>
      </w:pPr>
      <w:r w:rsidRPr="0036704C">
        <w:rPr>
          <w:rFonts w:ascii="Calibri" w:hAnsi="Calibri" w:cs="Calibri"/>
          <w:noProof/>
          <w:szCs w:val="24"/>
        </w:rPr>
        <w:t>[14]</w:t>
      </w:r>
      <w:r w:rsidRPr="0036704C">
        <w:rPr>
          <w:rFonts w:ascii="Calibri" w:hAnsi="Calibri" w:cs="Calibri"/>
          <w:noProof/>
          <w:szCs w:val="24"/>
        </w:rPr>
        <w:tab/>
        <w:t>DIAS DE OLIVEIRA ME, VAUGHAN BE, RYKIEL EJ. Ethanol as Fuel: Energy, Carbon Dioxide Balances, and Ecological Footprint. Bioscience 2005. https://doi.org/10.1641/0006-</w:t>
      </w:r>
      <w:r w:rsidRPr="0036704C">
        <w:rPr>
          <w:rFonts w:ascii="Calibri" w:hAnsi="Calibri" w:cs="Calibri"/>
          <w:noProof/>
          <w:szCs w:val="24"/>
        </w:rPr>
        <w:lastRenderedPageBreak/>
        <w:t>3568(2005)055[0593:eafecd]2.0.co;2.</w:t>
      </w:r>
    </w:p>
    <w:p w14:paraId="0E187B53" w14:textId="77777777" w:rsidR="0036704C" w:rsidRPr="0036704C" w:rsidRDefault="0036704C" w:rsidP="0036704C">
      <w:pPr>
        <w:widowControl w:val="0"/>
        <w:autoSpaceDE w:val="0"/>
        <w:autoSpaceDN w:val="0"/>
        <w:adjustRightInd w:val="0"/>
        <w:spacing w:line="240" w:lineRule="auto"/>
        <w:ind w:left="640" w:hanging="640"/>
        <w:rPr>
          <w:rFonts w:ascii="Calibri" w:hAnsi="Calibri" w:cs="Calibri"/>
          <w:noProof/>
          <w:szCs w:val="24"/>
        </w:rPr>
      </w:pPr>
      <w:r w:rsidRPr="0036704C">
        <w:rPr>
          <w:rFonts w:ascii="Calibri" w:hAnsi="Calibri" w:cs="Calibri"/>
          <w:noProof/>
          <w:szCs w:val="24"/>
        </w:rPr>
        <w:t>[15]</w:t>
      </w:r>
      <w:r w:rsidRPr="0036704C">
        <w:rPr>
          <w:rFonts w:ascii="Calibri" w:hAnsi="Calibri" w:cs="Calibri"/>
          <w:noProof/>
          <w:szCs w:val="24"/>
        </w:rPr>
        <w:tab/>
        <w:t>Sheehan J, Aden A, Paustian K, Killian K, Brenner J, Walsh M, et al. Energy and environmental aspects of using corn stover for fuel ethanol. J Ind Ecol 2003. https://doi.org/10.1162/108819803323059433.</w:t>
      </w:r>
    </w:p>
    <w:p w14:paraId="5C3FCC42" w14:textId="77777777" w:rsidR="0036704C" w:rsidRPr="0036704C" w:rsidRDefault="0036704C" w:rsidP="0036704C">
      <w:pPr>
        <w:widowControl w:val="0"/>
        <w:autoSpaceDE w:val="0"/>
        <w:autoSpaceDN w:val="0"/>
        <w:adjustRightInd w:val="0"/>
        <w:spacing w:line="240" w:lineRule="auto"/>
        <w:ind w:left="640" w:hanging="640"/>
        <w:rPr>
          <w:rFonts w:ascii="Calibri" w:hAnsi="Calibri" w:cs="Calibri"/>
          <w:noProof/>
          <w:szCs w:val="24"/>
        </w:rPr>
      </w:pPr>
      <w:r w:rsidRPr="0036704C">
        <w:rPr>
          <w:rFonts w:ascii="Calibri" w:hAnsi="Calibri" w:cs="Calibri"/>
          <w:noProof/>
          <w:szCs w:val="24"/>
        </w:rPr>
        <w:t>[16]</w:t>
      </w:r>
      <w:r w:rsidRPr="0036704C">
        <w:rPr>
          <w:rFonts w:ascii="Calibri" w:hAnsi="Calibri" w:cs="Calibri"/>
          <w:noProof/>
          <w:szCs w:val="24"/>
        </w:rPr>
        <w:tab/>
        <w:t>Hamelinck CN, Van Hooijdonk G, Faaij APC. Ethanol from lignocellulosic biomass: Techno-economic performance in short-, middle- and long-term. Biomass and Bioenergy 2005. https://doi.org/10.1016/j.biombioe.2004.09.002.</w:t>
      </w:r>
    </w:p>
    <w:p w14:paraId="168BE728" w14:textId="77777777" w:rsidR="0036704C" w:rsidRPr="0036704C" w:rsidRDefault="0036704C" w:rsidP="0036704C">
      <w:pPr>
        <w:widowControl w:val="0"/>
        <w:autoSpaceDE w:val="0"/>
        <w:autoSpaceDN w:val="0"/>
        <w:adjustRightInd w:val="0"/>
        <w:spacing w:line="240" w:lineRule="auto"/>
        <w:ind w:left="640" w:hanging="640"/>
        <w:rPr>
          <w:rFonts w:ascii="Calibri" w:hAnsi="Calibri" w:cs="Calibri"/>
          <w:noProof/>
          <w:szCs w:val="24"/>
        </w:rPr>
      </w:pPr>
      <w:r w:rsidRPr="0036704C">
        <w:rPr>
          <w:rFonts w:ascii="Calibri" w:hAnsi="Calibri" w:cs="Calibri"/>
          <w:noProof/>
          <w:szCs w:val="24"/>
        </w:rPr>
        <w:t>[17]</w:t>
      </w:r>
      <w:r w:rsidRPr="0036704C">
        <w:rPr>
          <w:rFonts w:ascii="Calibri" w:hAnsi="Calibri" w:cs="Calibri"/>
          <w:noProof/>
          <w:szCs w:val="24"/>
        </w:rPr>
        <w:tab/>
        <w:t>Kumabe K, Fujimoto S, Yanagida T, Ogata M, Fukuda T, Yabe A, et al. Environmental and economic analysis of methanol production process via biomass gasification. Fuel 2008. https://doi.org/10.1016/j.fuel.2007.06.008.</w:t>
      </w:r>
    </w:p>
    <w:p w14:paraId="102FA195" w14:textId="77777777" w:rsidR="0036704C" w:rsidRPr="0036704C" w:rsidRDefault="0036704C" w:rsidP="0036704C">
      <w:pPr>
        <w:widowControl w:val="0"/>
        <w:autoSpaceDE w:val="0"/>
        <w:autoSpaceDN w:val="0"/>
        <w:adjustRightInd w:val="0"/>
        <w:spacing w:line="240" w:lineRule="auto"/>
        <w:ind w:left="640" w:hanging="640"/>
        <w:rPr>
          <w:rFonts w:ascii="Calibri" w:hAnsi="Calibri" w:cs="Calibri"/>
          <w:noProof/>
          <w:szCs w:val="24"/>
        </w:rPr>
      </w:pPr>
      <w:r w:rsidRPr="0036704C">
        <w:rPr>
          <w:rFonts w:ascii="Calibri" w:hAnsi="Calibri" w:cs="Calibri"/>
          <w:noProof/>
          <w:szCs w:val="24"/>
        </w:rPr>
        <w:t>[18]</w:t>
      </w:r>
      <w:r w:rsidRPr="0036704C">
        <w:rPr>
          <w:rFonts w:ascii="Calibri" w:hAnsi="Calibri" w:cs="Calibri"/>
          <w:noProof/>
          <w:szCs w:val="24"/>
        </w:rPr>
        <w:tab/>
        <w:t>Hamelinck CN, Faaij APC. Future prospects for production of methanol and hydrogen from biomass. J Power Sources 2002. https://doi.org/10.1016/S0378-7753(02)00220-3.</w:t>
      </w:r>
    </w:p>
    <w:p w14:paraId="0E567F83" w14:textId="77777777" w:rsidR="0036704C" w:rsidRPr="0036704C" w:rsidRDefault="0036704C" w:rsidP="0036704C">
      <w:pPr>
        <w:widowControl w:val="0"/>
        <w:autoSpaceDE w:val="0"/>
        <w:autoSpaceDN w:val="0"/>
        <w:adjustRightInd w:val="0"/>
        <w:spacing w:line="240" w:lineRule="auto"/>
        <w:ind w:left="640" w:hanging="640"/>
        <w:rPr>
          <w:rFonts w:ascii="Calibri" w:hAnsi="Calibri" w:cs="Calibri"/>
          <w:noProof/>
          <w:szCs w:val="24"/>
        </w:rPr>
      </w:pPr>
      <w:r w:rsidRPr="0036704C">
        <w:rPr>
          <w:rFonts w:ascii="Calibri" w:hAnsi="Calibri" w:cs="Calibri"/>
          <w:noProof/>
          <w:szCs w:val="24"/>
        </w:rPr>
        <w:t>[19]</w:t>
      </w:r>
      <w:r w:rsidRPr="0036704C">
        <w:rPr>
          <w:rFonts w:ascii="Calibri" w:hAnsi="Calibri" w:cs="Calibri"/>
          <w:noProof/>
          <w:szCs w:val="24"/>
        </w:rPr>
        <w:tab/>
        <w:t>Food and Agriculture Organization. Chapter 2. Wood carbonisation and the products it yields. Ind Charcoal Mak 1985. http://www.fao.org/3/x5555e/x5555e03.htm.</w:t>
      </w:r>
    </w:p>
    <w:p w14:paraId="276688C7" w14:textId="77777777" w:rsidR="0036704C" w:rsidRPr="0036704C" w:rsidRDefault="0036704C" w:rsidP="0036704C">
      <w:pPr>
        <w:widowControl w:val="0"/>
        <w:autoSpaceDE w:val="0"/>
        <w:autoSpaceDN w:val="0"/>
        <w:adjustRightInd w:val="0"/>
        <w:spacing w:line="240" w:lineRule="auto"/>
        <w:ind w:left="640" w:hanging="640"/>
        <w:rPr>
          <w:rFonts w:ascii="Calibri" w:hAnsi="Calibri" w:cs="Calibri"/>
          <w:noProof/>
          <w:szCs w:val="24"/>
        </w:rPr>
      </w:pPr>
      <w:r w:rsidRPr="0036704C">
        <w:rPr>
          <w:rFonts w:ascii="Calibri" w:hAnsi="Calibri" w:cs="Calibri"/>
          <w:noProof/>
          <w:szCs w:val="24"/>
        </w:rPr>
        <w:t>[20]</w:t>
      </w:r>
      <w:r w:rsidRPr="0036704C">
        <w:rPr>
          <w:rFonts w:ascii="Calibri" w:hAnsi="Calibri" w:cs="Calibri"/>
          <w:noProof/>
          <w:szCs w:val="24"/>
        </w:rPr>
        <w:tab/>
        <w:t>UN Statistics Division. Conversion Factors. 2014.</w:t>
      </w:r>
    </w:p>
    <w:p w14:paraId="2399F903" w14:textId="77777777" w:rsidR="0036704C" w:rsidRPr="0036704C" w:rsidRDefault="0036704C" w:rsidP="0036704C">
      <w:pPr>
        <w:widowControl w:val="0"/>
        <w:autoSpaceDE w:val="0"/>
        <w:autoSpaceDN w:val="0"/>
        <w:adjustRightInd w:val="0"/>
        <w:spacing w:line="240" w:lineRule="auto"/>
        <w:ind w:left="640" w:hanging="640"/>
        <w:rPr>
          <w:rFonts w:ascii="Calibri" w:hAnsi="Calibri" w:cs="Calibri"/>
          <w:noProof/>
        </w:rPr>
      </w:pPr>
      <w:r w:rsidRPr="0036704C">
        <w:rPr>
          <w:rFonts w:ascii="Calibri" w:hAnsi="Calibri" w:cs="Calibri"/>
          <w:noProof/>
          <w:szCs w:val="24"/>
        </w:rPr>
        <w:t>[21]</w:t>
      </w:r>
      <w:r w:rsidRPr="0036704C">
        <w:rPr>
          <w:rFonts w:ascii="Calibri" w:hAnsi="Calibri" w:cs="Calibri"/>
          <w:noProof/>
          <w:szCs w:val="24"/>
        </w:rPr>
        <w:tab/>
        <w:t>Food and Agriculture Organization. Methods for estimating biomass density from existing data. Estim Biomass Biomass Chang Trop For A Prim 1997. fao.org/3/w4095e06.htm.</w:t>
      </w:r>
    </w:p>
    <w:p w14:paraId="3875FC7C" w14:textId="06881F30" w:rsidR="00C135A9" w:rsidRPr="00C135A9" w:rsidRDefault="00C135A9" w:rsidP="00C135A9">
      <w:r>
        <w:fldChar w:fldCharType="end"/>
      </w:r>
    </w:p>
    <w:sectPr w:rsidR="00C135A9" w:rsidRPr="00C135A9" w:rsidSect="007A3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A6FA7"/>
    <w:multiLevelType w:val="hybridMultilevel"/>
    <w:tmpl w:val="B10E07BC"/>
    <w:lvl w:ilvl="0" w:tplc="5972C178">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CDE"/>
    <w:rsid w:val="0000250B"/>
    <w:rsid w:val="00012754"/>
    <w:rsid w:val="00030B46"/>
    <w:rsid w:val="0008076E"/>
    <w:rsid w:val="00090F18"/>
    <w:rsid w:val="000E0C5C"/>
    <w:rsid w:val="000F1F8D"/>
    <w:rsid w:val="001506E9"/>
    <w:rsid w:val="001B7204"/>
    <w:rsid w:val="002137D2"/>
    <w:rsid w:val="00265542"/>
    <w:rsid w:val="002E7477"/>
    <w:rsid w:val="00303D29"/>
    <w:rsid w:val="0031225E"/>
    <w:rsid w:val="0036704C"/>
    <w:rsid w:val="00370061"/>
    <w:rsid w:val="00373117"/>
    <w:rsid w:val="00392924"/>
    <w:rsid w:val="003B7DF1"/>
    <w:rsid w:val="003C4918"/>
    <w:rsid w:val="00407DB6"/>
    <w:rsid w:val="004556D8"/>
    <w:rsid w:val="005569B4"/>
    <w:rsid w:val="00561054"/>
    <w:rsid w:val="005C664F"/>
    <w:rsid w:val="005F7597"/>
    <w:rsid w:val="00600827"/>
    <w:rsid w:val="00625072"/>
    <w:rsid w:val="006262EB"/>
    <w:rsid w:val="00654556"/>
    <w:rsid w:val="0066710A"/>
    <w:rsid w:val="006E217C"/>
    <w:rsid w:val="007220DD"/>
    <w:rsid w:val="0072615B"/>
    <w:rsid w:val="00737253"/>
    <w:rsid w:val="00742FD4"/>
    <w:rsid w:val="0075318E"/>
    <w:rsid w:val="00755720"/>
    <w:rsid w:val="00755D0D"/>
    <w:rsid w:val="0079217C"/>
    <w:rsid w:val="00792B2C"/>
    <w:rsid w:val="007A3C2B"/>
    <w:rsid w:val="007A5D64"/>
    <w:rsid w:val="007B2B32"/>
    <w:rsid w:val="007C49FD"/>
    <w:rsid w:val="007E1815"/>
    <w:rsid w:val="007F33B5"/>
    <w:rsid w:val="00815DA4"/>
    <w:rsid w:val="00827CF7"/>
    <w:rsid w:val="008A7CDE"/>
    <w:rsid w:val="008E2FF0"/>
    <w:rsid w:val="008F1F22"/>
    <w:rsid w:val="00916911"/>
    <w:rsid w:val="009A231E"/>
    <w:rsid w:val="009E6F5A"/>
    <w:rsid w:val="00A712E3"/>
    <w:rsid w:val="00AB4614"/>
    <w:rsid w:val="00AF4DF8"/>
    <w:rsid w:val="00B46C3C"/>
    <w:rsid w:val="00B70F65"/>
    <w:rsid w:val="00B72EE4"/>
    <w:rsid w:val="00B86378"/>
    <w:rsid w:val="00BA252C"/>
    <w:rsid w:val="00BE744E"/>
    <w:rsid w:val="00BF5F2D"/>
    <w:rsid w:val="00C135A9"/>
    <w:rsid w:val="00C40CDA"/>
    <w:rsid w:val="00C576D7"/>
    <w:rsid w:val="00C7329F"/>
    <w:rsid w:val="00C816FC"/>
    <w:rsid w:val="00CB185B"/>
    <w:rsid w:val="00CD35E5"/>
    <w:rsid w:val="00CF3F62"/>
    <w:rsid w:val="00D21F53"/>
    <w:rsid w:val="00D2581A"/>
    <w:rsid w:val="00DF1503"/>
    <w:rsid w:val="00E06B60"/>
    <w:rsid w:val="00E41A18"/>
    <w:rsid w:val="00E737EB"/>
    <w:rsid w:val="00E92092"/>
    <w:rsid w:val="00EA108A"/>
    <w:rsid w:val="00EB4F0E"/>
    <w:rsid w:val="00EF1308"/>
    <w:rsid w:val="00F139AC"/>
    <w:rsid w:val="00F5510B"/>
    <w:rsid w:val="00F6680F"/>
    <w:rsid w:val="00F77D9A"/>
    <w:rsid w:val="00FA2175"/>
    <w:rsid w:val="00FA4ADA"/>
    <w:rsid w:val="00FF4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DA0E"/>
  <w15:chartTrackingRefBased/>
  <w15:docId w15:val="{CFDC7BAD-981B-4946-B01F-F5538C0A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7CDE"/>
  </w:style>
  <w:style w:type="paragraph" w:styleId="Heading1">
    <w:name w:val="heading 1"/>
    <w:basedOn w:val="Normal"/>
    <w:next w:val="Normal"/>
    <w:link w:val="Heading1Char"/>
    <w:uiPriority w:val="9"/>
    <w:qFormat/>
    <w:rsid w:val="00E41A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3D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A1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27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0CDA"/>
    <w:rPr>
      <w:color w:val="0000FF"/>
      <w:u w:val="single"/>
    </w:rPr>
  </w:style>
  <w:style w:type="character" w:styleId="CommentReference">
    <w:name w:val="annotation reference"/>
    <w:basedOn w:val="DefaultParagraphFont"/>
    <w:uiPriority w:val="99"/>
    <w:semiHidden/>
    <w:unhideWhenUsed/>
    <w:rsid w:val="00C40CDA"/>
    <w:rPr>
      <w:sz w:val="16"/>
      <w:szCs w:val="16"/>
    </w:rPr>
  </w:style>
  <w:style w:type="paragraph" w:styleId="CommentText">
    <w:name w:val="annotation text"/>
    <w:basedOn w:val="Normal"/>
    <w:link w:val="CommentTextChar"/>
    <w:uiPriority w:val="99"/>
    <w:semiHidden/>
    <w:unhideWhenUsed/>
    <w:rsid w:val="00C40CDA"/>
    <w:pPr>
      <w:spacing w:line="240" w:lineRule="auto"/>
    </w:pPr>
    <w:rPr>
      <w:sz w:val="20"/>
      <w:szCs w:val="20"/>
    </w:rPr>
  </w:style>
  <w:style w:type="character" w:customStyle="1" w:styleId="CommentTextChar">
    <w:name w:val="Comment Text Char"/>
    <w:basedOn w:val="DefaultParagraphFont"/>
    <w:link w:val="CommentText"/>
    <w:uiPriority w:val="99"/>
    <w:semiHidden/>
    <w:rsid w:val="00C40CDA"/>
    <w:rPr>
      <w:sz w:val="20"/>
      <w:szCs w:val="20"/>
    </w:rPr>
  </w:style>
  <w:style w:type="paragraph" w:styleId="CommentSubject">
    <w:name w:val="annotation subject"/>
    <w:basedOn w:val="CommentText"/>
    <w:next w:val="CommentText"/>
    <w:link w:val="CommentSubjectChar"/>
    <w:uiPriority w:val="99"/>
    <w:semiHidden/>
    <w:unhideWhenUsed/>
    <w:rsid w:val="00C40CDA"/>
    <w:rPr>
      <w:b/>
      <w:bCs/>
    </w:rPr>
  </w:style>
  <w:style w:type="character" w:customStyle="1" w:styleId="CommentSubjectChar">
    <w:name w:val="Comment Subject Char"/>
    <w:basedOn w:val="CommentTextChar"/>
    <w:link w:val="CommentSubject"/>
    <w:uiPriority w:val="99"/>
    <w:semiHidden/>
    <w:rsid w:val="00C40CDA"/>
    <w:rPr>
      <w:b/>
      <w:bCs/>
      <w:sz w:val="20"/>
      <w:szCs w:val="20"/>
    </w:rPr>
  </w:style>
  <w:style w:type="paragraph" w:styleId="BalloonText">
    <w:name w:val="Balloon Text"/>
    <w:basedOn w:val="Normal"/>
    <w:link w:val="BalloonTextChar"/>
    <w:uiPriority w:val="99"/>
    <w:semiHidden/>
    <w:unhideWhenUsed/>
    <w:rsid w:val="00C40C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CDA"/>
    <w:rPr>
      <w:rFonts w:ascii="Segoe UI" w:hAnsi="Segoe UI" w:cs="Segoe UI"/>
      <w:sz w:val="18"/>
      <w:szCs w:val="18"/>
    </w:rPr>
  </w:style>
  <w:style w:type="paragraph" w:styleId="TOCHeading">
    <w:name w:val="TOC Heading"/>
    <w:basedOn w:val="Heading1"/>
    <w:next w:val="Normal"/>
    <w:uiPriority w:val="39"/>
    <w:unhideWhenUsed/>
    <w:qFormat/>
    <w:rsid w:val="00C40CDA"/>
    <w:pPr>
      <w:outlineLvl w:val="9"/>
    </w:pPr>
    <w:rPr>
      <w:lang w:eastAsia="en-US"/>
    </w:rPr>
  </w:style>
  <w:style w:type="paragraph" w:styleId="TOC1">
    <w:name w:val="toc 1"/>
    <w:basedOn w:val="Normal"/>
    <w:next w:val="Normal"/>
    <w:autoRedefine/>
    <w:uiPriority w:val="39"/>
    <w:unhideWhenUsed/>
    <w:rsid w:val="00C40CDA"/>
    <w:pPr>
      <w:spacing w:after="100"/>
    </w:pPr>
  </w:style>
  <w:style w:type="character" w:customStyle="1" w:styleId="Heading2Char">
    <w:name w:val="Heading 2 Char"/>
    <w:basedOn w:val="DefaultParagraphFont"/>
    <w:link w:val="Heading2"/>
    <w:uiPriority w:val="9"/>
    <w:rsid w:val="00303D2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F33B5"/>
    <w:pPr>
      <w:spacing w:after="100"/>
      <w:ind w:left="220"/>
    </w:pPr>
  </w:style>
  <w:style w:type="character" w:styleId="LineNumber">
    <w:name w:val="line number"/>
    <w:basedOn w:val="DefaultParagraphFont"/>
    <w:uiPriority w:val="99"/>
    <w:semiHidden/>
    <w:unhideWhenUsed/>
    <w:rsid w:val="00742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46548">
      <w:bodyDiv w:val="1"/>
      <w:marLeft w:val="0"/>
      <w:marRight w:val="0"/>
      <w:marTop w:val="0"/>
      <w:marBottom w:val="0"/>
      <w:divBdr>
        <w:top w:val="none" w:sz="0" w:space="0" w:color="auto"/>
        <w:left w:val="none" w:sz="0" w:space="0" w:color="auto"/>
        <w:bottom w:val="none" w:sz="0" w:space="0" w:color="auto"/>
        <w:right w:val="none" w:sz="0" w:space="0" w:color="auto"/>
      </w:divBdr>
    </w:div>
    <w:div w:id="143736924">
      <w:bodyDiv w:val="1"/>
      <w:marLeft w:val="0"/>
      <w:marRight w:val="0"/>
      <w:marTop w:val="0"/>
      <w:marBottom w:val="0"/>
      <w:divBdr>
        <w:top w:val="none" w:sz="0" w:space="0" w:color="auto"/>
        <w:left w:val="none" w:sz="0" w:space="0" w:color="auto"/>
        <w:bottom w:val="none" w:sz="0" w:space="0" w:color="auto"/>
        <w:right w:val="none" w:sz="0" w:space="0" w:color="auto"/>
      </w:divBdr>
    </w:div>
    <w:div w:id="166988277">
      <w:bodyDiv w:val="1"/>
      <w:marLeft w:val="0"/>
      <w:marRight w:val="0"/>
      <w:marTop w:val="0"/>
      <w:marBottom w:val="0"/>
      <w:divBdr>
        <w:top w:val="none" w:sz="0" w:space="0" w:color="auto"/>
        <w:left w:val="none" w:sz="0" w:space="0" w:color="auto"/>
        <w:bottom w:val="none" w:sz="0" w:space="0" w:color="auto"/>
        <w:right w:val="none" w:sz="0" w:space="0" w:color="auto"/>
      </w:divBdr>
    </w:div>
    <w:div w:id="190191587">
      <w:bodyDiv w:val="1"/>
      <w:marLeft w:val="0"/>
      <w:marRight w:val="0"/>
      <w:marTop w:val="0"/>
      <w:marBottom w:val="0"/>
      <w:divBdr>
        <w:top w:val="none" w:sz="0" w:space="0" w:color="auto"/>
        <w:left w:val="none" w:sz="0" w:space="0" w:color="auto"/>
        <w:bottom w:val="none" w:sz="0" w:space="0" w:color="auto"/>
        <w:right w:val="none" w:sz="0" w:space="0" w:color="auto"/>
      </w:divBdr>
    </w:div>
    <w:div w:id="222182350">
      <w:bodyDiv w:val="1"/>
      <w:marLeft w:val="0"/>
      <w:marRight w:val="0"/>
      <w:marTop w:val="0"/>
      <w:marBottom w:val="0"/>
      <w:divBdr>
        <w:top w:val="none" w:sz="0" w:space="0" w:color="auto"/>
        <w:left w:val="none" w:sz="0" w:space="0" w:color="auto"/>
        <w:bottom w:val="none" w:sz="0" w:space="0" w:color="auto"/>
        <w:right w:val="none" w:sz="0" w:space="0" w:color="auto"/>
      </w:divBdr>
    </w:div>
    <w:div w:id="400565694">
      <w:bodyDiv w:val="1"/>
      <w:marLeft w:val="0"/>
      <w:marRight w:val="0"/>
      <w:marTop w:val="0"/>
      <w:marBottom w:val="0"/>
      <w:divBdr>
        <w:top w:val="none" w:sz="0" w:space="0" w:color="auto"/>
        <w:left w:val="none" w:sz="0" w:space="0" w:color="auto"/>
        <w:bottom w:val="none" w:sz="0" w:space="0" w:color="auto"/>
        <w:right w:val="none" w:sz="0" w:space="0" w:color="auto"/>
      </w:divBdr>
    </w:div>
    <w:div w:id="441188994">
      <w:bodyDiv w:val="1"/>
      <w:marLeft w:val="0"/>
      <w:marRight w:val="0"/>
      <w:marTop w:val="0"/>
      <w:marBottom w:val="0"/>
      <w:divBdr>
        <w:top w:val="none" w:sz="0" w:space="0" w:color="auto"/>
        <w:left w:val="none" w:sz="0" w:space="0" w:color="auto"/>
        <w:bottom w:val="none" w:sz="0" w:space="0" w:color="auto"/>
        <w:right w:val="none" w:sz="0" w:space="0" w:color="auto"/>
      </w:divBdr>
    </w:div>
    <w:div w:id="493837388">
      <w:bodyDiv w:val="1"/>
      <w:marLeft w:val="0"/>
      <w:marRight w:val="0"/>
      <w:marTop w:val="0"/>
      <w:marBottom w:val="0"/>
      <w:divBdr>
        <w:top w:val="none" w:sz="0" w:space="0" w:color="auto"/>
        <w:left w:val="none" w:sz="0" w:space="0" w:color="auto"/>
        <w:bottom w:val="none" w:sz="0" w:space="0" w:color="auto"/>
        <w:right w:val="none" w:sz="0" w:space="0" w:color="auto"/>
      </w:divBdr>
    </w:div>
    <w:div w:id="535460975">
      <w:bodyDiv w:val="1"/>
      <w:marLeft w:val="0"/>
      <w:marRight w:val="0"/>
      <w:marTop w:val="0"/>
      <w:marBottom w:val="0"/>
      <w:divBdr>
        <w:top w:val="none" w:sz="0" w:space="0" w:color="auto"/>
        <w:left w:val="none" w:sz="0" w:space="0" w:color="auto"/>
        <w:bottom w:val="none" w:sz="0" w:space="0" w:color="auto"/>
        <w:right w:val="none" w:sz="0" w:space="0" w:color="auto"/>
      </w:divBdr>
    </w:div>
    <w:div w:id="603417539">
      <w:bodyDiv w:val="1"/>
      <w:marLeft w:val="0"/>
      <w:marRight w:val="0"/>
      <w:marTop w:val="0"/>
      <w:marBottom w:val="0"/>
      <w:divBdr>
        <w:top w:val="none" w:sz="0" w:space="0" w:color="auto"/>
        <w:left w:val="none" w:sz="0" w:space="0" w:color="auto"/>
        <w:bottom w:val="none" w:sz="0" w:space="0" w:color="auto"/>
        <w:right w:val="none" w:sz="0" w:space="0" w:color="auto"/>
      </w:divBdr>
    </w:div>
    <w:div w:id="631982185">
      <w:bodyDiv w:val="1"/>
      <w:marLeft w:val="0"/>
      <w:marRight w:val="0"/>
      <w:marTop w:val="0"/>
      <w:marBottom w:val="0"/>
      <w:divBdr>
        <w:top w:val="none" w:sz="0" w:space="0" w:color="auto"/>
        <w:left w:val="none" w:sz="0" w:space="0" w:color="auto"/>
        <w:bottom w:val="none" w:sz="0" w:space="0" w:color="auto"/>
        <w:right w:val="none" w:sz="0" w:space="0" w:color="auto"/>
      </w:divBdr>
    </w:div>
    <w:div w:id="725643933">
      <w:bodyDiv w:val="1"/>
      <w:marLeft w:val="0"/>
      <w:marRight w:val="0"/>
      <w:marTop w:val="0"/>
      <w:marBottom w:val="0"/>
      <w:divBdr>
        <w:top w:val="none" w:sz="0" w:space="0" w:color="auto"/>
        <w:left w:val="none" w:sz="0" w:space="0" w:color="auto"/>
        <w:bottom w:val="none" w:sz="0" w:space="0" w:color="auto"/>
        <w:right w:val="none" w:sz="0" w:space="0" w:color="auto"/>
      </w:divBdr>
    </w:div>
    <w:div w:id="731077266">
      <w:bodyDiv w:val="1"/>
      <w:marLeft w:val="0"/>
      <w:marRight w:val="0"/>
      <w:marTop w:val="0"/>
      <w:marBottom w:val="0"/>
      <w:divBdr>
        <w:top w:val="none" w:sz="0" w:space="0" w:color="auto"/>
        <w:left w:val="none" w:sz="0" w:space="0" w:color="auto"/>
        <w:bottom w:val="none" w:sz="0" w:space="0" w:color="auto"/>
        <w:right w:val="none" w:sz="0" w:space="0" w:color="auto"/>
      </w:divBdr>
    </w:div>
    <w:div w:id="896477676">
      <w:bodyDiv w:val="1"/>
      <w:marLeft w:val="0"/>
      <w:marRight w:val="0"/>
      <w:marTop w:val="0"/>
      <w:marBottom w:val="0"/>
      <w:divBdr>
        <w:top w:val="none" w:sz="0" w:space="0" w:color="auto"/>
        <w:left w:val="none" w:sz="0" w:space="0" w:color="auto"/>
        <w:bottom w:val="none" w:sz="0" w:space="0" w:color="auto"/>
        <w:right w:val="none" w:sz="0" w:space="0" w:color="auto"/>
      </w:divBdr>
    </w:div>
    <w:div w:id="931007712">
      <w:bodyDiv w:val="1"/>
      <w:marLeft w:val="0"/>
      <w:marRight w:val="0"/>
      <w:marTop w:val="0"/>
      <w:marBottom w:val="0"/>
      <w:divBdr>
        <w:top w:val="none" w:sz="0" w:space="0" w:color="auto"/>
        <w:left w:val="none" w:sz="0" w:space="0" w:color="auto"/>
        <w:bottom w:val="none" w:sz="0" w:space="0" w:color="auto"/>
        <w:right w:val="none" w:sz="0" w:space="0" w:color="auto"/>
      </w:divBdr>
    </w:div>
    <w:div w:id="938875072">
      <w:bodyDiv w:val="1"/>
      <w:marLeft w:val="0"/>
      <w:marRight w:val="0"/>
      <w:marTop w:val="0"/>
      <w:marBottom w:val="0"/>
      <w:divBdr>
        <w:top w:val="none" w:sz="0" w:space="0" w:color="auto"/>
        <w:left w:val="none" w:sz="0" w:space="0" w:color="auto"/>
        <w:bottom w:val="none" w:sz="0" w:space="0" w:color="auto"/>
        <w:right w:val="none" w:sz="0" w:space="0" w:color="auto"/>
      </w:divBdr>
    </w:div>
    <w:div w:id="1065419990">
      <w:bodyDiv w:val="1"/>
      <w:marLeft w:val="0"/>
      <w:marRight w:val="0"/>
      <w:marTop w:val="0"/>
      <w:marBottom w:val="0"/>
      <w:divBdr>
        <w:top w:val="none" w:sz="0" w:space="0" w:color="auto"/>
        <w:left w:val="none" w:sz="0" w:space="0" w:color="auto"/>
        <w:bottom w:val="none" w:sz="0" w:space="0" w:color="auto"/>
        <w:right w:val="none" w:sz="0" w:space="0" w:color="auto"/>
      </w:divBdr>
    </w:div>
    <w:div w:id="1120803800">
      <w:bodyDiv w:val="1"/>
      <w:marLeft w:val="0"/>
      <w:marRight w:val="0"/>
      <w:marTop w:val="0"/>
      <w:marBottom w:val="0"/>
      <w:divBdr>
        <w:top w:val="none" w:sz="0" w:space="0" w:color="auto"/>
        <w:left w:val="none" w:sz="0" w:space="0" w:color="auto"/>
        <w:bottom w:val="none" w:sz="0" w:space="0" w:color="auto"/>
        <w:right w:val="none" w:sz="0" w:space="0" w:color="auto"/>
      </w:divBdr>
    </w:div>
    <w:div w:id="1138037939">
      <w:bodyDiv w:val="1"/>
      <w:marLeft w:val="0"/>
      <w:marRight w:val="0"/>
      <w:marTop w:val="0"/>
      <w:marBottom w:val="0"/>
      <w:divBdr>
        <w:top w:val="none" w:sz="0" w:space="0" w:color="auto"/>
        <w:left w:val="none" w:sz="0" w:space="0" w:color="auto"/>
        <w:bottom w:val="none" w:sz="0" w:space="0" w:color="auto"/>
        <w:right w:val="none" w:sz="0" w:space="0" w:color="auto"/>
      </w:divBdr>
    </w:div>
    <w:div w:id="1141534102">
      <w:bodyDiv w:val="1"/>
      <w:marLeft w:val="0"/>
      <w:marRight w:val="0"/>
      <w:marTop w:val="0"/>
      <w:marBottom w:val="0"/>
      <w:divBdr>
        <w:top w:val="none" w:sz="0" w:space="0" w:color="auto"/>
        <w:left w:val="none" w:sz="0" w:space="0" w:color="auto"/>
        <w:bottom w:val="none" w:sz="0" w:space="0" w:color="auto"/>
        <w:right w:val="none" w:sz="0" w:space="0" w:color="auto"/>
      </w:divBdr>
    </w:div>
    <w:div w:id="1159350205">
      <w:bodyDiv w:val="1"/>
      <w:marLeft w:val="0"/>
      <w:marRight w:val="0"/>
      <w:marTop w:val="0"/>
      <w:marBottom w:val="0"/>
      <w:divBdr>
        <w:top w:val="none" w:sz="0" w:space="0" w:color="auto"/>
        <w:left w:val="none" w:sz="0" w:space="0" w:color="auto"/>
        <w:bottom w:val="none" w:sz="0" w:space="0" w:color="auto"/>
        <w:right w:val="none" w:sz="0" w:space="0" w:color="auto"/>
      </w:divBdr>
    </w:div>
    <w:div w:id="1171875503">
      <w:bodyDiv w:val="1"/>
      <w:marLeft w:val="0"/>
      <w:marRight w:val="0"/>
      <w:marTop w:val="0"/>
      <w:marBottom w:val="0"/>
      <w:divBdr>
        <w:top w:val="none" w:sz="0" w:space="0" w:color="auto"/>
        <w:left w:val="none" w:sz="0" w:space="0" w:color="auto"/>
        <w:bottom w:val="none" w:sz="0" w:space="0" w:color="auto"/>
        <w:right w:val="none" w:sz="0" w:space="0" w:color="auto"/>
      </w:divBdr>
    </w:div>
    <w:div w:id="1185556089">
      <w:bodyDiv w:val="1"/>
      <w:marLeft w:val="0"/>
      <w:marRight w:val="0"/>
      <w:marTop w:val="0"/>
      <w:marBottom w:val="0"/>
      <w:divBdr>
        <w:top w:val="none" w:sz="0" w:space="0" w:color="auto"/>
        <w:left w:val="none" w:sz="0" w:space="0" w:color="auto"/>
        <w:bottom w:val="none" w:sz="0" w:space="0" w:color="auto"/>
        <w:right w:val="none" w:sz="0" w:space="0" w:color="auto"/>
      </w:divBdr>
    </w:div>
    <w:div w:id="1213536738">
      <w:bodyDiv w:val="1"/>
      <w:marLeft w:val="0"/>
      <w:marRight w:val="0"/>
      <w:marTop w:val="0"/>
      <w:marBottom w:val="0"/>
      <w:divBdr>
        <w:top w:val="none" w:sz="0" w:space="0" w:color="auto"/>
        <w:left w:val="none" w:sz="0" w:space="0" w:color="auto"/>
        <w:bottom w:val="none" w:sz="0" w:space="0" w:color="auto"/>
        <w:right w:val="none" w:sz="0" w:space="0" w:color="auto"/>
      </w:divBdr>
    </w:div>
    <w:div w:id="1263033204">
      <w:bodyDiv w:val="1"/>
      <w:marLeft w:val="0"/>
      <w:marRight w:val="0"/>
      <w:marTop w:val="0"/>
      <w:marBottom w:val="0"/>
      <w:divBdr>
        <w:top w:val="none" w:sz="0" w:space="0" w:color="auto"/>
        <w:left w:val="none" w:sz="0" w:space="0" w:color="auto"/>
        <w:bottom w:val="none" w:sz="0" w:space="0" w:color="auto"/>
        <w:right w:val="none" w:sz="0" w:space="0" w:color="auto"/>
      </w:divBdr>
    </w:div>
    <w:div w:id="1291782782">
      <w:bodyDiv w:val="1"/>
      <w:marLeft w:val="0"/>
      <w:marRight w:val="0"/>
      <w:marTop w:val="0"/>
      <w:marBottom w:val="0"/>
      <w:divBdr>
        <w:top w:val="none" w:sz="0" w:space="0" w:color="auto"/>
        <w:left w:val="none" w:sz="0" w:space="0" w:color="auto"/>
        <w:bottom w:val="none" w:sz="0" w:space="0" w:color="auto"/>
        <w:right w:val="none" w:sz="0" w:space="0" w:color="auto"/>
      </w:divBdr>
    </w:div>
    <w:div w:id="1303462182">
      <w:bodyDiv w:val="1"/>
      <w:marLeft w:val="0"/>
      <w:marRight w:val="0"/>
      <w:marTop w:val="0"/>
      <w:marBottom w:val="0"/>
      <w:divBdr>
        <w:top w:val="none" w:sz="0" w:space="0" w:color="auto"/>
        <w:left w:val="none" w:sz="0" w:space="0" w:color="auto"/>
        <w:bottom w:val="none" w:sz="0" w:space="0" w:color="auto"/>
        <w:right w:val="none" w:sz="0" w:space="0" w:color="auto"/>
      </w:divBdr>
    </w:div>
    <w:div w:id="1325402001">
      <w:bodyDiv w:val="1"/>
      <w:marLeft w:val="0"/>
      <w:marRight w:val="0"/>
      <w:marTop w:val="0"/>
      <w:marBottom w:val="0"/>
      <w:divBdr>
        <w:top w:val="none" w:sz="0" w:space="0" w:color="auto"/>
        <w:left w:val="none" w:sz="0" w:space="0" w:color="auto"/>
        <w:bottom w:val="none" w:sz="0" w:space="0" w:color="auto"/>
        <w:right w:val="none" w:sz="0" w:space="0" w:color="auto"/>
      </w:divBdr>
    </w:div>
    <w:div w:id="1332832318">
      <w:bodyDiv w:val="1"/>
      <w:marLeft w:val="0"/>
      <w:marRight w:val="0"/>
      <w:marTop w:val="0"/>
      <w:marBottom w:val="0"/>
      <w:divBdr>
        <w:top w:val="none" w:sz="0" w:space="0" w:color="auto"/>
        <w:left w:val="none" w:sz="0" w:space="0" w:color="auto"/>
        <w:bottom w:val="none" w:sz="0" w:space="0" w:color="auto"/>
        <w:right w:val="none" w:sz="0" w:space="0" w:color="auto"/>
      </w:divBdr>
    </w:div>
    <w:div w:id="1334263035">
      <w:bodyDiv w:val="1"/>
      <w:marLeft w:val="0"/>
      <w:marRight w:val="0"/>
      <w:marTop w:val="0"/>
      <w:marBottom w:val="0"/>
      <w:divBdr>
        <w:top w:val="none" w:sz="0" w:space="0" w:color="auto"/>
        <w:left w:val="none" w:sz="0" w:space="0" w:color="auto"/>
        <w:bottom w:val="none" w:sz="0" w:space="0" w:color="auto"/>
        <w:right w:val="none" w:sz="0" w:space="0" w:color="auto"/>
      </w:divBdr>
    </w:div>
    <w:div w:id="1394085968">
      <w:bodyDiv w:val="1"/>
      <w:marLeft w:val="0"/>
      <w:marRight w:val="0"/>
      <w:marTop w:val="0"/>
      <w:marBottom w:val="0"/>
      <w:divBdr>
        <w:top w:val="none" w:sz="0" w:space="0" w:color="auto"/>
        <w:left w:val="none" w:sz="0" w:space="0" w:color="auto"/>
        <w:bottom w:val="none" w:sz="0" w:space="0" w:color="auto"/>
        <w:right w:val="none" w:sz="0" w:space="0" w:color="auto"/>
      </w:divBdr>
    </w:div>
    <w:div w:id="1457330064">
      <w:bodyDiv w:val="1"/>
      <w:marLeft w:val="0"/>
      <w:marRight w:val="0"/>
      <w:marTop w:val="0"/>
      <w:marBottom w:val="0"/>
      <w:divBdr>
        <w:top w:val="none" w:sz="0" w:space="0" w:color="auto"/>
        <w:left w:val="none" w:sz="0" w:space="0" w:color="auto"/>
        <w:bottom w:val="none" w:sz="0" w:space="0" w:color="auto"/>
        <w:right w:val="none" w:sz="0" w:space="0" w:color="auto"/>
      </w:divBdr>
    </w:div>
    <w:div w:id="1459638930">
      <w:bodyDiv w:val="1"/>
      <w:marLeft w:val="0"/>
      <w:marRight w:val="0"/>
      <w:marTop w:val="0"/>
      <w:marBottom w:val="0"/>
      <w:divBdr>
        <w:top w:val="none" w:sz="0" w:space="0" w:color="auto"/>
        <w:left w:val="none" w:sz="0" w:space="0" w:color="auto"/>
        <w:bottom w:val="none" w:sz="0" w:space="0" w:color="auto"/>
        <w:right w:val="none" w:sz="0" w:space="0" w:color="auto"/>
      </w:divBdr>
    </w:div>
    <w:div w:id="1510561474">
      <w:bodyDiv w:val="1"/>
      <w:marLeft w:val="0"/>
      <w:marRight w:val="0"/>
      <w:marTop w:val="0"/>
      <w:marBottom w:val="0"/>
      <w:divBdr>
        <w:top w:val="none" w:sz="0" w:space="0" w:color="auto"/>
        <w:left w:val="none" w:sz="0" w:space="0" w:color="auto"/>
        <w:bottom w:val="none" w:sz="0" w:space="0" w:color="auto"/>
        <w:right w:val="none" w:sz="0" w:space="0" w:color="auto"/>
      </w:divBdr>
    </w:div>
    <w:div w:id="1536580722">
      <w:bodyDiv w:val="1"/>
      <w:marLeft w:val="0"/>
      <w:marRight w:val="0"/>
      <w:marTop w:val="0"/>
      <w:marBottom w:val="0"/>
      <w:divBdr>
        <w:top w:val="none" w:sz="0" w:space="0" w:color="auto"/>
        <w:left w:val="none" w:sz="0" w:space="0" w:color="auto"/>
        <w:bottom w:val="none" w:sz="0" w:space="0" w:color="auto"/>
        <w:right w:val="none" w:sz="0" w:space="0" w:color="auto"/>
      </w:divBdr>
    </w:div>
    <w:div w:id="1552690239">
      <w:bodyDiv w:val="1"/>
      <w:marLeft w:val="0"/>
      <w:marRight w:val="0"/>
      <w:marTop w:val="0"/>
      <w:marBottom w:val="0"/>
      <w:divBdr>
        <w:top w:val="none" w:sz="0" w:space="0" w:color="auto"/>
        <w:left w:val="none" w:sz="0" w:space="0" w:color="auto"/>
        <w:bottom w:val="none" w:sz="0" w:space="0" w:color="auto"/>
        <w:right w:val="none" w:sz="0" w:space="0" w:color="auto"/>
      </w:divBdr>
    </w:div>
    <w:div w:id="1632516595">
      <w:bodyDiv w:val="1"/>
      <w:marLeft w:val="0"/>
      <w:marRight w:val="0"/>
      <w:marTop w:val="0"/>
      <w:marBottom w:val="0"/>
      <w:divBdr>
        <w:top w:val="none" w:sz="0" w:space="0" w:color="auto"/>
        <w:left w:val="none" w:sz="0" w:space="0" w:color="auto"/>
        <w:bottom w:val="none" w:sz="0" w:space="0" w:color="auto"/>
        <w:right w:val="none" w:sz="0" w:space="0" w:color="auto"/>
      </w:divBdr>
    </w:div>
    <w:div w:id="1635135945">
      <w:bodyDiv w:val="1"/>
      <w:marLeft w:val="0"/>
      <w:marRight w:val="0"/>
      <w:marTop w:val="0"/>
      <w:marBottom w:val="0"/>
      <w:divBdr>
        <w:top w:val="none" w:sz="0" w:space="0" w:color="auto"/>
        <w:left w:val="none" w:sz="0" w:space="0" w:color="auto"/>
        <w:bottom w:val="none" w:sz="0" w:space="0" w:color="auto"/>
        <w:right w:val="none" w:sz="0" w:space="0" w:color="auto"/>
      </w:divBdr>
    </w:div>
    <w:div w:id="1676573726">
      <w:bodyDiv w:val="1"/>
      <w:marLeft w:val="0"/>
      <w:marRight w:val="0"/>
      <w:marTop w:val="0"/>
      <w:marBottom w:val="0"/>
      <w:divBdr>
        <w:top w:val="none" w:sz="0" w:space="0" w:color="auto"/>
        <w:left w:val="none" w:sz="0" w:space="0" w:color="auto"/>
        <w:bottom w:val="none" w:sz="0" w:space="0" w:color="auto"/>
        <w:right w:val="none" w:sz="0" w:space="0" w:color="auto"/>
      </w:divBdr>
    </w:div>
    <w:div w:id="1677147594">
      <w:bodyDiv w:val="1"/>
      <w:marLeft w:val="0"/>
      <w:marRight w:val="0"/>
      <w:marTop w:val="0"/>
      <w:marBottom w:val="0"/>
      <w:divBdr>
        <w:top w:val="none" w:sz="0" w:space="0" w:color="auto"/>
        <w:left w:val="none" w:sz="0" w:space="0" w:color="auto"/>
        <w:bottom w:val="none" w:sz="0" w:space="0" w:color="auto"/>
        <w:right w:val="none" w:sz="0" w:space="0" w:color="auto"/>
      </w:divBdr>
    </w:div>
    <w:div w:id="1720013915">
      <w:bodyDiv w:val="1"/>
      <w:marLeft w:val="0"/>
      <w:marRight w:val="0"/>
      <w:marTop w:val="0"/>
      <w:marBottom w:val="0"/>
      <w:divBdr>
        <w:top w:val="none" w:sz="0" w:space="0" w:color="auto"/>
        <w:left w:val="none" w:sz="0" w:space="0" w:color="auto"/>
        <w:bottom w:val="none" w:sz="0" w:space="0" w:color="auto"/>
        <w:right w:val="none" w:sz="0" w:space="0" w:color="auto"/>
      </w:divBdr>
    </w:div>
    <w:div w:id="1736394989">
      <w:bodyDiv w:val="1"/>
      <w:marLeft w:val="0"/>
      <w:marRight w:val="0"/>
      <w:marTop w:val="0"/>
      <w:marBottom w:val="0"/>
      <w:divBdr>
        <w:top w:val="none" w:sz="0" w:space="0" w:color="auto"/>
        <w:left w:val="none" w:sz="0" w:space="0" w:color="auto"/>
        <w:bottom w:val="none" w:sz="0" w:space="0" w:color="auto"/>
        <w:right w:val="none" w:sz="0" w:space="0" w:color="auto"/>
      </w:divBdr>
    </w:div>
    <w:div w:id="1817406348">
      <w:bodyDiv w:val="1"/>
      <w:marLeft w:val="0"/>
      <w:marRight w:val="0"/>
      <w:marTop w:val="0"/>
      <w:marBottom w:val="0"/>
      <w:divBdr>
        <w:top w:val="none" w:sz="0" w:space="0" w:color="auto"/>
        <w:left w:val="none" w:sz="0" w:space="0" w:color="auto"/>
        <w:bottom w:val="none" w:sz="0" w:space="0" w:color="auto"/>
        <w:right w:val="none" w:sz="0" w:space="0" w:color="auto"/>
      </w:divBdr>
    </w:div>
    <w:div w:id="1898397235">
      <w:bodyDiv w:val="1"/>
      <w:marLeft w:val="0"/>
      <w:marRight w:val="0"/>
      <w:marTop w:val="0"/>
      <w:marBottom w:val="0"/>
      <w:divBdr>
        <w:top w:val="none" w:sz="0" w:space="0" w:color="auto"/>
        <w:left w:val="none" w:sz="0" w:space="0" w:color="auto"/>
        <w:bottom w:val="none" w:sz="0" w:space="0" w:color="auto"/>
        <w:right w:val="none" w:sz="0" w:space="0" w:color="auto"/>
      </w:divBdr>
    </w:div>
    <w:div w:id="1992251649">
      <w:bodyDiv w:val="1"/>
      <w:marLeft w:val="0"/>
      <w:marRight w:val="0"/>
      <w:marTop w:val="0"/>
      <w:marBottom w:val="0"/>
      <w:divBdr>
        <w:top w:val="none" w:sz="0" w:space="0" w:color="auto"/>
        <w:left w:val="none" w:sz="0" w:space="0" w:color="auto"/>
        <w:bottom w:val="none" w:sz="0" w:space="0" w:color="auto"/>
        <w:right w:val="none" w:sz="0" w:space="0" w:color="auto"/>
      </w:divBdr>
    </w:div>
    <w:div w:id="2005236183">
      <w:bodyDiv w:val="1"/>
      <w:marLeft w:val="0"/>
      <w:marRight w:val="0"/>
      <w:marTop w:val="0"/>
      <w:marBottom w:val="0"/>
      <w:divBdr>
        <w:top w:val="none" w:sz="0" w:space="0" w:color="auto"/>
        <w:left w:val="none" w:sz="0" w:space="0" w:color="auto"/>
        <w:bottom w:val="none" w:sz="0" w:space="0" w:color="auto"/>
        <w:right w:val="none" w:sz="0" w:space="0" w:color="auto"/>
      </w:divBdr>
    </w:div>
    <w:div w:id="2062367588">
      <w:bodyDiv w:val="1"/>
      <w:marLeft w:val="0"/>
      <w:marRight w:val="0"/>
      <w:marTop w:val="0"/>
      <w:marBottom w:val="0"/>
      <w:divBdr>
        <w:top w:val="none" w:sz="0" w:space="0" w:color="auto"/>
        <w:left w:val="none" w:sz="0" w:space="0" w:color="auto"/>
        <w:bottom w:val="none" w:sz="0" w:space="0" w:color="auto"/>
        <w:right w:val="none" w:sz="0" w:space="0" w:color="auto"/>
      </w:divBdr>
    </w:div>
    <w:div w:id="2079665748">
      <w:bodyDiv w:val="1"/>
      <w:marLeft w:val="0"/>
      <w:marRight w:val="0"/>
      <w:marTop w:val="0"/>
      <w:marBottom w:val="0"/>
      <w:divBdr>
        <w:top w:val="none" w:sz="0" w:space="0" w:color="auto"/>
        <w:left w:val="none" w:sz="0" w:space="0" w:color="auto"/>
        <w:bottom w:val="none" w:sz="0" w:space="0" w:color="auto"/>
        <w:right w:val="none" w:sz="0" w:space="0" w:color="auto"/>
      </w:divBdr>
    </w:div>
    <w:div w:id="2087603427">
      <w:bodyDiv w:val="1"/>
      <w:marLeft w:val="0"/>
      <w:marRight w:val="0"/>
      <w:marTop w:val="0"/>
      <w:marBottom w:val="0"/>
      <w:divBdr>
        <w:top w:val="none" w:sz="0" w:space="0" w:color="auto"/>
        <w:left w:val="none" w:sz="0" w:space="0" w:color="auto"/>
        <w:bottom w:val="none" w:sz="0" w:space="0" w:color="auto"/>
        <w:right w:val="none" w:sz="0" w:space="0" w:color="auto"/>
      </w:divBdr>
    </w:div>
    <w:div w:id="2088964516">
      <w:bodyDiv w:val="1"/>
      <w:marLeft w:val="0"/>
      <w:marRight w:val="0"/>
      <w:marTop w:val="0"/>
      <w:marBottom w:val="0"/>
      <w:divBdr>
        <w:top w:val="none" w:sz="0" w:space="0" w:color="auto"/>
        <w:left w:val="none" w:sz="0" w:space="0" w:color="auto"/>
        <w:bottom w:val="none" w:sz="0" w:space="0" w:color="auto"/>
        <w:right w:val="none" w:sz="0" w:space="0" w:color="auto"/>
      </w:divBdr>
    </w:div>
    <w:div w:id="2091922615">
      <w:bodyDiv w:val="1"/>
      <w:marLeft w:val="0"/>
      <w:marRight w:val="0"/>
      <w:marTop w:val="0"/>
      <w:marBottom w:val="0"/>
      <w:divBdr>
        <w:top w:val="none" w:sz="0" w:space="0" w:color="auto"/>
        <w:left w:val="none" w:sz="0" w:space="0" w:color="auto"/>
        <w:bottom w:val="none" w:sz="0" w:space="0" w:color="auto"/>
        <w:right w:val="none" w:sz="0" w:space="0" w:color="auto"/>
      </w:divBdr>
    </w:div>
    <w:div w:id="2129541294">
      <w:bodyDiv w:val="1"/>
      <w:marLeft w:val="0"/>
      <w:marRight w:val="0"/>
      <w:marTop w:val="0"/>
      <w:marBottom w:val="0"/>
      <w:divBdr>
        <w:top w:val="none" w:sz="0" w:space="0" w:color="auto"/>
        <w:left w:val="none" w:sz="0" w:space="0" w:color="auto"/>
        <w:bottom w:val="none" w:sz="0" w:space="0" w:color="auto"/>
        <w:right w:val="none" w:sz="0" w:space="0" w:color="auto"/>
      </w:divBdr>
    </w:div>
    <w:div w:id="21468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43073-747F-49A6-ABF4-135E0AE78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16</Pages>
  <Words>9182</Words>
  <Characters>52343</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61403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Shepard</dc:creator>
  <cp:keywords/>
  <dc:description/>
  <cp:lastModifiedBy>Jun Shepard</cp:lastModifiedBy>
  <cp:revision>19</cp:revision>
  <cp:lastPrinted>2020-01-13T20:41:00Z</cp:lastPrinted>
  <dcterms:created xsi:type="dcterms:W3CDTF">2020-05-19T18:10:00Z</dcterms:created>
  <dcterms:modified xsi:type="dcterms:W3CDTF">2020-07-25T13:43:00Z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2b461d94-f70c-3d45-b0e8-a04d00532a4d</vt:lpwstr>
  </property>
  <property fmtid="{D5CDD505-2E9C-101B-9397-08002B2CF9AE}" pid="4" name="Mendeley Citation Style_1">
    <vt:lpwstr>http://www.zotero.org/styles/applied-energy</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http://www.zotero.org/styles/applied-energy</vt:lpwstr>
  </property>
  <property fmtid="{D5CDD505-2E9C-101B-9397-08002B2CF9AE}" pid="8" name="Mendeley Recent Style Name 1_1">
    <vt:lpwstr>Applied Energy</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http://www.zotero.org/styles/energies</vt:lpwstr>
  </property>
  <property fmtid="{D5CDD505-2E9C-101B-9397-08002B2CF9AE}" pid="14" name="Mendeley Recent Style Name 4_1">
    <vt:lpwstr>Energies</vt:lpwstr>
  </property>
  <property fmtid="{D5CDD505-2E9C-101B-9397-08002B2CF9AE}" pid="15" name="Mendeley Recent Style Id 5_1">
    <vt:lpwstr>http://www.zotero.org/styles/energy-policy</vt:lpwstr>
  </property>
  <property fmtid="{D5CDD505-2E9C-101B-9397-08002B2CF9AE}" pid="16" name="Mendeley Recent Style Name 5_1">
    <vt:lpwstr>Energy Policy</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