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4622" w:rsidRDefault="00BB4622" w:rsidP="00BB4622">
      <w:pPr>
        <w:spacing w:line="360" w:lineRule="auto"/>
        <w:rPr>
          <w:rFonts w:asciiTheme="majorHAnsi" w:hAnsiTheme="majorHAnsi" w:cstheme="majorHAnsi"/>
          <w:b/>
          <w:bCs/>
          <w:sz w:val="32"/>
          <w:szCs w:val="32"/>
        </w:rPr>
      </w:pPr>
      <w:r w:rsidRPr="00BB4622">
        <w:rPr>
          <w:rFonts w:asciiTheme="majorHAnsi" w:hAnsiTheme="majorHAnsi" w:cstheme="majorHAnsi"/>
          <w:b/>
          <w:bCs/>
          <w:sz w:val="32"/>
          <w:szCs w:val="32"/>
        </w:rPr>
        <w:t>The Dependence of the Global Transport Equipment Sector on Maritime Chokepoints: A hybrid-input output approach</w:t>
      </w:r>
    </w:p>
    <w:p w:rsidR="00BB4622" w:rsidRPr="00D4752D" w:rsidRDefault="00BB4622" w:rsidP="00BB4622">
      <w:pPr>
        <w:spacing w:line="360" w:lineRule="auto"/>
        <w:rPr>
          <w:rFonts w:asciiTheme="majorHAnsi" w:hAnsiTheme="majorHAnsi" w:cstheme="majorHAnsi"/>
          <w:i/>
          <w:vertAlign w:val="superscript"/>
          <w:lang w:val="nl-NL"/>
        </w:rPr>
      </w:pPr>
      <w:r w:rsidRPr="00D4752D">
        <w:rPr>
          <w:rFonts w:asciiTheme="majorHAnsi" w:hAnsiTheme="majorHAnsi" w:cstheme="majorHAnsi"/>
          <w:lang w:val="nl-NL"/>
        </w:rPr>
        <w:t>Jun U. Shepard</w:t>
      </w:r>
      <w:r w:rsidRPr="00D4752D">
        <w:rPr>
          <w:rFonts w:asciiTheme="majorHAnsi" w:hAnsiTheme="majorHAnsi" w:cstheme="majorHAnsi"/>
          <w:i/>
          <w:vertAlign w:val="superscript"/>
          <w:lang w:val="nl-NL"/>
        </w:rPr>
        <w:t>a</w:t>
      </w:r>
      <w:r w:rsidRPr="00D4752D">
        <w:rPr>
          <w:rFonts w:asciiTheme="majorHAnsi" w:hAnsiTheme="majorHAnsi" w:cstheme="majorHAnsi"/>
          <w:lang w:val="nl-NL"/>
        </w:rPr>
        <w:t xml:space="preserve"> and Lincoln F. Pratson</w:t>
      </w:r>
      <w:r w:rsidRPr="00D4752D">
        <w:rPr>
          <w:rFonts w:asciiTheme="majorHAnsi" w:hAnsiTheme="majorHAnsi" w:cstheme="majorHAnsi"/>
          <w:i/>
          <w:vertAlign w:val="superscript"/>
          <w:lang w:val="nl-NL"/>
        </w:rPr>
        <w:t>a</w:t>
      </w:r>
    </w:p>
    <w:p w:rsidR="00BB4622" w:rsidRDefault="00BB4622" w:rsidP="00BB4622">
      <w:pPr>
        <w:rPr>
          <w:rFonts w:asciiTheme="majorHAnsi" w:hAnsiTheme="majorHAnsi" w:cstheme="majorHAnsi"/>
          <w:i/>
          <w:sz w:val="20"/>
          <w:szCs w:val="20"/>
          <w:lang w:val="nl-NL"/>
        </w:rPr>
      </w:pPr>
      <w:r w:rsidRPr="00D4752D">
        <w:rPr>
          <w:rFonts w:asciiTheme="majorHAnsi" w:hAnsiTheme="majorHAnsi" w:cstheme="majorHAnsi"/>
          <w:i/>
          <w:sz w:val="20"/>
          <w:szCs w:val="20"/>
          <w:vertAlign w:val="superscript"/>
          <w:lang w:val="nl-NL"/>
        </w:rPr>
        <w:t>a</w:t>
      </w:r>
      <w:r w:rsidRPr="00D4752D">
        <w:rPr>
          <w:rFonts w:asciiTheme="majorHAnsi" w:hAnsiTheme="majorHAnsi" w:cstheme="majorHAnsi"/>
          <w:i/>
          <w:sz w:val="20"/>
          <w:szCs w:val="20"/>
          <w:lang w:val="nl-NL"/>
        </w:rPr>
        <w:t xml:space="preserve"> Duke University (Nicholas School of the Environment), 9 Circuit Drive, Durham, NC 27701 USA. Corresponding email: </w:t>
      </w:r>
      <w:r w:rsidRPr="00D4752D">
        <w:fldChar w:fldCharType="begin"/>
      </w:r>
      <w:r w:rsidRPr="00D4752D">
        <w:rPr>
          <w:rFonts w:asciiTheme="majorHAnsi" w:hAnsiTheme="majorHAnsi" w:cstheme="majorHAnsi"/>
        </w:rPr>
        <w:instrText xml:space="preserve"> HYPERLINK "mailto:jun.shepard@duke.edu" </w:instrText>
      </w:r>
      <w:r w:rsidRPr="00D4752D">
        <w:fldChar w:fldCharType="separate"/>
      </w:r>
      <w:r w:rsidRPr="00D4752D">
        <w:rPr>
          <w:rStyle w:val="Hyperlink"/>
          <w:rFonts w:cstheme="majorHAnsi"/>
          <w:i/>
          <w:sz w:val="20"/>
          <w:szCs w:val="20"/>
          <w:lang w:val="nl-NL"/>
        </w:rPr>
        <w:t>jun.shepard@duke.edu</w:t>
      </w:r>
      <w:r w:rsidRPr="00D4752D">
        <w:rPr>
          <w:rStyle w:val="Hyperlink"/>
          <w:rFonts w:cstheme="majorHAnsi"/>
          <w:i/>
          <w:sz w:val="20"/>
          <w:szCs w:val="20"/>
          <w:lang w:val="nl-NL"/>
        </w:rPr>
        <w:fldChar w:fldCharType="end"/>
      </w:r>
      <w:r w:rsidRPr="00D4752D">
        <w:rPr>
          <w:rFonts w:asciiTheme="majorHAnsi" w:hAnsiTheme="majorHAnsi" w:cstheme="majorHAnsi"/>
          <w:i/>
          <w:sz w:val="20"/>
          <w:szCs w:val="20"/>
          <w:lang w:val="nl-NL"/>
        </w:rPr>
        <w:t>.</w:t>
      </w: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Default="0004631A" w:rsidP="00BB4622">
      <w:pPr>
        <w:rPr>
          <w:rFonts w:asciiTheme="majorHAnsi" w:hAnsiTheme="majorHAnsi" w:cstheme="majorHAnsi"/>
          <w:i/>
          <w:sz w:val="20"/>
          <w:szCs w:val="20"/>
          <w:lang w:val="nl-NL"/>
        </w:rPr>
      </w:pPr>
    </w:p>
    <w:p w:rsidR="0004631A" w:rsidRPr="00D4752D" w:rsidRDefault="0004631A" w:rsidP="00BB4622">
      <w:pPr>
        <w:rPr>
          <w:rFonts w:asciiTheme="majorHAnsi" w:hAnsiTheme="majorHAnsi" w:cstheme="majorHAnsi"/>
          <w:i/>
          <w:sz w:val="20"/>
          <w:szCs w:val="20"/>
          <w:lang w:val="nl-NL"/>
        </w:rPr>
      </w:pPr>
    </w:p>
    <w:p w:rsidR="0004631A" w:rsidRDefault="0004631A" w:rsidP="0004631A">
      <w:pPr>
        <w:pStyle w:val="Heading1"/>
      </w:pPr>
      <w:r>
        <w:lastRenderedPageBreak/>
        <w:t>1</w:t>
      </w:r>
      <w:r>
        <w:tab/>
        <w:t>Countries represented in this analysis</w:t>
      </w:r>
    </w:p>
    <w:p w:rsidR="0004631A" w:rsidRPr="0004631A" w:rsidRDefault="0004631A" w:rsidP="0004631A"/>
    <w:p w:rsidR="0004631A" w:rsidRDefault="0004631A" w:rsidP="0004631A">
      <w:r>
        <w:t>The following table presents the regional classifications used in the hybridized model.</w:t>
      </w:r>
    </w:p>
    <w:tbl>
      <w:tblPr>
        <w:tblStyle w:val="TableGrid"/>
        <w:tblW w:w="0" w:type="auto"/>
        <w:tblBorders>
          <w:insideV w:val="none" w:sz="0" w:space="0" w:color="auto"/>
        </w:tblBorders>
        <w:tblLook w:val="04A0" w:firstRow="1" w:lastRow="0" w:firstColumn="1" w:lastColumn="0" w:noHBand="0" w:noVBand="1"/>
      </w:tblPr>
      <w:tblGrid>
        <w:gridCol w:w="2584"/>
        <w:gridCol w:w="6046"/>
      </w:tblGrid>
      <w:tr w:rsidR="0004631A" w:rsidRPr="00B70F65" w:rsidTr="00A23772">
        <w:tc>
          <w:tcPr>
            <w:tcW w:w="2785" w:type="dxa"/>
            <w:shd w:val="clear" w:color="auto" w:fill="D9D9D9" w:themeFill="background1" w:themeFillShade="D9"/>
          </w:tcPr>
          <w:p w:rsidR="0004631A" w:rsidRPr="00B70F65" w:rsidRDefault="0004631A" w:rsidP="00A23772">
            <w:pPr>
              <w:jc w:val="center"/>
              <w:rPr>
                <w:b/>
                <w:sz w:val="20"/>
                <w:szCs w:val="20"/>
              </w:rPr>
            </w:pPr>
            <w:r w:rsidRPr="00B70F65">
              <w:rPr>
                <w:b/>
                <w:sz w:val="20"/>
                <w:szCs w:val="20"/>
              </w:rPr>
              <w:t>Region</w:t>
            </w:r>
          </w:p>
        </w:tc>
        <w:tc>
          <w:tcPr>
            <w:tcW w:w="6565" w:type="dxa"/>
            <w:shd w:val="clear" w:color="auto" w:fill="D9D9D9" w:themeFill="background1" w:themeFillShade="D9"/>
          </w:tcPr>
          <w:p w:rsidR="0004631A" w:rsidRPr="00B70F65" w:rsidRDefault="0004631A" w:rsidP="00A23772">
            <w:pPr>
              <w:jc w:val="center"/>
              <w:rPr>
                <w:b/>
                <w:sz w:val="20"/>
                <w:szCs w:val="20"/>
              </w:rPr>
            </w:pPr>
            <w:r w:rsidRPr="00B70F65">
              <w:rPr>
                <w:b/>
                <w:sz w:val="20"/>
                <w:szCs w:val="20"/>
              </w:rPr>
              <w:t>Countries/Territories</w:t>
            </w:r>
          </w:p>
        </w:tc>
      </w:tr>
      <w:tr w:rsidR="0004631A" w:rsidRPr="00B70F65" w:rsidTr="00A23772">
        <w:tc>
          <w:tcPr>
            <w:tcW w:w="2785" w:type="dxa"/>
          </w:tcPr>
          <w:p w:rsidR="0004631A" w:rsidRPr="00B70F65" w:rsidRDefault="0004631A" w:rsidP="00A23772">
            <w:pPr>
              <w:rPr>
                <w:sz w:val="20"/>
                <w:szCs w:val="20"/>
              </w:rPr>
            </w:pPr>
            <w:r w:rsidRPr="00B70F65">
              <w:rPr>
                <w:sz w:val="20"/>
                <w:szCs w:val="20"/>
              </w:rPr>
              <w:t>Africa</w:t>
            </w:r>
          </w:p>
        </w:tc>
        <w:tc>
          <w:tcPr>
            <w:tcW w:w="6565" w:type="dxa"/>
          </w:tcPr>
          <w:p w:rsidR="0004631A" w:rsidRPr="00B70F65" w:rsidRDefault="0004631A" w:rsidP="00A23772">
            <w:pPr>
              <w:rPr>
                <w:sz w:val="20"/>
                <w:szCs w:val="20"/>
              </w:rPr>
            </w:pPr>
            <w:r w:rsidRPr="00B70F65">
              <w:rPr>
                <w:sz w:val="20"/>
                <w:szCs w:val="20"/>
              </w:rPr>
              <w:t>Algeria, Angola, Benin, Botswana, Burkina Faso, Burundi, Cameroon, Cape Verde, Central African Republic, Chad, Comoros, Republic of the Congo, Democratic Republic of the Congo, Cote d’Ivoire, Djibouti, Egypt, Eritrea, Gabon, Gambia, Ghana, Guinea, Guinea-Bissau, Equatorial Guinea, Kenya, Lesotho, Liberia, Libya, Madagascar, Malawi, Mali, Mauritius, Morocco, Mozambique, Namibia, Niger, Nigeria, Reunion, Rwanda, Sao Tome and Principe, Republic of Seychelles, Sierra Leone, Somalia, Swaziland, Senegal, South Africa, South Sudan (Sudan), Tanzania, Togo, Tunisia, Uganda, Zambia, Zimbabwe</w:t>
            </w:r>
          </w:p>
        </w:tc>
      </w:tr>
      <w:tr w:rsidR="0004631A" w:rsidRPr="00B70F65" w:rsidTr="00A23772">
        <w:tc>
          <w:tcPr>
            <w:tcW w:w="2785" w:type="dxa"/>
          </w:tcPr>
          <w:p w:rsidR="0004631A" w:rsidRPr="00B70F65" w:rsidRDefault="0004631A" w:rsidP="00A23772">
            <w:pPr>
              <w:rPr>
                <w:sz w:val="20"/>
                <w:szCs w:val="20"/>
              </w:rPr>
            </w:pPr>
            <w:r w:rsidRPr="00B70F65">
              <w:rPr>
                <w:sz w:val="20"/>
                <w:szCs w:val="20"/>
              </w:rPr>
              <w:t>China</w:t>
            </w:r>
          </w:p>
        </w:tc>
        <w:tc>
          <w:tcPr>
            <w:tcW w:w="6565" w:type="dxa"/>
          </w:tcPr>
          <w:p w:rsidR="0004631A" w:rsidRPr="00B70F65" w:rsidRDefault="0004631A" w:rsidP="00A23772">
            <w:pPr>
              <w:rPr>
                <w:sz w:val="20"/>
                <w:szCs w:val="20"/>
              </w:rPr>
            </w:pPr>
            <w:r w:rsidRPr="00B70F65">
              <w:rPr>
                <w:sz w:val="20"/>
                <w:szCs w:val="20"/>
              </w:rPr>
              <w:t>China</w:t>
            </w:r>
          </w:p>
        </w:tc>
      </w:tr>
      <w:tr w:rsidR="0004631A" w:rsidRPr="00B70F65" w:rsidTr="00A23772">
        <w:tc>
          <w:tcPr>
            <w:tcW w:w="2785" w:type="dxa"/>
          </w:tcPr>
          <w:p w:rsidR="0004631A" w:rsidRPr="00B70F65" w:rsidRDefault="0004631A" w:rsidP="00A23772">
            <w:pPr>
              <w:rPr>
                <w:sz w:val="20"/>
                <w:szCs w:val="20"/>
              </w:rPr>
            </w:pPr>
            <w:r w:rsidRPr="00B70F65">
              <w:rPr>
                <w:sz w:val="20"/>
                <w:szCs w:val="20"/>
              </w:rPr>
              <w:t>East Asia</w:t>
            </w:r>
          </w:p>
        </w:tc>
        <w:tc>
          <w:tcPr>
            <w:tcW w:w="6565" w:type="dxa"/>
          </w:tcPr>
          <w:p w:rsidR="0004631A" w:rsidRPr="00B70F65" w:rsidRDefault="0004631A" w:rsidP="00A23772">
            <w:pPr>
              <w:rPr>
                <w:sz w:val="20"/>
                <w:szCs w:val="20"/>
              </w:rPr>
            </w:pPr>
            <w:r w:rsidRPr="00B70F65">
              <w:rPr>
                <w:sz w:val="20"/>
                <w:szCs w:val="20"/>
              </w:rPr>
              <w:t>Hong Kong, Japan, Democratic People’s Republic of Korea, South Korea, Macau, Mongolia</w:t>
            </w:r>
          </w:p>
        </w:tc>
      </w:tr>
      <w:tr w:rsidR="0004631A" w:rsidRPr="00B70F65" w:rsidTr="00A23772">
        <w:tc>
          <w:tcPr>
            <w:tcW w:w="2785" w:type="dxa"/>
          </w:tcPr>
          <w:p w:rsidR="0004631A" w:rsidRPr="00B70F65" w:rsidRDefault="0004631A" w:rsidP="00A23772">
            <w:pPr>
              <w:rPr>
                <w:sz w:val="20"/>
                <w:szCs w:val="20"/>
              </w:rPr>
            </w:pPr>
            <w:r w:rsidRPr="00B70F65">
              <w:rPr>
                <w:sz w:val="20"/>
                <w:szCs w:val="20"/>
              </w:rPr>
              <w:t>Europe</w:t>
            </w:r>
          </w:p>
        </w:tc>
        <w:tc>
          <w:tcPr>
            <w:tcW w:w="6565" w:type="dxa"/>
          </w:tcPr>
          <w:p w:rsidR="0004631A" w:rsidRPr="00B70F65" w:rsidRDefault="0004631A" w:rsidP="00A23772">
            <w:pPr>
              <w:rPr>
                <w:sz w:val="20"/>
                <w:szCs w:val="20"/>
              </w:rPr>
            </w:pPr>
            <w:r w:rsidRPr="00B70F65">
              <w:rPr>
                <w:sz w:val="20"/>
                <w:szCs w:val="20"/>
              </w:rPr>
              <w:t>Andorra, Albania, Austria, Belarus, Belgium, Bosnia and Herzegovina, Bulgaria, Croatia, Czech Republic, Denmark, Estonia, Finland, France, Germany Gibraltar, Greece, Hungary, Ireland, Italy, Latvia, Lithuania, Luxembourg, Former Yugoslav Republic of Macedonia, Malta, Moldova, Montenegro, Netherlands, Norway, Poland, Portugal, Romania, Russia, Serbia, Slovak Republic, Slovenia, Spain, Sweden, Switzerland, Ukraine, United Kingdom</w:t>
            </w:r>
          </w:p>
        </w:tc>
      </w:tr>
      <w:tr w:rsidR="0004631A" w:rsidRPr="00B70F65" w:rsidTr="00A23772">
        <w:tc>
          <w:tcPr>
            <w:tcW w:w="2785" w:type="dxa"/>
          </w:tcPr>
          <w:p w:rsidR="0004631A" w:rsidRPr="00B70F65" w:rsidRDefault="0004631A" w:rsidP="00A23772">
            <w:pPr>
              <w:rPr>
                <w:sz w:val="20"/>
                <w:szCs w:val="20"/>
              </w:rPr>
            </w:pPr>
            <w:r w:rsidRPr="00B70F65">
              <w:rPr>
                <w:sz w:val="20"/>
                <w:szCs w:val="20"/>
              </w:rPr>
              <w:t>Latin America</w:t>
            </w:r>
          </w:p>
        </w:tc>
        <w:tc>
          <w:tcPr>
            <w:tcW w:w="6565" w:type="dxa"/>
          </w:tcPr>
          <w:p w:rsidR="0004631A" w:rsidRPr="00B70F65" w:rsidRDefault="0004631A" w:rsidP="00A23772">
            <w:pPr>
              <w:rPr>
                <w:sz w:val="20"/>
                <w:szCs w:val="20"/>
              </w:rPr>
            </w:pPr>
            <w:r w:rsidRPr="00B70F65">
              <w:rPr>
                <w:sz w:val="20"/>
                <w:szCs w:val="20"/>
              </w:rPr>
              <w:t>Argentina, Bolivia, Brazil, Chile, Colombia, Ecuador, Guyana, Paraguay, Peru, Suriname, Uruguay, Venezuela, Bolivarian Republic of Venezuela</w:t>
            </w:r>
          </w:p>
        </w:tc>
      </w:tr>
      <w:tr w:rsidR="0004631A" w:rsidRPr="00B70F65" w:rsidTr="00A23772">
        <w:tc>
          <w:tcPr>
            <w:tcW w:w="2785" w:type="dxa"/>
          </w:tcPr>
          <w:p w:rsidR="0004631A" w:rsidRPr="00B70F65" w:rsidRDefault="0004631A" w:rsidP="00A23772">
            <w:pPr>
              <w:rPr>
                <w:sz w:val="20"/>
                <w:szCs w:val="20"/>
              </w:rPr>
            </w:pPr>
            <w:r w:rsidRPr="00B70F65">
              <w:rPr>
                <w:sz w:val="20"/>
                <w:szCs w:val="20"/>
              </w:rPr>
              <w:t>North and Central America</w:t>
            </w:r>
          </w:p>
        </w:tc>
        <w:tc>
          <w:tcPr>
            <w:tcW w:w="6565" w:type="dxa"/>
          </w:tcPr>
          <w:p w:rsidR="0004631A" w:rsidRPr="00B70F65" w:rsidRDefault="0004631A" w:rsidP="00A23772">
            <w:pPr>
              <w:rPr>
                <w:sz w:val="20"/>
                <w:szCs w:val="20"/>
              </w:rPr>
            </w:pPr>
            <w:r w:rsidRPr="00B70F65">
              <w:rPr>
                <w:sz w:val="20"/>
                <w:szCs w:val="20"/>
              </w:rPr>
              <w:t xml:space="preserve">Belize, Bermuda, Canada, Costa Rica, El Salvador, Guatemala, Honduras, </w:t>
            </w:r>
            <w:proofErr w:type="gramStart"/>
            <w:r w:rsidRPr="00B70F65">
              <w:rPr>
                <w:sz w:val="20"/>
                <w:szCs w:val="20"/>
              </w:rPr>
              <w:t>Mexico ,Nicaragua</w:t>
            </w:r>
            <w:proofErr w:type="gramEnd"/>
            <w:r w:rsidRPr="00B70F65">
              <w:rPr>
                <w:sz w:val="20"/>
                <w:szCs w:val="20"/>
              </w:rPr>
              <w:t>, Panama, United States</w:t>
            </w:r>
          </w:p>
        </w:tc>
      </w:tr>
      <w:tr w:rsidR="0004631A" w:rsidRPr="00B70F65" w:rsidTr="00A23772">
        <w:tc>
          <w:tcPr>
            <w:tcW w:w="2785" w:type="dxa"/>
          </w:tcPr>
          <w:p w:rsidR="0004631A" w:rsidRPr="00B70F65" w:rsidRDefault="0004631A" w:rsidP="00A23772">
            <w:pPr>
              <w:rPr>
                <w:sz w:val="20"/>
                <w:szCs w:val="20"/>
              </w:rPr>
            </w:pPr>
            <w:r w:rsidRPr="00B70F65">
              <w:rPr>
                <w:sz w:val="20"/>
                <w:szCs w:val="20"/>
              </w:rPr>
              <w:t>Oceania</w:t>
            </w:r>
          </w:p>
        </w:tc>
        <w:tc>
          <w:tcPr>
            <w:tcW w:w="6565" w:type="dxa"/>
          </w:tcPr>
          <w:p w:rsidR="0004631A" w:rsidRPr="00B70F65" w:rsidRDefault="0004631A" w:rsidP="00A23772">
            <w:pPr>
              <w:rPr>
                <w:sz w:val="20"/>
                <w:szCs w:val="20"/>
              </w:rPr>
            </w:pPr>
            <w:r w:rsidRPr="00B70F65">
              <w:rPr>
                <w:sz w:val="20"/>
                <w:szCs w:val="20"/>
              </w:rPr>
              <w:t>American Samoa, Australia, Cook Islands, Fiji, French Polynesia, Guam, Republic of Kiribati, Marshall Islands, Federated States of Micronesia, Republic of Nauru, New Caledonia, New Zealand, Niue, Norfolk Island, Northern Mariana Islands, Palau, Papua New Guinea, Samoa, Solomon Islands, Tonga, Tuvalu, Vanuatu</w:t>
            </w:r>
          </w:p>
        </w:tc>
      </w:tr>
      <w:tr w:rsidR="0004631A" w:rsidRPr="00B70F65" w:rsidTr="00A23772">
        <w:tc>
          <w:tcPr>
            <w:tcW w:w="2785" w:type="dxa"/>
          </w:tcPr>
          <w:p w:rsidR="0004631A" w:rsidRPr="00B70F65" w:rsidRDefault="0004631A" w:rsidP="00A23772">
            <w:pPr>
              <w:rPr>
                <w:sz w:val="20"/>
                <w:szCs w:val="20"/>
              </w:rPr>
            </w:pPr>
            <w:r w:rsidRPr="00B70F65">
              <w:rPr>
                <w:sz w:val="20"/>
                <w:szCs w:val="20"/>
              </w:rPr>
              <w:t>Persian Gulf Countries</w:t>
            </w:r>
          </w:p>
        </w:tc>
        <w:tc>
          <w:tcPr>
            <w:tcW w:w="6565" w:type="dxa"/>
          </w:tcPr>
          <w:p w:rsidR="0004631A" w:rsidRPr="00B70F65" w:rsidRDefault="0004631A" w:rsidP="00A23772">
            <w:pPr>
              <w:rPr>
                <w:sz w:val="20"/>
                <w:szCs w:val="20"/>
              </w:rPr>
            </w:pPr>
            <w:r w:rsidRPr="00B70F65">
              <w:rPr>
                <w:sz w:val="20"/>
                <w:szCs w:val="20"/>
              </w:rPr>
              <w:t>Bahrain, Iran, Iraq, Kuwait, Oman, Qatar, Saudi Arabia, United Arab Emirates</w:t>
            </w:r>
          </w:p>
        </w:tc>
      </w:tr>
      <w:tr w:rsidR="0004631A" w:rsidRPr="00B70F65" w:rsidTr="00A23772">
        <w:tc>
          <w:tcPr>
            <w:tcW w:w="2785" w:type="dxa"/>
          </w:tcPr>
          <w:p w:rsidR="0004631A" w:rsidRPr="00B70F65" w:rsidRDefault="0004631A" w:rsidP="00A23772">
            <w:pPr>
              <w:rPr>
                <w:sz w:val="20"/>
                <w:szCs w:val="20"/>
              </w:rPr>
            </w:pPr>
            <w:r w:rsidRPr="00B70F65">
              <w:rPr>
                <w:sz w:val="20"/>
                <w:szCs w:val="20"/>
              </w:rPr>
              <w:t>South Asia</w:t>
            </w:r>
          </w:p>
        </w:tc>
        <w:tc>
          <w:tcPr>
            <w:tcW w:w="6565" w:type="dxa"/>
          </w:tcPr>
          <w:p w:rsidR="0004631A" w:rsidRPr="00B70F65" w:rsidRDefault="0004631A" w:rsidP="00A23772">
            <w:pPr>
              <w:rPr>
                <w:sz w:val="20"/>
                <w:szCs w:val="20"/>
              </w:rPr>
            </w:pPr>
            <w:r w:rsidRPr="00B70F65">
              <w:rPr>
                <w:sz w:val="20"/>
                <w:szCs w:val="20"/>
              </w:rPr>
              <w:t>Afghanistan, Bangladesh, Bhutan, Brunei Darussalam, Cambodia, India, Indonesia, Laos, Malaysia, Myanmar, Nepal, Pakistan, Philippines, Singapore, Sri Lanka, Thailand, Timor-Leste, Viet Nam</w:t>
            </w:r>
          </w:p>
        </w:tc>
      </w:tr>
      <w:tr w:rsidR="0004631A" w:rsidRPr="00B70F65" w:rsidTr="00A23772">
        <w:tc>
          <w:tcPr>
            <w:tcW w:w="2785" w:type="dxa"/>
          </w:tcPr>
          <w:p w:rsidR="0004631A" w:rsidRPr="00B70F65" w:rsidRDefault="0004631A" w:rsidP="00A23772">
            <w:pPr>
              <w:rPr>
                <w:sz w:val="20"/>
                <w:szCs w:val="20"/>
              </w:rPr>
            </w:pPr>
            <w:r w:rsidRPr="00B70F65">
              <w:rPr>
                <w:sz w:val="20"/>
                <w:szCs w:val="20"/>
              </w:rPr>
              <w:t>West and Central Asia</w:t>
            </w:r>
          </w:p>
        </w:tc>
        <w:tc>
          <w:tcPr>
            <w:tcW w:w="6565" w:type="dxa"/>
          </w:tcPr>
          <w:p w:rsidR="0004631A" w:rsidRPr="00B70F65" w:rsidRDefault="0004631A" w:rsidP="00A23772">
            <w:pPr>
              <w:rPr>
                <w:sz w:val="20"/>
                <w:szCs w:val="20"/>
              </w:rPr>
            </w:pPr>
            <w:r w:rsidRPr="00B70F65">
              <w:rPr>
                <w:sz w:val="20"/>
                <w:szCs w:val="20"/>
              </w:rPr>
              <w:t>Armenia, Azerbaijan, Cyprus, Georgia, Israel, Jordan, Kazakhstan, Kyrgyzstan, Lebanon, Syrian Arab Republic, Tajikistan, Turkey, Turkmenistan, Uzbekistan, Yemen</w:t>
            </w:r>
          </w:p>
        </w:tc>
      </w:tr>
    </w:tbl>
    <w:p w:rsidR="0004631A" w:rsidRDefault="0004631A" w:rsidP="0004631A">
      <w:r>
        <w:br w:type="page"/>
      </w:r>
    </w:p>
    <w:p w:rsidR="00D47D57" w:rsidRDefault="0004631A" w:rsidP="0004631A">
      <w:pPr>
        <w:pStyle w:val="Heading1"/>
      </w:pPr>
      <w:r>
        <w:lastRenderedPageBreak/>
        <w:t>2</w:t>
      </w:r>
      <w:r>
        <w:tab/>
        <w:t>Ports in shortest path algorithm</w:t>
      </w:r>
    </w:p>
    <w:p w:rsidR="0004631A" w:rsidRDefault="0004631A" w:rsidP="0004631A"/>
    <w:p w:rsidR="0004631A" w:rsidRDefault="0004631A" w:rsidP="0004631A">
      <w:r>
        <w:t>The ports identified for each country are illustrated in the map below and listed in the table underneath.</w:t>
      </w:r>
    </w:p>
    <w:p w:rsidR="0004631A" w:rsidRDefault="0004631A" w:rsidP="0004631A">
      <w:r>
        <w:rPr>
          <w:noProof/>
        </w:rPr>
        <w:drawing>
          <wp:inline distT="0" distB="0" distL="0" distR="0" wp14:anchorId="024E73F5" wp14:editId="6D176D04">
            <wp:extent cx="5943600" cy="3110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0230"/>
                    </a:xfrm>
                    <a:prstGeom prst="rect">
                      <a:avLst/>
                    </a:prstGeom>
                  </pic:spPr>
                </pic:pic>
              </a:graphicData>
            </a:graphic>
          </wp:inline>
        </w:drawing>
      </w:r>
    </w:p>
    <w:p w:rsidR="00A82AD0" w:rsidRDefault="00A82AD0" w:rsidP="00A82AD0"/>
    <w:tbl>
      <w:tblPr>
        <w:tblW w:w="8940" w:type="dxa"/>
        <w:tblLook w:val="04A0" w:firstRow="1" w:lastRow="0" w:firstColumn="1" w:lastColumn="0" w:noHBand="0" w:noVBand="1"/>
      </w:tblPr>
      <w:tblGrid>
        <w:gridCol w:w="2480"/>
        <w:gridCol w:w="1740"/>
        <w:gridCol w:w="1920"/>
        <w:gridCol w:w="2800"/>
      </w:tblGrid>
      <w:tr w:rsidR="00A82AD0" w:rsidRPr="00A82AD0" w:rsidTr="00A82AD0">
        <w:trPr>
          <w:trHeight w:val="290"/>
        </w:trPr>
        <w:tc>
          <w:tcPr>
            <w:tcW w:w="2480" w:type="dxa"/>
            <w:tcBorders>
              <w:top w:val="single" w:sz="4" w:space="0" w:color="auto"/>
              <w:left w:val="single" w:sz="4" w:space="0" w:color="auto"/>
              <w:bottom w:val="single" w:sz="4" w:space="0" w:color="auto"/>
              <w:right w:val="single" w:sz="4" w:space="0" w:color="auto"/>
            </w:tcBorders>
            <w:shd w:val="clear" w:color="000000" w:fill="BFBFBF"/>
            <w:noWrap/>
            <w:vAlign w:val="bottom"/>
            <w:hideMark/>
          </w:tcPr>
          <w:p w:rsidR="00A82AD0" w:rsidRPr="00A82AD0" w:rsidRDefault="00A82AD0" w:rsidP="00A82AD0">
            <w:pPr>
              <w:spacing w:after="0" w:line="240" w:lineRule="auto"/>
              <w:rPr>
                <w:rFonts w:ascii="Calibri" w:eastAsia="Times New Roman" w:hAnsi="Calibri" w:cs="Times New Roman"/>
                <w:b/>
                <w:bCs/>
                <w:color w:val="000000"/>
                <w:sz w:val="20"/>
                <w:szCs w:val="20"/>
              </w:rPr>
            </w:pPr>
            <w:r w:rsidRPr="00A82AD0">
              <w:rPr>
                <w:rFonts w:ascii="Calibri" w:eastAsia="Times New Roman" w:hAnsi="Calibri" w:cs="Times New Roman"/>
                <w:b/>
                <w:bCs/>
                <w:color w:val="000000"/>
                <w:sz w:val="20"/>
                <w:szCs w:val="20"/>
              </w:rPr>
              <w:t>Country</w:t>
            </w:r>
          </w:p>
        </w:tc>
        <w:tc>
          <w:tcPr>
            <w:tcW w:w="1740" w:type="dxa"/>
            <w:tcBorders>
              <w:top w:val="single" w:sz="4" w:space="0" w:color="auto"/>
              <w:left w:val="nil"/>
              <w:bottom w:val="single" w:sz="4" w:space="0" w:color="auto"/>
              <w:right w:val="single" w:sz="4" w:space="0" w:color="auto"/>
            </w:tcBorders>
            <w:shd w:val="clear" w:color="000000" w:fill="BFBFBF"/>
            <w:noWrap/>
            <w:vAlign w:val="bottom"/>
            <w:hideMark/>
          </w:tcPr>
          <w:p w:rsidR="00A82AD0" w:rsidRPr="00A82AD0" w:rsidRDefault="00A82AD0" w:rsidP="00A82AD0">
            <w:pPr>
              <w:spacing w:after="0" w:line="240" w:lineRule="auto"/>
              <w:rPr>
                <w:rFonts w:ascii="Calibri" w:eastAsia="Times New Roman" w:hAnsi="Calibri" w:cs="Times New Roman"/>
                <w:b/>
                <w:bCs/>
                <w:color w:val="000000"/>
                <w:sz w:val="20"/>
                <w:szCs w:val="20"/>
              </w:rPr>
            </w:pPr>
            <w:r w:rsidRPr="00A82AD0">
              <w:rPr>
                <w:rFonts w:ascii="Calibri" w:eastAsia="Times New Roman" w:hAnsi="Calibri" w:cs="Times New Roman"/>
                <w:b/>
                <w:bCs/>
                <w:color w:val="000000"/>
                <w:sz w:val="20"/>
                <w:szCs w:val="20"/>
              </w:rPr>
              <w:t>Port latitude</w:t>
            </w:r>
          </w:p>
        </w:tc>
        <w:tc>
          <w:tcPr>
            <w:tcW w:w="1920" w:type="dxa"/>
            <w:tcBorders>
              <w:top w:val="single" w:sz="4" w:space="0" w:color="auto"/>
              <w:left w:val="nil"/>
              <w:bottom w:val="single" w:sz="4" w:space="0" w:color="auto"/>
              <w:right w:val="single" w:sz="4" w:space="0" w:color="auto"/>
            </w:tcBorders>
            <w:shd w:val="clear" w:color="000000" w:fill="BFBFBF"/>
            <w:noWrap/>
            <w:vAlign w:val="bottom"/>
            <w:hideMark/>
          </w:tcPr>
          <w:p w:rsidR="00A82AD0" w:rsidRPr="00A82AD0" w:rsidRDefault="00A82AD0" w:rsidP="00A82AD0">
            <w:pPr>
              <w:spacing w:after="0" w:line="240" w:lineRule="auto"/>
              <w:rPr>
                <w:rFonts w:ascii="Calibri" w:eastAsia="Times New Roman" w:hAnsi="Calibri" w:cs="Times New Roman"/>
                <w:b/>
                <w:bCs/>
                <w:color w:val="000000"/>
                <w:sz w:val="20"/>
                <w:szCs w:val="20"/>
              </w:rPr>
            </w:pPr>
            <w:r w:rsidRPr="00A82AD0">
              <w:rPr>
                <w:rFonts w:ascii="Calibri" w:eastAsia="Times New Roman" w:hAnsi="Calibri" w:cs="Times New Roman"/>
                <w:b/>
                <w:bCs/>
                <w:color w:val="000000"/>
                <w:sz w:val="20"/>
                <w:szCs w:val="20"/>
              </w:rPr>
              <w:t>Port longitude</w:t>
            </w:r>
          </w:p>
        </w:tc>
        <w:tc>
          <w:tcPr>
            <w:tcW w:w="2800" w:type="dxa"/>
            <w:tcBorders>
              <w:top w:val="single" w:sz="4" w:space="0" w:color="auto"/>
              <w:left w:val="nil"/>
              <w:bottom w:val="single" w:sz="4" w:space="0" w:color="auto"/>
              <w:right w:val="single" w:sz="4" w:space="0" w:color="auto"/>
            </w:tcBorders>
            <w:shd w:val="clear" w:color="000000" w:fill="BFBFBF"/>
            <w:noWrap/>
            <w:vAlign w:val="bottom"/>
            <w:hideMark/>
          </w:tcPr>
          <w:p w:rsidR="00A82AD0" w:rsidRPr="00A82AD0" w:rsidRDefault="00A82AD0" w:rsidP="00A82AD0">
            <w:pPr>
              <w:spacing w:after="0" w:line="240" w:lineRule="auto"/>
              <w:rPr>
                <w:rFonts w:ascii="Calibri" w:eastAsia="Times New Roman" w:hAnsi="Calibri" w:cs="Times New Roman"/>
                <w:b/>
                <w:bCs/>
                <w:color w:val="000000"/>
                <w:sz w:val="20"/>
                <w:szCs w:val="20"/>
              </w:rPr>
            </w:pPr>
            <w:r w:rsidRPr="00A82AD0">
              <w:rPr>
                <w:rFonts w:ascii="Calibri" w:eastAsia="Times New Roman" w:hAnsi="Calibri" w:cs="Times New Roman"/>
                <w:b/>
                <w:bCs/>
                <w:color w:val="000000"/>
                <w:sz w:val="20"/>
                <w:szCs w:val="20"/>
              </w:rPr>
              <w:t>Closest city/landmark</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Albania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41.32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19.45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Durres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Algeria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36.77</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3.07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Djasr</w:t>
            </w:r>
            <w:proofErr w:type="spellEnd"/>
            <w:r w:rsidRPr="00A82AD0">
              <w:rPr>
                <w:rFonts w:ascii="Calibri" w:eastAsia="Times New Roman" w:hAnsi="Calibri" w:cs="Times New Roman"/>
                <w:color w:val="000000"/>
                <w:sz w:val="20"/>
                <w:szCs w:val="20"/>
              </w:rPr>
              <w:t xml:space="preserve"> </w:t>
            </w:r>
            <w:proofErr w:type="spellStart"/>
            <w:r w:rsidRPr="00A82AD0">
              <w:rPr>
                <w:rFonts w:ascii="Calibri" w:eastAsia="Times New Roman" w:hAnsi="Calibri" w:cs="Times New Roman"/>
                <w:color w:val="000000"/>
                <w:sz w:val="20"/>
                <w:szCs w:val="20"/>
              </w:rPr>
              <w:t>Kasentina</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Angola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-8.80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13.25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Luanda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Argentina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-34.60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-58.37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Buenos Aires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Australia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-27.47</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153.03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Queensland</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Australia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-20.32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118.58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Port Hedland</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Bahrain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26.25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50.75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Galali</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Bangladesh</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22.32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91.82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Dangar</w:t>
            </w:r>
            <w:proofErr w:type="spellEnd"/>
            <w:r w:rsidRPr="00A82AD0">
              <w:rPr>
                <w:rFonts w:ascii="Calibri" w:eastAsia="Times New Roman" w:hAnsi="Calibri" w:cs="Times New Roman"/>
                <w:color w:val="000000"/>
                <w:sz w:val="20"/>
                <w:szCs w:val="20"/>
              </w:rPr>
              <w:t xml:space="preserve"> Char</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Belgium</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51.22</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4.40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Antwerp</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Benin</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6.35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2.43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Cotonou</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Bosnia and Herzegovina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42.92</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17.60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Neum</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Brazil</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-23.95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-46.30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Sao Paolo</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Bulgaria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43.18</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27.97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Varma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Cameroon</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4.05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9.68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Douala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Canada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44.65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-63.58</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Nova Scotia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Canada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49.28</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-123.12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Vancouver</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Chile</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-33.58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-71.62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San Antonio</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Chile</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-53.17</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-70.90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Punta Arenas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lastRenderedPageBreak/>
              <w:t>China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23.12</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113.23</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Guangdong</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China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31.22</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121.50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Shanghai</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Colombia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3.88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-77.07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Valle del Cauca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Colombia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10.42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-75.53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Bolivar</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Congo</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-4.78</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11.83</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Pointe Noire</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Costa Rica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9.92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-84.72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Puntarenas Province</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Costa Rica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9.98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-83.02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Limon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Cote d'Ivoire</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5.25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-4.02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 xml:space="preserve">Port </w:t>
            </w:r>
            <w:proofErr w:type="spellStart"/>
            <w:r w:rsidRPr="00A82AD0">
              <w:rPr>
                <w:rFonts w:ascii="Calibri" w:eastAsia="Times New Roman" w:hAnsi="Calibri" w:cs="Times New Roman"/>
                <w:color w:val="000000"/>
                <w:sz w:val="20"/>
                <w:szCs w:val="20"/>
              </w:rPr>
              <w:t>Bouet</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Croatia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45.33</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14.43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Rijeka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Cuba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23.13</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-82.37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Havana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Cyprus</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34.67</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33.05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Akrotiri</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Denmark</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55.70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12.62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Copenhagen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Denmark</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55.47</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8.45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Fano</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Dominican Republic</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18.42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-70.02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Santo Domingo</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Ecuador</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-2.20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-79.88</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Duran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Egypt</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31.17</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29.83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Dekhela</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Egypt</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29.68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32.37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Attaka</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Eritrea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15.62</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39.47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Mitsiwa</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Estonia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59.45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24.77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Talinn</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Finland</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60.17</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24.97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Helsinki</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France</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43.32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5.37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Marseille</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France</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49.48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0.12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Le Havre</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Gabon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-0.70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8.80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 xml:space="preserve">Port </w:t>
            </w:r>
            <w:proofErr w:type="spellStart"/>
            <w:r w:rsidRPr="00A82AD0">
              <w:rPr>
                <w:rFonts w:ascii="Calibri" w:eastAsia="Times New Roman" w:hAnsi="Calibri" w:cs="Times New Roman"/>
                <w:color w:val="000000"/>
                <w:sz w:val="20"/>
                <w:szCs w:val="20"/>
              </w:rPr>
              <w:t>Gentil</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Georgia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42.15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41.58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Poti</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Germany</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53.55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9.93</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Hamburg</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Ghana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5.62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0.02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Accra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Gibraltar</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36.13</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-5.35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Gibraltar</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Greece</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37.93</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23.65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Pireas</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Guatemala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15.73</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-88.60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Puerto Barrios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Guatemala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13.92</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-90.80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Port of San Jose</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Haiti</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18.55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-72.35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Port au Prince</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Honduras</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15.83</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-87.95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Puerto Cortes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Honduras</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13.40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-87.45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San Lorenzo</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Iceland</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64.15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-21.93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Reykjavik</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India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22.55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88.33</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Kolkata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India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18.97</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72.87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Mumbai</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Indonesia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-6.10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106.88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Jakarta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Iran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27.15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56.20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Bandar Abbas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Iraq</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30.02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47.95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Abdali</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Ireland</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51.85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-8.27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County Cork</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Israel</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29.55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34.95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Eilat</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Israel</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32.82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35.00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Haifa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Italy</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38.42</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15.90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Vibo</w:t>
            </w:r>
            <w:proofErr w:type="spellEnd"/>
            <w:r w:rsidRPr="00A82AD0">
              <w:rPr>
                <w:rFonts w:ascii="Calibri" w:eastAsia="Times New Roman" w:hAnsi="Calibri" w:cs="Times New Roman"/>
                <w:color w:val="000000"/>
                <w:sz w:val="20"/>
                <w:szCs w:val="20"/>
              </w:rPr>
              <w:t xml:space="preserve"> Marina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Jamaica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17.97</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-76.78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Port Royal</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lastRenderedPageBreak/>
              <w:t>Japan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35.07</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136.87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Nagoya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Jordan</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29.52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35.00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Aqaba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Kenya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-4.07</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39.67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Mombasa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Khmer</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10.63</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103.50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 xml:space="preserve">Puy </w:t>
            </w:r>
            <w:proofErr w:type="spellStart"/>
            <w:r w:rsidRPr="00A82AD0">
              <w:rPr>
                <w:rFonts w:ascii="Calibri" w:eastAsia="Times New Roman" w:hAnsi="Calibri" w:cs="Times New Roman"/>
                <w:color w:val="000000"/>
                <w:sz w:val="20"/>
                <w:szCs w:val="20"/>
              </w:rPr>
              <w:t>Kamphen</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Kuwait</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29.35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47.93</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 xml:space="preserve">Al </w:t>
            </w:r>
            <w:proofErr w:type="spellStart"/>
            <w:r w:rsidRPr="00A82AD0">
              <w:rPr>
                <w:rFonts w:ascii="Calibri" w:eastAsia="Times New Roman" w:hAnsi="Calibri" w:cs="Times New Roman"/>
                <w:color w:val="000000"/>
                <w:sz w:val="20"/>
                <w:szCs w:val="20"/>
              </w:rPr>
              <w:t>Hishan</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Latvia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57.40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21.53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Ventspils</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Lebanon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33.90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35.50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Beirut</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Libya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32.90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13.18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Tripoli</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Lithuania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55.72</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21.12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Klaipeda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Malaysia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3.00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101.40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Selangor</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Malta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35.90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14.52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Valetta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Mauritius</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-20.15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57.50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Port Louis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Mexico</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19.05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-104.32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Colima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Montenegro</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42.08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19.08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Polje</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Morocco</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33.60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-7.62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Casablanca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Morocco</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35.90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-5.52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Eddalya</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Mozambique</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-25.97</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32.58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Maputo</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Myanmar</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16.77</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96.17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Yangon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Netherlands</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51.90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4.48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Rotterdam</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New Zealand</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-43.60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172.72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Bankside</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New Zealand</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-37.63</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176.17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Tauranga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Nicaragua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12.02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-83.75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El Bluff</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Nicaragua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12.48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-87.17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 xml:space="preserve">Punta </w:t>
            </w:r>
            <w:proofErr w:type="spellStart"/>
            <w:r w:rsidRPr="00A82AD0">
              <w:rPr>
                <w:rFonts w:ascii="Calibri" w:eastAsia="Times New Roman" w:hAnsi="Calibri" w:cs="Times New Roman"/>
                <w:color w:val="000000"/>
                <w:sz w:val="20"/>
                <w:szCs w:val="20"/>
              </w:rPr>
              <w:t>Hawai</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Nigeria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6.40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3.40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Lagos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North Korea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42.23</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130.30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Rason</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North Korea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38.72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125.40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Nampo</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Norway</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60.40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5.32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Bergen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Oman</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16.93</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54.02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Raysut</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Pakistan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24.78</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66.98</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Karachi</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Panama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8.95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-79.57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Panama Bay</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Panama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9.37</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-79.88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Puerto Pilon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Peru</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-12.05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-77.15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Callao District</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Philippines</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14.58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120.97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Manila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Poland</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54.35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18.67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Gdansk</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Portugal</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37.95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-8.87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Sines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Qatar</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25.28</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51.53</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Doha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Republic of the Congo</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-5.82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13.45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Matadi</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Romania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44.17</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28.65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Constanta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Russia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68.98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33.05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Murmansk</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Russia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44.72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37.78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Novorossiysk</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Russia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59.93</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30.30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Saint Petersburg</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Russia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43.12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131.90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Vladivostok</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Saudi Arabia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26.50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50.20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Dammam</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Saudi Arabia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21.48</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39.18</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Jeddah</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lastRenderedPageBreak/>
              <w:t>Senegal</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14.68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-17.43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Dakar</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Singapore</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1.28</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103.85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Queenstown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Slovenia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13.58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-89.83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 xml:space="preserve">Los </w:t>
            </w:r>
            <w:proofErr w:type="spellStart"/>
            <w:r w:rsidRPr="00A82AD0">
              <w:rPr>
                <w:rFonts w:ascii="Calibri" w:eastAsia="Times New Roman" w:hAnsi="Calibri" w:cs="Times New Roman"/>
                <w:color w:val="000000"/>
                <w:sz w:val="20"/>
                <w:szCs w:val="20"/>
              </w:rPr>
              <w:t>Cobanos</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Slovenia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45.55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13.73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Capodistria</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South Africa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-29.87</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31.07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Durban North</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South Korea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35.10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129.03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Busan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Spain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36.13</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-5.43</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Gibraltar</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Spain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43.35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-3.05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Santurtzi</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Spain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39.45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-0.32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Valencia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Sri Lanka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6.95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79.85</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Colombo</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Sudan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19.60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37.23</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Port Sudan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Suriname</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5.83</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-55.17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Jagtlust</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Sweden</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57.70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11.97</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Goteberg</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Syria</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35.53</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35.77</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Latakia</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Tanzania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-6.82</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39.30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Dar es Salaam</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Thailand</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13.08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100.88</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 xml:space="preserve">Chon </w:t>
            </w:r>
            <w:proofErr w:type="spellStart"/>
            <w:r w:rsidRPr="00A82AD0">
              <w:rPr>
                <w:rFonts w:ascii="Calibri" w:eastAsia="Times New Roman" w:hAnsi="Calibri" w:cs="Times New Roman"/>
                <w:color w:val="000000"/>
                <w:sz w:val="20"/>
                <w:szCs w:val="20"/>
              </w:rPr>
              <w:t>Buri</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Togo</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6.13</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1.28</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Lome</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Trinidad and Tobago</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10.65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-61.52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Port of Spain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Tunisia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36.80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10.25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Tunis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Turkey</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41.00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29.02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Istanbul</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Turkey</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36.80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34.63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Mersin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United Kingdom</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51.95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1.32</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Felixstowe</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Ukraine</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46.48</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30.73</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Odessa Oblast</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United Arab Emirates</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25.35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56.38</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Sharjah</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United Kingdom</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51.95</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1.32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proofErr w:type="spellStart"/>
            <w:r w:rsidRPr="00A82AD0">
              <w:rPr>
                <w:rFonts w:ascii="Calibri" w:eastAsia="Times New Roman" w:hAnsi="Calibri" w:cs="Times New Roman"/>
                <w:color w:val="000000"/>
                <w:sz w:val="20"/>
                <w:szCs w:val="20"/>
              </w:rPr>
              <w:t>Felixstowe</w:t>
            </w:r>
            <w:proofErr w:type="spellEnd"/>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United Kingdom</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53.42</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-3.00</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Liverpool</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United States</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29.75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-95.28</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Houston</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United States</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33.75</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-118.25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Los Angeles</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United States</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40.70</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-74.15</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New York</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Uruguay</w:t>
            </w:r>
          </w:p>
        </w:tc>
        <w:tc>
          <w:tcPr>
            <w:tcW w:w="174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-34.90</w:t>
            </w:r>
          </w:p>
        </w:tc>
        <w:tc>
          <w:tcPr>
            <w:tcW w:w="192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-56.22</w:t>
            </w:r>
          </w:p>
        </w:tc>
        <w:tc>
          <w:tcPr>
            <w:tcW w:w="2800" w:type="dxa"/>
            <w:tcBorders>
              <w:top w:val="nil"/>
              <w:left w:val="nil"/>
              <w:bottom w:val="nil"/>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Montevideo</w:t>
            </w:r>
          </w:p>
        </w:tc>
      </w:tr>
      <w:tr w:rsidR="00A82AD0" w:rsidRPr="00A82AD0" w:rsidTr="00A82AD0">
        <w:trPr>
          <w:trHeight w:val="290"/>
        </w:trPr>
        <w:tc>
          <w:tcPr>
            <w:tcW w:w="2480" w:type="dxa"/>
            <w:tcBorders>
              <w:top w:val="nil"/>
              <w:left w:val="single" w:sz="4" w:space="0" w:color="auto"/>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Venezuela</w:t>
            </w:r>
          </w:p>
        </w:tc>
        <w:tc>
          <w:tcPr>
            <w:tcW w:w="174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10.48</w:t>
            </w:r>
          </w:p>
        </w:tc>
        <w:tc>
          <w:tcPr>
            <w:tcW w:w="192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-68.00</w:t>
            </w:r>
          </w:p>
        </w:tc>
        <w:tc>
          <w:tcPr>
            <w:tcW w:w="2800" w:type="dxa"/>
            <w:tcBorders>
              <w:top w:val="nil"/>
              <w:left w:val="nil"/>
              <w:bottom w:val="nil"/>
              <w:right w:val="single" w:sz="4" w:space="0" w:color="auto"/>
            </w:tcBorders>
            <w:shd w:val="clear" w:color="000000" w:fill="F2F2F2"/>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Puerto Cabello</w:t>
            </w:r>
          </w:p>
        </w:tc>
      </w:tr>
      <w:tr w:rsidR="00A82AD0" w:rsidRPr="00A82AD0" w:rsidTr="00A82AD0">
        <w:trPr>
          <w:trHeight w:val="290"/>
        </w:trPr>
        <w:tc>
          <w:tcPr>
            <w:tcW w:w="2480" w:type="dxa"/>
            <w:tcBorders>
              <w:top w:val="nil"/>
              <w:left w:val="single" w:sz="4" w:space="0" w:color="auto"/>
              <w:bottom w:val="single" w:sz="4" w:space="0" w:color="auto"/>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Yemen</w:t>
            </w:r>
          </w:p>
        </w:tc>
        <w:tc>
          <w:tcPr>
            <w:tcW w:w="1740" w:type="dxa"/>
            <w:tcBorders>
              <w:top w:val="nil"/>
              <w:left w:val="nil"/>
              <w:bottom w:val="single" w:sz="4" w:space="0" w:color="auto"/>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12.78</w:t>
            </w:r>
          </w:p>
        </w:tc>
        <w:tc>
          <w:tcPr>
            <w:tcW w:w="1920" w:type="dxa"/>
            <w:tcBorders>
              <w:top w:val="nil"/>
              <w:left w:val="nil"/>
              <w:bottom w:val="single" w:sz="4" w:space="0" w:color="auto"/>
              <w:right w:val="single" w:sz="4" w:space="0" w:color="auto"/>
            </w:tcBorders>
            <w:shd w:val="clear" w:color="000000" w:fill="FFFFFF"/>
            <w:noWrap/>
            <w:vAlign w:val="bottom"/>
            <w:hideMark/>
          </w:tcPr>
          <w:p w:rsidR="00A82AD0" w:rsidRPr="00A82AD0" w:rsidRDefault="00A82AD0" w:rsidP="00A82AD0">
            <w:pPr>
              <w:spacing w:after="0" w:line="240" w:lineRule="auto"/>
              <w:jc w:val="right"/>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44.95</w:t>
            </w:r>
          </w:p>
        </w:tc>
        <w:tc>
          <w:tcPr>
            <w:tcW w:w="2800" w:type="dxa"/>
            <w:tcBorders>
              <w:top w:val="nil"/>
              <w:left w:val="nil"/>
              <w:bottom w:val="single" w:sz="4" w:space="0" w:color="auto"/>
              <w:right w:val="single" w:sz="4" w:space="0" w:color="auto"/>
            </w:tcBorders>
            <w:shd w:val="clear" w:color="000000" w:fill="FFFFFF"/>
            <w:noWrap/>
            <w:vAlign w:val="bottom"/>
            <w:hideMark/>
          </w:tcPr>
          <w:p w:rsidR="00A82AD0" w:rsidRPr="00A82AD0" w:rsidRDefault="00A82AD0" w:rsidP="00A82AD0">
            <w:pPr>
              <w:spacing w:after="0" w:line="240" w:lineRule="auto"/>
              <w:rPr>
                <w:rFonts w:ascii="Calibri" w:eastAsia="Times New Roman" w:hAnsi="Calibri" w:cs="Times New Roman"/>
                <w:color w:val="000000"/>
                <w:sz w:val="20"/>
                <w:szCs w:val="20"/>
              </w:rPr>
            </w:pPr>
            <w:r w:rsidRPr="00A82AD0">
              <w:rPr>
                <w:rFonts w:ascii="Calibri" w:eastAsia="Times New Roman" w:hAnsi="Calibri" w:cs="Times New Roman"/>
                <w:color w:val="000000"/>
                <w:sz w:val="20"/>
                <w:szCs w:val="20"/>
              </w:rPr>
              <w:t xml:space="preserve">Al </w:t>
            </w:r>
            <w:proofErr w:type="spellStart"/>
            <w:r w:rsidRPr="00A82AD0">
              <w:rPr>
                <w:rFonts w:ascii="Calibri" w:eastAsia="Times New Roman" w:hAnsi="Calibri" w:cs="Times New Roman"/>
                <w:color w:val="000000"/>
                <w:sz w:val="20"/>
                <w:szCs w:val="20"/>
              </w:rPr>
              <w:t>Buraiqeh</w:t>
            </w:r>
            <w:proofErr w:type="spellEnd"/>
          </w:p>
        </w:tc>
      </w:tr>
    </w:tbl>
    <w:p w:rsidR="00A82AD0" w:rsidRDefault="00A82AD0" w:rsidP="00A82AD0"/>
    <w:p w:rsidR="00A82AD0" w:rsidRDefault="00A82AD0" w:rsidP="00A82AD0"/>
    <w:p w:rsidR="00A82AD0" w:rsidRDefault="00A82AD0" w:rsidP="00A82AD0"/>
    <w:p w:rsidR="00A82AD0" w:rsidRDefault="00A82AD0" w:rsidP="00A82AD0"/>
    <w:p w:rsidR="00A82AD0" w:rsidRDefault="00A82AD0" w:rsidP="00A82AD0"/>
    <w:p w:rsidR="00A82AD0" w:rsidRDefault="00A82AD0" w:rsidP="00A82AD0"/>
    <w:p w:rsidR="00A82AD0" w:rsidRDefault="00A82AD0" w:rsidP="00A82AD0"/>
    <w:p w:rsidR="00A82AD0" w:rsidRDefault="00A82AD0" w:rsidP="00A82AD0"/>
    <w:p w:rsidR="00A82AD0" w:rsidRDefault="00A82AD0" w:rsidP="00A82AD0"/>
    <w:p w:rsidR="00A82AD0" w:rsidRDefault="00A82AD0" w:rsidP="00A82AD0">
      <w:pPr>
        <w:pStyle w:val="Heading1"/>
      </w:pPr>
      <w:r>
        <w:t>3</w:t>
      </w:r>
      <w:r>
        <w:tab/>
        <w:t>Representations of chokepoint dependence</w:t>
      </w:r>
    </w:p>
    <w:p w:rsidR="00780BCC" w:rsidRDefault="00780BCC" w:rsidP="00780BCC"/>
    <w:p w:rsidR="00780BCC" w:rsidRDefault="00780BCC" w:rsidP="00780BCC">
      <w:pPr>
        <w:ind w:firstLine="720"/>
      </w:pPr>
      <w:r>
        <w:t>The purposes of this analysis can be summarized into two questions. First, how dependent are the major TE exports on transit through maritime chokepoints? Dependence here can be measured in two ways: (</w:t>
      </w:r>
      <w:proofErr w:type="spellStart"/>
      <w:r>
        <w:t>i</w:t>
      </w:r>
      <w:proofErr w:type="spellEnd"/>
      <w:r>
        <w:t xml:space="preserve">) through the inputs to TE manufacturing and (ii) through the exports of TE output. The former is represented in </w:t>
      </w:r>
      <w:r w:rsidRPr="00FB7E92">
        <w:t xml:space="preserve">Figure </w:t>
      </w:r>
      <w:r w:rsidR="00E61E18">
        <w:t>1a</w:t>
      </w:r>
      <w:r>
        <w:t xml:space="preserve"> below. In this figure, a hypothetical country’s TE sector (the middle bar) requires inputs from countries A-F and ships TE output to meet final demand in countries G-J. These numbers are completely hypothetical and are not based on empirical data.</w:t>
      </w:r>
    </w:p>
    <w:p w:rsidR="00780BCC" w:rsidRDefault="00780BCC" w:rsidP="00780BCC">
      <w:pPr>
        <w:sectPr w:rsidR="00780BCC" w:rsidSect="000513C7">
          <w:footnotePr>
            <w:numRestart w:val="eachSect"/>
          </w:footnotePr>
          <w:pgSz w:w="12240" w:h="15840" w:code="1"/>
          <w:pgMar w:top="1440" w:right="1440" w:bottom="1440" w:left="2160" w:header="1440" w:footer="1152" w:gutter="0"/>
          <w:cols w:space="720"/>
        </w:sectPr>
      </w:pPr>
    </w:p>
    <w:p w:rsidR="00780BCC" w:rsidRDefault="00780BCC" w:rsidP="00780BCC"/>
    <w:p w:rsidR="00780BCC" w:rsidRDefault="00780BCC" w:rsidP="00780BCC"/>
    <w:p w:rsidR="00780BCC" w:rsidRPr="00780BCC" w:rsidRDefault="00780BCC" w:rsidP="00780BCC">
      <w:pPr>
        <w:keepNext/>
        <w:spacing w:line="240" w:lineRule="auto"/>
        <w:ind w:left="-720"/>
        <w:rPr>
          <w:rFonts w:asciiTheme="majorHAnsi" w:hAnsiTheme="majorHAnsi"/>
        </w:rPr>
      </w:pPr>
      <w:r w:rsidRPr="00780BCC">
        <w:rPr>
          <w:rFonts w:asciiTheme="majorHAnsi" w:hAnsiTheme="majorHAnsi"/>
          <w:noProof/>
        </w:rPr>
        <w:drawing>
          <wp:inline distT="0" distB="0" distL="0" distR="0" wp14:anchorId="364BA5DA" wp14:editId="0F267058">
            <wp:extent cx="9329910" cy="2759103"/>
            <wp:effectExtent l="0" t="0" r="508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370349" cy="2771062"/>
                    </a:xfrm>
                    <a:prstGeom prst="rect">
                      <a:avLst/>
                    </a:prstGeom>
                  </pic:spPr>
                </pic:pic>
              </a:graphicData>
            </a:graphic>
          </wp:inline>
        </w:drawing>
      </w:r>
    </w:p>
    <w:p w:rsidR="00780BCC" w:rsidRPr="00780BCC" w:rsidRDefault="00780BCC" w:rsidP="00780BCC">
      <w:pPr>
        <w:pStyle w:val="Caption"/>
        <w:ind w:firstLine="0"/>
        <w:jc w:val="left"/>
        <w:rPr>
          <w:rFonts w:asciiTheme="majorHAnsi" w:hAnsiTheme="majorHAnsi"/>
        </w:rPr>
      </w:pPr>
    </w:p>
    <w:p w:rsidR="00780BCC" w:rsidRPr="00780BCC" w:rsidRDefault="00780BCC" w:rsidP="00780BCC">
      <w:pPr>
        <w:pStyle w:val="Caption"/>
        <w:ind w:firstLine="0"/>
        <w:jc w:val="left"/>
        <w:rPr>
          <w:rFonts w:asciiTheme="majorHAnsi" w:hAnsiTheme="majorHAnsi"/>
          <w:vanish/>
          <w:sz w:val="20"/>
          <w:szCs w:val="20"/>
          <w:specVanish/>
        </w:rPr>
      </w:pPr>
      <w:bookmarkStart w:id="0" w:name="_Toc47464751"/>
      <w:r w:rsidRPr="00780BCC">
        <w:rPr>
          <w:rFonts w:asciiTheme="majorHAnsi" w:hAnsiTheme="majorHAnsi"/>
          <w:sz w:val="20"/>
          <w:szCs w:val="20"/>
        </w:rPr>
        <w:t xml:space="preserve">Figure </w:t>
      </w:r>
      <w:r w:rsidRPr="00780BCC">
        <w:rPr>
          <w:rFonts w:asciiTheme="majorHAnsi" w:hAnsiTheme="majorHAnsi"/>
          <w:sz w:val="20"/>
          <w:szCs w:val="20"/>
        </w:rPr>
        <w:fldChar w:fldCharType="begin"/>
      </w:r>
      <w:r w:rsidRPr="00780BCC">
        <w:rPr>
          <w:rFonts w:asciiTheme="majorHAnsi" w:hAnsiTheme="majorHAnsi"/>
          <w:sz w:val="20"/>
          <w:szCs w:val="20"/>
        </w:rPr>
        <w:instrText xml:space="preserve"> SEQ Figure \* ARABIC </w:instrText>
      </w:r>
      <w:r w:rsidRPr="00780BCC">
        <w:rPr>
          <w:rFonts w:asciiTheme="majorHAnsi" w:hAnsiTheme="majorHAnsi"/>
          <w:sz w:val="20"/>
          <w:szCs w:val="20"/>
        </w:rPr>
        <w:fldChar w:fldCharType="separate"/>
      </w:r>
      <w:r>
        <w:rPr>
          <w:rFonts w:asciiTheme="majorHAnsi" w:hAnsiTheme="majorHAnsi"/>
          <w:noProof/>
          <w:sz w:val="20"/>
          <w:szCs w:val="20"/>
        </w:rPr>
        <w:t>1</w:t>
      </w:r>
      <w:r w:rsidRPr="00780BCC">
        <w:rPr>
          <w:rFonts w:asciiTheme="majorHAnsi" w:hAnsiTheme="majorHAnsi"/>
          <w:sz w:val="20"/>
          <w:szCs w:val="20"/>
        </w:rPr>
        <w:fldChar w:fldCharType="end"/>
      </w:r>
      <w:r w:rsidRPr="00780BCC">
        <w:rPr>
          <w:rFonts w:asciiTheme="majorHAnsi" w:hAnsiTheme="majorHAnsi"/>
          <w:sz w:val="20"/>
          <w:szCs w:val="20"/>
        </w:rPr>
        <w:t>. Schematic of chokepoint transits and dependences for TE exporters.</w:t>
      </w:r>
      <w:bookmarkEnd w:id="0"/>
      <w:r w:rsidRPr="00780BCC">
        <w:rPr>
          <w:rFonts w:asciiTheme="majorHAnsi" w:hAnsiTheme="majorHAnsi"/>
          <w:sz w:val="20"/>
          <w:szCs w:val="20"/>
        </w:rPr>
        <w:t xml:space="preserve"> </w:t>
      </w:r>
    </w:p>
    <w:p w:rsidR="00780BCC" w:rsidRPr="00780BCC" w:rsidRDefault="00780BCC" w:rsidP="00780BCC">
      <w:pPr>
        <w:pStyle w:val="Caption"/>
        <w:ind w:firstLine="0"/>
        <w:jc w:val="left"/>
        <w:rPr>
          <w:rFonts w:asciiTheme="majorHAnsi" w:hAnsiTheme="majorHAnsi"/>
          <w:b w:val="0"/>
          <w:sz w:val="20"/>
          <w:szCs w:val="20"/>
        </w:rPr>
        <w:sectPr w:rsidR="00780BCC" w:rsidRPr="00780BCC" w:rsidSect="000513C7">
          <w:footnotePr>
            <w:numRestart w:val="eachSect"/>
          </w:footnotePr>
          <w:pgSz w:w="15840" w:h="12240" w:orient="landscape" w:code="1"/>
          <w:pgMar w:top="2160" w:right="1440" w:bottom="1440" w:left="1440" w:header="1440" w:footer="1152" w:gutter="0"/>
          <w:cols w:space="720"/>
          <w:docGrid w:linePitch="299"/>
        </w:sectPr>
      </w:pPr>
      <w:r w:rsidRPr="00780BCC">
        <w:rPr>
          <w:rFonts w:asciiTheme="majorHAnsi" w:hAnsiTheme="majorHAnsi"/>
          <w:b w:val="0"/>
          <w:sz w:val="20"/>
          <w:szCs w:val="20"/>
        </w:rPr>
        <w:t xml:space="preserve">The left panel (a) represents how TE exporters can be dependent on chokepoints via their manufacturing inputs. The right panel (b) represents how TE exporters can be dependent based on whether their TE exports transit a chokepoint. The TE-manufacturing country requires 1,000 units of input and produces 1,000 units of output. If one of its inputs (Input A) requires chokepoint transit, the TE sector would directly depend on the chokepoint for 10% of its inputs. The dependence of TE output on the chokepoint is represented in Figure </w:t>
      </w:r>
      <w:r w:rsidR="00675AFF">
        <w:rPr>
          <w:rFonts w:asciiTheme="majorHAnsi" w:hAnsiTheme="majorHAnsi"/>
          <w:b w:val="0"/>
          <w:sz w:val="20"/>
          <w:szCs w:val="20"/>
        </w:rPr>
        <w:t>1b</w:t>
      </w:r>
      <w:r w:rsidRPr="00780BCC">
        <w:rPr>
          <w:rFonts w:asciiTheme="majorHAnsi" w:hAnsiTheme="majorHAnsi"/>
          <w:b w:val="0"/>
          <w:sz w:val="20"/>
          <w:szCs w:val="20"/>
        </w:rPr>
        <w:t>. In this illustration, the TE sector delivers 200 units of TE output to meet final demand in country G. 20% of its outputs (200/1,000) are therefore directly dependent on the chokepoint.</w:t>
      </w:r>
    </w:p>
    <w:p w:rsidR="00780BCC" w:rsidRDefault="00780BCC" w:rsidP="00780BCC">
      <w:pPr>
        <w:ind w:firstLine="720"/>
      </w:pPr>
      <w:r>
        <w:lastRenderedPageBreak/>
        <w:t>The second question we ask is, how dependent are major TE importers on transit through maritime chokepoints? Similar to the first question, this can be answered in two ways: (</w:t>
      </w:r>
      <w:proofErr w:type="spellStart"/>
      <w:r>
        <w:t>i</w:t>
      </w:r>
      <w:proofErr w:type="spellEnd"/>
      <w:r>
        <w:t xml:space="preserve">) through the direct imports of TE and (ii) through the inputs required to produce the TE that is imported. We represent these two types of flows in Figure </w:t>
      </w:r>
      <w:r w:rsidR="00E61E18">
        <w:t>2a</w:t>
      </w:r>
      <w:r>
        <w:t xml:space="preserve"> and Figure </w:t>
      </w:r>
      <w:r w:rsidR="00E61E18">
        <w:t>2b</w:t>
      </w:r>
      <w:r>
        <w:t>, below:</w:t>
      </w:r>
    </w:p>
    <w:p w:rsidR="00780BCC" w:rsidRDefault="00780BCC" w:rsidP="00780BCC"/>
    <w:p w:rsidR="00780BCC" w:rsidRDefault="00780BCC" w:rsidP="00780BCC"/>
    <w:p w:rsidR="00780BCC" w:rsidRDefault="00780BCC" w:rsidP="00780BCC"/>
    <w:p w:rsidR="00780BCC" w:rsidRDefault="00780BCC" w:rsidP="00780BCC">
      <w:pPr>
        <w:sectPr w:rsidR="00780BCC" w:rsidSect="000513C7">
          <w:footnotePr>
            <w:numRestart w:val="eachSect"/>
          </w:footnotePr>
          <w:pgSz w:w="12240" w:h="15840" w:code="1"/>
          <w:pgMar w:top="1440" w:right="1440" w:bottom="1440" w:left="2160" w:header="1440" w:footer="1152" w:gutter="0"/>
          <w:cols w:space="720"/>
        </w:sectPr>
      </w:pPr>
    </w:p>
    <w:p w:rsidR="00780BCC" w:rsidRDefault="00780BCC" w:rsidP="00780BCC"/>
    <w:p w:rsidR="00780BCC" w:rsidRDefault="00780BCC" w:rsidP="00780BCC"/>
    <w:p w:rsidR="00780BCC" w:rsidRDefault="00780BCC" w:rsidP="00780BCC">
      <w:pPr>
        <w:keepNext/>
        <w:spacing w:line="240" w:lineRule="auto"/>
        <w:ind w:hanging="720"/>
      </w:pPr>
      <w:r>
        <w:rPr>
          <w:noProof/>
        </w:rPr>
        <w:drawing>
          <wp:inline distT="0" distB="0" distL="0" distR="0" wp14:anchorId="50B092C5" wp14:editId="20FB6F41">
            <wp:extent cx="9319207" cy="28624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336856" cy="2867891"/>
                    </a:xfrm>
                    <a:prstGeom prst="rect">
                      <a:avLst/>
                    </a:prstGeom>
                  </pic:spPr>
                </pic:pic>
              </a:graphicData>
            </a:graphic>
          </wp:inline>
        </w:drawing>
      </w:r>
    </w:p>
    <w:p w:rsidR="00780BCC" w:rsidRDefault="00780BCC" w:rsidP="00780BCC">
      <w:pPr>
        <w:pStyle w:val="Caption"/>
        <w:ind w:firstLine="0"/>
        <w:jc w:val="left"/>
        <w:rPr>
          <w:sz w:val="20"/>
          <w:szCs w:val="20"/>
        </w:rPr>
      </w:pPr>
    </w:p>
    <w:p w:rsidR="00780BCC" w:rsidRPr="00780BCC" w:rsidRDefault="00780BCC" w:rsidP="00780BCC">
      <w:pPr>
        <w:pStyle w:val="Caption"/>
        <w:ind w:firstLine="0"/>
        <w:jc w:val="left"/>
        <w:rPr>
          <w:rFonts w:asciiTheme="majorHAnsi" w:hAnsiTheme="majorHAnsi"/>
          <w:vanish/>
          <w:sz w:val="20"/>
          <w:szCs w:val="20"/>
          <w:specVanish/>
        </w:rPr>
      </w:pPr>
      <w:bookmarkStart w:id="1" w:name="_Toc47464752"/>
      <w:r w:rsidRPr="00780BCC">
        <w:rPr>
          <w:rFonts w:asciiTheme="majorHAnsi" w:hAnsiTheme="majorHAnsi"/>
          <w:sz w:val="20"/>
          <w:szCs w:val="20"/>
        </w:rPr>
        <w:t xml:space="preserve">Figure </w:t>
      </w:r>
      <w:r w:rsidRPr="00780BCC">
        <w:rPr>
          <w:rFonts w:asciiTheme="majorHAnsi" w:hAnsiTheme="majorHAnsi"/>
          <w:sz w:val="20"/>
          <w:szCs w:val="20"/>
        </w:rPr>
        <w:fldChar w:fldCharType="begin"/>
      </w:r>
      <w:r w:rsidRPr="00780BCC">
        <w:rPr>
          <w:rFonts w:asciiTheme="majorHAnsi" w:hAnsiTheme="majorHAnsi"/>
          <w:sz w:val="20"/>
          <w:szCs w:val="20"/>
        </w:rPr>
        <w:instrText xml:space="preserve"> SEQ Figure \* ARABIC </w:instrText>
      </w:r>
      <w:r w:rsidRPr="00780BCC">
        <w:rPr>
          <w:rFonts w:asciiTheme="majorHAnsi" w:hAnsiTheme="majorHAnsi"/>
          <w:sz w:val="20"/>
          <w:szCs w:val="20"/>
        </w:rPr>
        <w:fldChar w:fldCharType="separate"/>
      </w:r>
      <w:r w:rsidRPr="00780BCC">
        <w:rPr>
          <w:rFonts w:asciiTheme="majorHAnsi" w:hAnsiTheme="majorHAnsi"/>
          <w:noProof/>
          <w:sz w:val="20"/>
          <w:szCs w:val="20"/>
        </w:rPr>
        <w:t>2</w:t>
      </w:r>
      <w:r w:rsidRPr="00780BCC">
        <w:rPr>
          <w:rFonts w:asciiTheme="majorHAnsi" w:hAnsiTheme="majorHAnsi"/>
          <w:sz w:val="20"/>
          <w:szCs w:val="20"/>
        </w:rPr>
        <w:fldChar w:fldCharType="end"/>
      </w:r>
      <w:r w:rsidRPr="00780BCC">
        <w:rPr>
          <w:rFonts w:asciiTheme="majorHAnsi" w:hAnsiTheme="majorHAnsi"/>
          <w:sz w:val="20"/>
          <w:szCs w:val="20"/>
        </w:rPr>
        <w:t>. Schematic of chokepoint transits and dependences for TE importers.</w:t>
      </w:r>
      <w:bookmarkEnd w:id="1"/>
      <w:r w:rsidRPr="00780BCC">
        <w:rPr>
          <w:rFonts w:asciiTheme="majorHAnsi" w:hAnsiTheme="majorHAnsi"/>
          <w:sz w:val="20"/>
          <w:szCs w:val="20"/>
        </w:rPr>
        <w:t xml:space="preserve"> </w:t>
      </w:r>
    </w:p>
    <w:p w:rsidR="00780BCC" w:rsidRPr="00780BCC" w:rsidRDefault="00780BCC" w:rsidP="00780BCC">
      <w:pPr>
        <w:pStyle w:val="Caption"/>
        <w:ind w:firstLine="0"/>
        <w:jc w:val="left"/>
        <w:rPr>
          <w:rFonts w:asciiTheme="majorHAnsi" w:hAnsiTheme="majorHAnsi"/>
          <w:b w:val="0"/>
          <w:sz w:val="20"/>
          <w:szCs w:val="20"/>
        </w:rPr>
      </w:pPr>
      <w:r w:rsidRPr="00780BCC">
        <w:rPr>
          <w:rFonts w:asciiTheme="majorHAnsi" w:hAnsiTheme="majorHAnsi"/>
          <w:b w:val="0"/>
          <w:sz w:val="20"/>
          <w:szCs w:val="20"/>
        </w:rPr>
        <w:t xml:space="preserve">The left panel (a) represents how TE importers can be dependent on chokepoints via their direct imports of TE output. The right panel (b) represents how importers can also be chokepoint dependent based on whether the inputs to TE manufacturing transits a chokepoint themselves. In this example, 200 units of TE imports to country G requires chokepoint transit. Country G’s TE demand (which again can act as a proxy for transportation demand) would be 25% dependent on chokepoints if this comprised 25% of the country’s total TE imports. If, as in Figure </w:t>
      </w:r>
      <w:r w:rsidR="005D4D5E">
        <w:rPr>
          <w:rFonts w:asciiTheme="majorHAnsi" w:hAnsiTheme="majorHAnsi"/>
          <w:b w:val="0"/>
          <w:sz w:val="20"/>
          <w:szCs w:val="20"/>
        </w:rPr>
        <w:t>1b</w:t>
      </w:r>
      <w:bookmarkStart w:id="2" w:name="_GoBack"/>
      <w:bookmarkEnd w:id="2"/>
      <w:r w:rsidRPr="00780BCC">
        <w:rPr>
          <w:rFonts w:asciiTheme="majorHAnsi" w:hAnsiTheme="majorHAnsi"/>
          <w:b w:val="0"/>
          <w:sz w:val="20"/>
          <w:szCs w:val="20"/>
        </w:rPr>
        <w:t>, 100 units of input to the TE sector depends on chokepoint transit, each of the final demand countries would also be dependent on the chokepoint for their TE imports. Here, because the chokepoint-dependent inputs comprise 10% of the total inputs to the TE sector, 10% of the TE output that goes to the final demand countries would also be dependent on the chokepoint. The direct chokepoint dependence of TE importers is therefore the sum of (</w:t>
      </w:r>
      <w:proofErr w:type="spellStart"/>
      <w:r w:rsidRPr="00780BCC">
        <w:rPr>
          <w:rFonts w:asciiTheme="majorHAnsi" w:hAnsiTheme="majorHAnsi"/>
          <w:b w:val="0"/>
          <w:sz w:val="20"/>
          <w:szCs w:val="20"/>
        </w:rPr>
        <w:t>i</w:t>
      </w:r>
      <w:proofErr w:type="spellEnd"/>
      <w:r w:rsidRPr="00780BCC">
        <w:rPr>
          <w:rFonts w:asciiTheme="majorHAnsi" w:hAnsiTheme="majorHAnsi"/>
          <w:b w:val="0"/>
          <w:sz w:val="20"/>
          <w:szCs w:val="20"/>
        </w:rPr>
        <w:t>) and (ii).</w:t>
      </w:r>
    </w:p>
    <w:p w:rsidR="00780BCC" w:rsidRDefault="00780BCC" w:rsidP="00780BCC">
      <w:pPr>
        <w:sectPr w:rsidR="00780BCC" w:rsidSect="000513C7">
          <w:footnotePr>
            <w:numRestart w:val="eachSect"/>
          </w:footnotePr>
          <w:pgSz w:w="15840" w:h="12240" w:orient="landscape" w:code="1"/>
          <w:pgMar w:top="2160" w:right="1440" w:bottom="1440" w:left="1440" w:header="1440" w:footer="1152" w:gutter="0"/>
          <w:cols w:space="720"/>
          <w:docGrid w:linePitch="299"/>
        </w:sectPr>
      </w:pPr>
    </w:p>
    <w:p w:rsidR="00780BCC" w:rsidRDefault="00780BCC" w:rsidP="00780BCC">
      <w:pPr>
        <w:ind w:firstLine="720"/>
      </w:pPr>
      <w:r>
        <w:lastRenderedPageBreak/>
        <w:t xml:space="preserve">Figure </w:t>
      </w:r>
      <w:r>
        <w:t>2a</w:t>
      </w:r>
      <w:r>
        <w:t xml:space="preserve"> represents the first flow, or the direct imports of TE by the final demand country. On the other hand, Figure </w:t>
      </w:r>
      <w:r>
        <w:t>2b</w:t>
      </w:r>
      <w:r>
        <w:t xml:space="preserve"> represents each final demand country’s chokepoint dependence based on the inputs to TE manufacturing. </w:t>
      </w:r>
    </w:p>
    <w:p w:rsidR="00A82AD0" w:rsidRPr="00A82AD0" w:rsidRDefault="00A82AD0" w:rsidP="00A82AD0"/>
    <w:sectPr w:rsidR="00A82AD0" w:rsidRPr="00A8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BC4FA8"/>
    <w:multiLevelType w:val="hybridMultilevel"/>
    <w:tmpl w:val="C96CD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numRestart w:val="eachSect"/>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D57"/>
    <w:rsid w:val="0004631A"/>
    <w:rsid w:val="004B7A09"/>
    <w:rsid w:val="005B5A52"/>
    <w:rsid w:val="005D4D5E"/>
    <w:rsid w:val="00675AFF"/>
    <w:rsid w:val="00780BCC"/>
    <w:rsid w:val="00A154B1"/>
    <w:rsid w:val="00A82AD0"/>
    <w:rsid w:val="00BB4622"/>
    <w:rsid w:val="00BC0EF4"/>
    <w:rsid w:val="00D47D57"/>
    <w:rsid w:val="00E61E1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8C9AB"/>
  <w15:chartTrackingRefBased/>
  <w15:docId w15:val="{FD7520EF-870D-4750-8E39-6E4520F5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63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D57"/>
    <w:pPr>
      <w:ind w:left="720"/>
      <w:contextualSpacing/>
    </w:pPr>
  </w:style>
  <w:style w:type="character" w:styleId="Hyperlink">
    <w:name w:val="Hyperlink"/>
    <w:basedOn w:val="DefaultParagraphFont"/>
    <w:uiPriority w:val="99"/>
    <w:unhideWhenUsed/>
    <w:rsid w:val="00BB4622"/>
    <w:rPr>
      <w:color w:val="0000FF"/>
      <w:u w:val="single"/>
    </w:rPr>
  </w:style>
  <w:style w:type="character" w:customStyle="1" w:styleId="Heading1Char">
    <w:name w:val="Heading 1 Char"/>
    <w:basedOn w:val="DefaultParagraphFont"/>
    <w:link w:val="Heading1"/>
    <w:uiPriority w:val="9"/>
    <w:rsid w:val="0004631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046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780BCC"/>
    <w:pPr>
      <w:spacing w:after="240" w:line="240" w:lineRule="auto"/>
      <w:ind w:firstLine="720"/>
      <w:jc w:val="center"/>
    </w:pPr>
    <w:rPr>
      <w:rFonts w:ascii="Palatino Linotype" w:eastAsia="Times New Roman" w:hAnsi="Palatino Linotype" w:cs="Times New Roman"/>
      <w:b/>
      <w:bCs/>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973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11</Pages>
  <Words>1568</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Shepard</dc:creator>
  <cp:keywords/>
  <dc:description/>
  <cp:lastModifiedBy>Jun Shepard</cp:lastModifiedBy>
  <cp:revision>5</cp:revision>
  <dcterms:created xsi:type="dcterms:W3CDTF">2020-09-19T20:47:00Z</dcterms:created>
  <dcterms:modified xsi:type="dcterms:W3CDTF">2020-09-20T23:11:00Z</dcterms:modified>
</cp:coreProperties>
</file>