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28A" w:rsidRDefault="00736406">
      <w:pPr>
        <w:rPr>
          <w:b/>
          <w:lang w:val="en-US"/>
        </w:rPr>
      </w:pPr>
      <w:r>
        <w:rPr>
          <w:b/>
          <w:lang w:val="en-US"/>
        </w:rPr>
        <w:t>Converting trade data to physical energy flows</w:t>
      </w:r>
    </w:p>
    <w:p w:rsidR="00736406" w:rsidRDefault="000F361D">
      <w:pPr>
        <w:rPr>
          <w:lang w:val="en-US"/>
        </w:rPr>
      </w:pPr>
      <w:r>
        <w:rPr>
          <w:lang w:val="en-US"/>
        </w:rPr>
        <w:t>To</w:t>
      </w:r>
      <w:r w:rsidR="00736406">
        <w:rPr>
          <w:lang w:val="en-US"/>
        </w:rPr>
        <w:t xml:space="preserve"> link the BACI trade and IEA world energy balance (WEB) databases, I rely on a correspondence table that defines specific energy (MJ/kg) for each representative energy resource in the MESSAGE model. This specific energy value is region specific for crude (CRU) and coal (COAL), for which quality can vary by geographic source. This concordance is built using the following method:</w:t>
      </w:r>
    </w:p>
    <w:p w:rsidR="00567704" w:rsidRDefault="00567704" w:rsidP="00567704">
      <w:pPr>
        <w:rPr>
          <w:u w:val="single"/>
          <w:lang w:val="en-US"/>
        </w:rPr>
      </w:pPr>
    </w:p>
    <w:p w:rsidR="00736406" w:rsidRPr="00567704" w:rsidRDefault="00736406" w:rsidP="00567704">
      <w:pPr>
        <w:rPr>
          <w:lang w:val="en-US"/>
        </w:rPr>
      </w:pPr>
      <w:r w:rsidRPr="00567704">
        <w:rPr>
          <w:u w:val="single"/>
          <w:lang w:val="en-US"/>
        </w:rPr>
        <w:t>Coal</w:t>
      </w:r>
      <w:r w:rsidR="00B53360" w:rsidRPr="00567704">
        <w:rPr>
          <w:u w:val="single"/>
          <w:lang w:val="en-US"/>
        </w:rPr>
        <w:t>:</w:t>
      </w:r>
      <w:r w:rsidR="00B53360" w:rsidRPr="00567704">
        <w:rPr>
          <w:lang w:val="en-US"/>
        </w:rPr>
        <w:t xml:space="preserve"> Use the share of (lignite + sub-bituminous) compared to share of (bituminous + anthracite) in reserves, sourced from the BP Statistical Workbook (2007). Use a representative specific energy for each type of coal and find the lignite-subbituminous average and bituminous-anthracite average. Calculate the weighted average for a country (where country-specific data are available) or a region (where country-specific data are not available). Representative specific energy values are sourced from the Indiana Center for Coal Technology Research at Purdue University</w:t>
      </w:r>
    </w:p>
    <w:tbl>
      <w:tblPr>
        <w:tblStyle w:val="TableGrid"/>
        <w:tblW w:w="0" w:type="auto"/>
        <w:tblLook w:val="04A0" w:firstRow="1" w:lastRow="0" w:firstColumn="1" w:lastColumn="0" w:noHBand="0" w:noVBand="1"/>
      </w:tblPr>
      <w:tblGrid>
        <w:gridCol w:w="4508"/>
        <w:gridCol w:w="4508"/>
      </w:tblGrid>
      <w:tr w:rsidR="00567704" w:rsidTr="00567704">
        <w:tc>
          <w:tcPr>
            <w:tcW w:w="4508" w:type="dxa"/>
            <w:shd w:val="clear" w:color="auto" w:fill="E7E6E6" w:themeFill="background2"/>
          </w:tcPr>
          <w:p w:rsidR="00567704" w:rsidRPr="00567704" w:rsidRDefault="00567704" w:rsidP="00567704">
            <w:pPr>
              <w:jc w:val="center"/>
              <w:rPr>
                <w:b/>
                <w:lang w:val="en-US"/>
              </w:rPr>
            </w:pPr>
            <w:r w:rsidRPr="00567704">
              <w:rPr>
                <w:b/>
                <w:lang w:val="en-US"/>
              </w:rPr>
              <w:t>Coal Type</w:t>
            </w:r>
          </w:p>
        </w:tc>
        <w:tc>
          <w:tcPr>
            <w:tcW w:w="4508" w:type="dxa"/>
            <w:shd w:val="clear" w:color="auto" w:fill="E7E6E6" w:themeFill="background2"/>
          </w:tcPr>
          <w:p w:rsidR="00567704" w:rsidRPr="00567704" w:rsidRDefault="00567704" w:rsidP="00567704">
            <w:pPr>
              <w:jc w:val="center"/>
              <w:rPr>
                <w:b/>
                <w:lang w:val="en-US"/>
              </w:rPr>
            </w:pPr>
            <w:r w:rsidRPr="00567704">
              <w:rPr>
                <w:b/>
                <w:lang w:val="en-US"/>
              </w:rPr>
              <w:t>Representative specific energy value (MJ/t)</w:t>
            </w:r>
          </w:p>
        </w:tc>
      </w:tr>
      <w:tr w:rsidR="00567704" w:rsidTr="00567704">
        <w:tc>
          <w:tcPr>
            <w:tcW w:w="4508" w:type="dxa"/>
          </w:tcPr>
          <w:p w:rsidR="00567704" w:rsidRDefault="00567704" w:rsidP="00B9401D">
            <w:pPr>
              <w:rPr>
                <w:lang w:val="en-US"/>
              </w:rPr>
            </w:pPr>
            <w:r>
              <w:rPr>
                <w:lang w:val="en-US"/>
              </w:rPr>
              <w:t>Anthracite</w:t>
            </w:r>
          </w:p>
        </w:tc>
        <w:tc>
          <w:tcPr>
            <w:tcW w:w="4508" w:type="dxa"/>
          </w:tcPr>
          <w:p w:rsidR="00567704" w:rsidRDefault="00567704" w:rsidP="00567704">
            <w:pPr>
              <w:jc w:val="center"/>
              <w:rPr>
                <w:lang w:val="en-US"/>
              </w:rPr>
            </w:pPr>
            <w:r>
              <w:rPr>
                <w:lang w:val="en-US"/>
              </w:rPr>
              <w:t>30,080</w:t>
            </w:r>
          </w:p>
        </w:tc>
      </w:tr>
      <w:tr w:rsidR="00567704" w:rsidTr="00567704">
        <w:tc>
          <w:tcPr>
            <w:tcW w:w="4508" w:type="dxa"/>
          </w:tcPr>
          <w:p w:rsidR="00567704" w:rsidRDefault="00567704" w:rsidP="00B9401D">
            <w:pPr>
              <w:rPr>
                <w:lang w:val="en-US"/>
              </w:rPr>
            </w:pPr>
            <w:r>
              <w:rPr>
                <w:lang w:val="en-US"/>
              </w:rPr>
              <w:t>Bituminous</w:t>
            </w:r>
          </w:p>
        </w:tc>
        <w:tc>
          <w:tcPr>
            <w:tcW w:w="4508" w:type="dxa"/>
          </w:tcPr>
          <w:p w:rsidR="00567704" w:rsidRDefault="00567704" w:rsidP="00567704">
            <w:pPr>
              <w:jc w:val="center"/>
              <w:rPr>
                <w:lang w:val="en-US"/>
              </w:rPr>
            </w:pPr>
            <w:r>
              <w:rPr>
                <w:lang w:val="en-US"/>
              </w:rPr>
              <w:t>32,000</w:t>
            </w:r>
          </w:p>
        </w:tc>
      </w:tr>
      <w:tr w:rsidR="00567704" w:rsidTr="00567704">
        <w:tc>
          <w:tcPr>
            <w:tcW w:w="4508" w:type="dxa"/>
          </w:tcPr>
          <w:p w:rsidR="00567704" w:rsidRDefault="00567704" w:rsidP="00B9401D">
            <w:pPr>
              <w:rPr>
                <w:lang w:val="en-US"/>
              </w:rPr>
            </w:pPr>
            <w:r>
              <w:rPr>
                <w:lang w:val="en-US"/>
              </w:rPr>
              <w:t>Lignite</w:t>
            </w:r>
          </w:p>
        </w:tc>
        <w:tc>
          <w:tcPr>
            <w:tcW w:w="4508" w:type="dxa"/>
          </w:tcPr>
          <w:p w:rsidR="00567704" w:rsidRDefault="00567704" w:rsidP="00567704">
            <w:pPr>
              <w:jc w:val="center"/>
              <w:rPr>
                <w:lang w:val="en-US"/>
              </w:rPr>
            </w:pPr>
            <w:r>
              <w:rPr>
                <w:lang w:val="en-US"/>
              </w:rPr>
              <w:t>16,000</w:t>
            </w:r>
          </w:p>
        </w:tc>
      </w:tr>
      <w:tr w:rsidR="00567704" w:rsidTr="00567704">
        <w:tc>
          <w:tcPr>
            <w:tcW w:w="4508" w:type="dxa"/>
          </w:tcPr>
          <w:p w:rsidR="00567704" w:rsidRDefault="00567704" w:rsidP="00B9401D">
            <w:pPr>
              <w:rPr>
                <w:lang w:val="en-US"/>
              </w:rPr>
            </w:pPr>
            <w:r>
              <w:rPr>
                <w:lang w:val="en-US"/>
              </w:rPr>
              <w:t>Sub-bituminous</w:t>
            </w:r>
          </w:p>
        </w:tc>
        <w:tc>
          <w:tcPr>
            <w:tcW w:w="4508" w:type="dxa"/>
          </w:tcPr>
          <w:p w:rsidR="00567704" w:rsidRDefault="00567704" w:rsidP="00567704">
            <w:pPr>
              <w:jc w:val="center"/>
              <w:rPr>
                <w:lang w:val="en-US"/>
              </w:rPr>
            </w:pPr>
            <w:r>
              <w:rPr>
                <w:lang w:val="en-US"/>
              </w:rPr>
              <w:t>21,000</w:t>
            </w:r>
          </w:p>
        </w:tc>
      </w:tr>
      <w:tr w:rsidR="00567704" w:rsidTr="00567704">
        <w:tc>
          <w:tcPr>
            <w:tcW w:w="4508" w:type="dxa"/>
          </w:tcPr>
          <w:p w:rsidR="00567704" w:rsidRDefault="00567704" w:rsidP="00567704">
            <w:pPr>
              <w:jc w:val="right"/>
              <w:rPr>
                <w:lang w:val="en-US"/>
              </w:rPr>
            </w:pPr>
            <w:r>
              <w:rPr>
                <w:lang w:val="en-US"/>
              </w:rPr>
              <w:t>Mean (Lignite + Sub-bituminous)</w:t>
            </w:r>
          </w:p>
        </w:tc>
        <w:tc>
          <w:tcPr>
            <w:tcW w:w="4508" w:type="dxa"/>
          </w:tcPr>
          <w:p w:rsidR="00567704" w:rsidRDefault="00567704" w:rsidP="00567704">
            <w:pPr>
              <w:jc w:val="center"/>
              <w:rPr>
                <w:lang w:val="en-US"/>
              </w:rPr>
            </w:pPr>
            <w:r>
              <w:rPr>
                <w:lang w:val="en-US"/>
              </w:rPr>
              <w:t>18,500</w:t>
            </w:r>
          </w:p>
        </w:tc>
      </w:tr>
      <w:tr w:rsidR="00567704" w:rsidTr="00567704">
        <w:tc>
          <w:tcPr>
            <w:tcW w:w="4508" w:type="dxa"/>
          </w:tcPr>
          <w:p w:rsidR="00567704" w:rsidRDefault="00567704" w:rsidP="00567704">
            <w:pPr>
              <w:jc w:val="right"/>
              <w:rPr>
                <w:lang w:val="en-US"/>
              </w:rPr>
            </w:pPr>
            <w:r>
              <w:rPr>
                <w:lang w:val="en-US"/>
              </w:rPr>
              <w:t>Mean (Anthracite + Bituminous)</w:t>
            </w:r>
          </w:p>
        </w:tc>
        <w:tc>
          <w:tcPr>
            <w:tcW w:w="4508" w:type="dxa"/>
          </w:tcPr>
          <w:p w:rsidR="00567704" w:rsidRDefault="00567704" w:rsidP="00567704">
            <w:pPr>
              <w:jc w:val="center"/>
              <w:rPr>
                <w:lang w:val="en-US"/>
              </w:rPr>
            </w:pPr>
            <w:r>
              <w:rPr>
                <w:lang w:val="en-US"/>
              </w:rPr>
              <w:t>31,040</w:t>
            </w:r>
          </w:p>
        </w:tc>
      </w:tr>
    </w:tbl>
    <w:p w:rsidR="00B9401D" w:rsidRPr="00B9401D" w:rsidRDefault="00B9401D" w:rsidP="00B9401D">
      <w:pPr>
        <w:rPr>
          <w:lang w:val="en-US"/>
        </w:rPr>
      </w:pPr>
    </w:p>
    <w:p w:rsidR="000F361D" w:rsidRPr="00567704" w:rsidRDefault="00736406" w:rsidP="00567704">
      <w:pPr>
        <w:rPr>
          <w:lang w:val="en-US"/>
        </w:rPr>
      </w:pPr>
      <w:r w:rsidRPr="00567704">
        <w:rPr>
          <w:u w:val="single"/>
          <w:lang w:val="en-US"/>
        </w:rPr>
        <w:t>Crude</w:t>
      </w:r>
      <w:r w:rsidR="000F361D" w:rsidRPr="00567704">
        <w:rPr>
          <w:u w:val="single"/>
          <w:lang w:val="en-US"/>
        </w:rPr>
        <w:t>:</w:t>
      </w:r>
      <w:r w:rsidR="000F361D" w:rsidRPr="00567704">
        <w:rPr>
          <w:lang w:val="en-US"/>
        </w:rPr>
        <w:t xml:space="preserve"> crude oil reserves vary in terms of weight (light to heavy) and sulfur content (sour to sweet). To differentiate specific energy values, we focus on variation in weight by region. We apply the following formula to obtain barrels of oil per ton using the representative API gravity for each benchmark crude, which are sourced from Petroleum.co.uk:</w:t>
      </w:r>
    </w:p>
    <w:p w:rsidR="000F361D" w:rsidRPr="00567704" w:rsidRDefault="000F361D" w:rsidP="000F361D">
      <w:pPr>
        <w:pStyle w:val="ListParagraph"/>
        <w:rPr>
          <w:rFonts w:eastAsiaTheme="minorEastAsia"/>
          <w:lang w:val="en-US"/>
        </w:rPr>
      </w:pPr>
      <w:bookmarkStart w:id="0" w:name="_GoBack"/>
      <w:bookmarkEnd w:id="0"/>
      <m:oMathPara>
        <m:oMath>
          <m:r>
            <w:rPr>
              <w:rFonts w:ascii="Cambria Math" w:hAnsi="Cambria Math"/>
              <w:lang w:val="en-US"/>
            </w:rPr>
            <m:t>barrels per ton=</m:t>
          </m:r>
          <m:f>
            <m:fPr>
              <m:ctrlPr>
                <w:rPr>
                  <w:rFonts w:ascii="Cambria Math" w:hAnsi="Cambria Math"/>
                  <w:i/>
                  <w:lang w:val="en-US"/>
                </w:rPr>
              </m:ctrlPr>
            </m:fPr>
            <m:num>
              <m:r>
                <w:rPr>
                  <w:rFonts w:ascii="Cambria Math" w:hAnsi="Cambria Math"/>
                  <w:lang w:val="en-US"/>
                </w:rPr>
                <m:t>API+131.5</m:t>
              </m:r>
            </m:num>
            <m:den>
              <m:r>
                <w:rPr>
                  <w:rFonts w:ascii="Cambria Math" w:hAnsi="Cambria Math"/>
                  <w:lang w:val="en-US"/>
                </w:rPr>
                <m:t>141.5×0.159</m:t>
              </m:r>
            </m:den>
          </m:f>
        </m:oMath>
      </m:oMathPara>
    </w:p>
    <w:p w:rsidR="00567704" w:rsidRPr="000F361D" w:rsidRDefault="00567704" w:rsidP="000F361D">
      <w:pPr>
        <w:pStyle w:val="ListParagraph"/>
        <w:rPr>
          <w:rFonts w:eastAsiaTheme="minorEastAsia"/>
          <w:lang w:val="en-US"/>
        </w:rPr>
      </w:pPr>
    </w:p>
    <w:tbl>
      <w:tblPr>
        <w:tblStyle w:val="TableGrid"/>
        <w:tblW w:w="0" w:type="auto"/>
        <w:jc w:val="center"/>
        <w:tblLook w:val="04A0" w:firstRow="1" w:lastRow="0" w:firstColumn="1" w:lastColumn="0" w:noHBand="0" w:noVBand="1"/>
      </w:tblPr>
      <w:tblGrid>
        <w:gridCol w:w="4508"/>
        <w:gridCol w:w="4508"/>
      </w:tblGrid>
      <w:tr w:rsidR="00567704" w:rsidTr="00370725">
        <w:trPr>
          <w:jc w:val="center"/>
        </w:trPr>
        <w:tc>
          <w:tcPr>
            <w:tcW w:w="4508" w:type="dxa"/>
            <w:shd w:val="clear" w:color="auto" w:fill="E7E6E6" w:themeFill="background2"/>
          </w:tcPr>
          <w:p w:rsidR="00567704" w:rsidRPr="00567704" w:rsidRDefault="00567704" w:rsidP="00567704">
            <w:pPr>
              <w:pStyle w:val="ListParagraph"/>
              <w:ind w:left="0"/>
              <w:jc w:val="center"/>
              <w:rPr>
                <w:rFonts w:eastAsiaTheme="minorEastAsia"/>
                <w:b/>
                <w:lang w:val="en-US"/>
              </w:rPr>
            </w:pPr>
            <w:r w:rsidRPr="00567704">
              <w:rPr>
                <w:rFonts w:eastAsiaTheme="minorEastAsia"/>
                <w:b/>
                <w:lang w:val="en-US"/>
              </w:rPr>
              <w:t>Crude Benchmark</w:t>
            </w:r>
          </w:p>
        </w:tc>
        <w:tc>
          <w:tcPr>
            <w:tcW w:w="4508" w:type="dxa"/>
            <w:shd w:val="clear" w:color="auto" w:fill="E7E6E6" w:themeFill="background2"/>
          </w:tcPr>
          <w:p w:rsidR="00567704" w:rsidRPr="00567704" w:rsidRDefault="00567704" w:rsidP="00567704">
            <w:pPr>
              <w:pStyle w:val="ListParagraph"/>
              <w:ind w:left="0"/>
              <w:jc w:val="center"/>
              <w:rPr>
                <w:rFonts w:eastAsiaTheme="minorEastAsia"/>
                <w:b/>
                <w:lang w:val="en-US"/>
              </w:rPr>
            </w:pPr>
            <w:r w:rsidRPr="00567704">
              <w:rPr>
                <w:rFonts w:eastAsiaTheme="minorEastAsia"/>
                <w:b/>
                <w:lang w:val="en-US"/>
              </w:rPr>
              <w:t>Representative API</w:t>
            </w:r>
          </w:p>
        </w:tc>
      </w:tr>
      <w:tr w:rsidR="00567704" w:rsidTr="00370725">
        <w:trPr>
          <w:jc w:val="center"/>
        </w:trPr>
        <w:tc>
          <w:tcPr>
            <w:tcW w:w="4508" w:type="dxa"/>
          </w:tcPr>
          <w:p w:rsidR="00567704" w:rsidRDefault="00567704" w:rsidP="000F361D">
            <w:pPr>
              <w:pStyle w:val="ListParagraph"/>
              <w:ind w:left="0"/>
              <w:rPr>
                <w:rFonts w:eastAsiaTheme="minorEastAsia"/>
                <w:lang w:val="en-US"/>
              </w:rPr>
            </w:pPr>
            <w:r>
              <w:rPr>
                <w:rFonts w:eastAsiaTheme="minorEastAsia"/>
                <w:lang w:val="en-US"/>
              </w:rPr>
              <w:t>West Texas Intermediate (WTI)</w:t>
            </w:r>
          </w:p>
        </w:tc>
        <w:tc>
          <w:tcPr>
            <w:tcW w:w="4508" w:type="dxa"/>
          </w:tcPr>
          <w:p w:rsidR="00567704" w:rsidRDefault="00567704" w:rsidP="00370725">
            <w:pPr>
              <w:pStyle w:val="ListParagraph"/>
              <w:ind w:left="0"/>
              <w:jc w:val="center"/>
              <w:rPr>
                <w:rFonts w:eastAsiaTheme="minorEastAsia"/>
                <w:lang w:val="en-US"/>
              </w:rPr>
            </w:pPr>
            <w:r>
              <w:rPr>
                <w:rFonts w:eastAsiaTheme="minorEastAsia"/>
                <w:lang w:val="en-US"/>
              </w:rPr>
              <w:t>39.6</w:t>
            </w:r>
          </w:p>
        </w:tc>
      </w:tr>
      <w:tr w:rsidR="00567704" w:rsidTr="00370725">
        <w:trPr>
          <w:jc w:val="center"/>
        </w:trPr>
        <w:tc>
          <w:tcPr>
            <w:tcW w:w="4508" w:type="dxa"/>
          </w:tcPr>
          <w:p w:rsidR="00567704" w:rsidRDefault="00567704" w:rsidP="000F361D">
            <w:pPr>
              <w:pStyle w:val="ListParagraph"/>
              <w:ind w:left="0"/>
              <w:rPr>
                <w:rFonts w:eastAsiaTheme="minorEastAsia"/>
                <w:lang w:val="en-US"/>
              </w:rPr>
            </w:pPr>
            <w:r>
              <w:rPr>
                <w:rFonts w:eastAsiaTheme="minorEastAsia"/>
                <w:lang w:val="en-US"/>
              </w:rPr>
              <w:t>Brent</w:t>
            </w:r>
          </w:p>
        </w:tc>
        <w:tc>
          <w:tcPr>
            <w:tcW w:w="4508" w:type="dxa"/>
          </w:tcPr>
          <w:p w:rsidR="00567704" w:rsidRDefault="00567704" w:rsidP="00370725">
            <w:pPr>
              <w:pStyle w:val="ListParagraph"/>
              <w:ind w:left="0"/>
              <w:jc w:val="center"/>
              <w:rPr>
                <w:rFonts w:eastAsiaTheme="minorEastAsia"/>
                <w:lang w:val="en-US"/>
              </w:rPr>
            </w:pPr>
            <w:r>
              <w:rPr>
                <w:rFonts w:eastAsiaTheme="minorEastAsia"/>
                <w:lang w:val="en-US"/>
              </w:rPr>
              <w:t>38.06</w:t>
            </w:r>
          </w:p>
        </w:tc>
      </w:tr>
      <w:tr w:rsidR="00567704" w:rsidTr="00370725">
        <w:trPr>
          <w:jc w:val="center"/>
        </w:trPr>
        <w:tc>
          <w:tcPr>
            <w:tcW w:w="4508" w:type="dxa"/>
          </w:tcPr>
          <w:p w:rsidR="00567704" w:rsidRDefault="00567704" w:rsidP="000F361D">
            <w:pPr>
              <w:pStyle w:val="ListParagraph"/>
              <w:ind w:left="0"/>
              <w:rPr>
                <w:rFonts w:eastAsiaTheme="minorEastAsia"/>
                <w:lang w:val="en-US"/>
              </w:rPr>
            </w:pPr>
            <w:r>
              <w:rPr>
                <w:rFonts w:eastAsiaTheme="minorEastAsia"/>
                <w:lang w:val="en-US"/>
              </w:rPr>
              <w:t>Dubai</w:t>
            </w:r>
          </w:p>
        </w:tc>
        <w:tc>
          <w:tcPr>
            <w:tcW w:w="4508" w:type="dxa"/>
          </w:tcPr>
          <w:p w:rsidR="00567704" w:rsidRDefault="00567704" w:rsidP="00370725">
            <w:pPr>
              <w:pStyle w:val="ListParagraph"/>
              <w:ind w:left="0"/>
              <w:jc w:val="center"/>
              <w:rPr>
                <w:rFonts w:eastAsiaTheme="minorEastAsia"/>
                <w:lang w:val="en-US"/>
              </w:rPr>
            </w:pPr>
            <w:r>
              <w:rPr>
                <w:rFonts w:eastAsiaTheme="minorEastAsia"/>
                <w:lang w:val="en-US"/>
              </w:rPr>
              <w:t>31</w:t>
            </w:r>
          </w:p>
        </w:tc>
      </w:tr>
      <w:tr w:rsidR="00567704" w:rsidTr="00370725">
        <w:trPr>
          <w:jc w:val="center"/>
        </w:trPr>
        <w:tc>
          <w:tcPr>
            <w:tcW w:w="4508" w:type="dxa"/>
          </w:tcPr>
          <w:p w:rsidR="00567704" w:rsidRDefault="00567704" w:rsidP="000F361D">
            <w:pPr>
              <w:pStyle w:val="ListParagraph"/>
              <w:ind w:left="0"/>
              <w:rPr>
                <w:rFonts w:eastAsiaTheme="minorEastAsia"/>
                <w:lang w:val="en-US"/>
              </w:rPr>
            </w:pPr>
            <w:r>
              <w:rPr>
                <w:rFonts w:eastAsiaTheme="minorEastAsia"/>
                <w:lang w:val="en-US"/>
              </w:rPr>
              <w:t>Orb (OPEC)</w:t>
            </w:r>
          </w:p>
        </w:tc>
        <w:tc>
          <w:tcPr>
            <w:tcW w:w="4508" w:type="dxa"/>
          </w:tcPr>
          <w:p w:rsidR="00567704" w:rsidRDefault="00567704" w:rsidP="00370725">
            <w:pPr>
              <w:pStyle w:val="ListParagraph"/>
              <w:ind w:left="0"/>
              <w:jc w:val="center"/>
              <w:rPr>
                <w:rFonts w:eastAsiaTheme="minorEastAsia"/>
                <w:lang w:val="en-US"/>
              </w:rPr>
            </w:pPr>
            <w:r>
              <w:rPr>
                <w:rFonts w:eastAsiaTheme="minorEastAsia"/>
                <w:lang w:val="en-US"/>
              </w:rPr>
              <w:t>32.7</w:t>
            </w:r>
          </w:p>
        </w:tc>
      </w:tr>
      <w:tr w:rsidR="00567704" w:rsidTr="00370725">
        <w:trPr>
          <w:jc w:val="center"/>
        </w:trPr>
        <w:tc>
          <w:tcPr>
            <w:tcW w:w="4508" w:type="dxa"/>
          </w:tcPr>
          <w:p w:rsidR="00567704" w:rsidRDefault="00567704" w:rsidP="000F361D">
            <w:pPr>
              <w:pStyle w:val="ListParagraph"/>
              <w:ind w:left="0"/>
              <w:rPr>
                <w:rFonts w:eastAsiaTheme="minorEastAsia"/>
                <w:lang w:val="en-US"/>
              </w:rPr>
            </w:pPr>
            <w:r>
              <w:rPr>
                <w:rFonts w:eastAsiaTheme="minorEastAsia"/>
                <w:lang w:val="en-US"/>
              </w:rPr>
              <w:t>Minas</w:t>
            </w:r>
          </w:p>
        </w:tc>
        <w:tc>
          <w:tcPr>
            <w:tcW w:w="4508" w:type="dxa"/>
          </w:tcPr>
          <w:p w:rsidR="00567704" w:rsidRDefault="00567704" w:rsidP="00370725">
            <w:pPr>
              <w:pStyle w:val="ListParagraph"/>
              <w:ind w:left="0"/>
              <w:jc w:val="center"/>
              <w:rPr>
                <w:rFonts w:eastAsiaTheme="minorEastAsia"/>
                <w:lang w:val="en-US"/>
              </w:rPr>
            </w:pPr>
            <w:r>
              <w:rPr>
                <w:rFonts w:eastAsiaTheme="minorEastAsia"/>
                <w:lang w:val="en-US"/>
              </w:rPr>
              <w:t>35</w:t>
            </w:r>
          </w:p>
        </w:tc>
      </w:tr>
      <w:tr w:rsidR="00567704" w:rsidTr="00370725">
        <w:trPr>
          <w:jc w:val="center"/>
        </w:trPr>
        <w:tc>
          <w:tcPr>
            <w:tcW w:w="4508" w:type="dxa"/>
          </w:tcPr>
          <w:p w:rsidR="00567704" w:rsidRDefault="00567704" w:rsidP="000F361D">
            <w:pPr>
              <w:pStyle w:val="ListParagraph"/>
              <w:ind w:left="0"/>
              <w:rPr>
                <w:rFonts w:eastAsiaTheme="minorEastAsia"/>
                <w:lang w:val="en-US"/>
              </w:rPr>
            </w:pPr>
            <w:r>
              <w:rPr>
                <w:rFonts w:eastAsiaTheme="minorEastAsia"/>
                <w:lang w:val="en-US"/>
              </w:rPr>
              <w:t>Tapis</w:t>
            </w:r>
          </w:p>
        </w:tc>
        <w:tc>
          <w:tcPr>
            <w:tcW w:w="4508" w:type="dxa"/>
          </w:tcPr>
          <w:p w:rsidR="00567704" w:rsidRDefault="00567704" w:rsidP="00370725">
            <w:pPr>
              <w:pStyle w:val="ListParagraph"/>
              <w:ind w:left="0"/>
              <w:jc w:val="center"/>
              <w:rPr>
                <w:rFonts w:eastAsiaTheme="minorEastAsia"/>
                <w:lang w:val="en-US"/>
              </w:rPr>
            </w:pPr>
            <w:r>
              <w:rPr>
                <w:rFonts w:eastAsiaTheme="minorEastAsia"/>
                <w:lang w:val="en-US"/>
              </w:rPr>
              <w:t>45.2</w:t>
            </w:r>
          </w:p>
        </w:tc>
      </w:tr>
      <w:tr w:rsidR="00567704" w:rsidTr="00370725">
        <w:trPr>
          <w:jc w:val="center"/>
        </w:trPr>
        <w:tc>
          <w:tcPr>
            <w:tcW w:w="4508" w:type="dxa"/>
          </w:tcPr>
          <w:p w:rsidR="00567704" w:rsidRDefault="00567704" w:rsidP="000F361D">
            <w:pPr>
              <w:pStyle w:val="ListParagraph"/>
              <w:ind w:left="0"/>
              <w:rPr>
                <w:rFonts w:eastAsiaTheme="minorEastAsia"/>
                <w:lang w:val="en-US"/>
              </w:rPr>
            </w:pPr>
            <w:r>
              <w:rPr>
                <w:rFonts w:eastAsiaTheme="minorEastAsia"/>
                <w:lang w:val="en-US"/>
              </w:rPr>
              <w:t>Bonny Light</w:t>
            </w:r>
          </w:p>
        </w:tc>
        <w:tc>
          <w:tcPr>
            <w:tcW w:w="4508" w:type="dxa"/>
          </w:tcPr>
          <w:p w:rsidR="00567704" w:rsidRDefault="00567704" w:rsidP="00370725">
            <w:pPr>
              <w:pStyle w:val="ListParagraph"/>
              <w:ind w:left="0"/>
              <w:jc w:val="center"/>
              <w:rPr>
                <w:rFonts w:eastAsiaTheme="minorEastAsia"/>
                <w:lang w:val="en-US"/>
              </w:rPr>
            </w:pPr>
            <w:r>
              <w:rPr>
                <w:rFonts w:eastAsiaTheme="minorEastAsia"/>
                <w:lang w:val="en-US"/>
              </w:rPr>
              <w:t>32.9</w:t>
            </w:r>
          </w:p>
        </w:tc>
      </w:tr>
      <w:tr w:rsidR="00567704" w:rsidTr="00370725">
        <w:trPr>
          <w:jc w:val="center"/>
        </w:trPr>
        <w:tc>
          <w:tcPr>
            <w:tcW w:w="4508" w:type="dxa"/>
          </w:tcPr>
          <w:p w:rsidR="00567704" w:rsidRDefault="00567704" w:rsidP="000F361D">
            <w:pPr>
              <w:pStyle w:val="ListParagraph"/>
              <w:ind w:left="0"/>
              <w:rPr>
                <w:rFonts w:eastAsiaTheme="minorEastAsia"/>
                <w:lang w:val="en-US"/>
              </w:rPr>
            </w:pPr>
            <w:r>
              <w:rPr>
                <w:rFonts w:eastAsiaTheme="minorEastAsia"/>
                <w:lang w:val="en-US"/>
              </w:rPr>
              <w:t>Isthmus Light</w:t>
            </w:r>
          </w:p>
        </w:tc>
        <w:tc>
          <w:tcPr>
            <w:tcW w:w="4508" w:type="dxa"/>
          </w:tcPr>
          <w:p w:rsidR="00567704" w:rsidRDefault="00567704" w:rsidP="00370725">
            <w:pPr>
              <w:pStyle w:val="ListParagraph"/>
              <w:ind w:left="0"/>
              <w:jc w:val="center"/>
              <w:rPr>
                <w:rFonts w:eastAsiaTheme="minorEastAsia"/>
                <w:lang w:val="en-US"/>
              </w:rPr>
            </w:pPr>
            <w:r>
              <w:rPr>
                <w:rFonts w:eastAsiaTheme="minorEastAsia"/>
                <w:lang w:val="en-US"/>
              </w:rPr>
              <w:t>33.74</w:t>
            </w:r>
          </w:p>
        </w:tc>
      </w:tr>
    </w:tbl>
    <w:p w:rsidR="000F361D" w:rsidRDefault="000F361D" w:rsidP="000F361D">
      <w:pPr>
        <w:pStyle w:val="ListParagraph"/>
        <w:rPr>
          <w:rFonts w:eastAsiaTheme="minorEastAsia"/>
          <w:lang w:val="en-US"/>
        </w:rPr>
      </w:pPr>
    </w:p>
    <w:p w:rsidR="00567704" w:rsidRPr="000F361D" w:rsidRDefault="00567704" w:rsidP="000F361D">
      <w:pPr>
        <w:pStyle w:val="ListParagraph"/>
        <w:rPr>
          <w:rFonts w:eastAsiaTheme="minorEastAsia"/>
          <w:lang w:val="en-US"/>
        </w:rPr>
      </w:pPr>
    </w:p>
    <w:p w:rsidR="00736406" w:rsidRPr="00567704" w:rsidRDefault="00736406" w:rsidP="00567704">
      <w:pPr>
        <w:rPr>
          <w:lang w:val="en-US"/>
        </w:rPr>
      </w:pPr>
      <w:r w:rsidRPr="00567704">
        <w:rPr>
          <w:lang w:val="en-US"/>
        </w:rPr>
        <w:t>Petroleum (PET), nuclear-uranium (NUC), bioenergy-biodiesel and peat (BIO) are not region-specific</w:t>
      </w:r>
      <w:r w:rsidR="00567704">
        <w:rPr>
          <w:lang w:val="en-US"/>
        </w:rPr>
        <w:t>.</w:t>
      </w:r>
    </w:p>
    <w:sectPr w:rsidR="00736406" w:rsidRPr="0056770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216AA"/>
    <w:multiLevelType w:val="hybridMultilevel"/>
    <w:tmpl w:val="561CD8A2"/>
    <w:lvl w:ilvl="0" w:tplc="835AA856">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406"/>
    <w:rsid w:val="000F361D"/>
    <w:rsid w:val="00370725"/>
    <w:rsid w:val="00567704"/>
    <w:rsid w:val="00736406"/>
    <w:rsid w:val="00B53360"/>
    <w:rsid w:val="00B9401D"/>
    <w:rsid w:val="00DD728A"/>
    <w:rsid w:val="00F55C0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D5DB"/>
  <w15:chartTrackingRefBased/>
  <w15:docId w15:val="{BF3EFBBD-044F-4EE4-AD56-F78A0B70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406"/>
    <w:pPr>
      <w:ind w:left="720"/>
      <w:contextualSpacing/>
    </w:pPr>
  </w:style>
  <w:style w:type="character" w:styleId="PlaceholderText">
    <w:name w:val="Placeholder Text"/>
    <w:basedOn w:val="DefaultParagraphFont"/>
    <w:uiPriority w:val="99"/>
    <w:semiHidden/>
    <w:rsid w:val="000F361D"/>
    <w:rPr>
      <w:color w:val="808080"/>
    </w:rPr>
  </w:style>
  <w:style w:type="table" w:styleId="TableGrid">
    <w:name w:val="Table Grid"/>
    <w:basedOn w:val="TableNormal"/>
    <w:uiPriority w:val="39"/>
    <w:rsid w:val="00567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Shepard Jun</dc:creator>
  <cp:keywords/>
  <dc:description/>
  <cp:lastModifiedBy>Shepard Jun</cp:lastModifiedBy>
  <cp:revision>5</cp:revision>
  <dcterms:created xsi:type="dcterms:W3CDTF">2019-06-12T07:35:00Z</dcterms:created>
  <dcterms:modified xsi:type="dcterms:W3CDTF">2019-06-12T08:23:00Z</dcterms:modified>
</cp:coreProperties>
</file>