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FC8" w:rsidRPr="000D4580" w:rsidRDefault="00562FC8" w:rsidP="00D140C1">
      <w:pPr>
        <w:spacing w:line="360" w:lineRule="auto"/>
        <w:rPr>
          <w:rFonts w:asciiTheme="majorHAnsi" w:hAnsiTheme="majorHAnsi" w:cstheme="majorHAnsi"/>
          <w:b/>
          <w:bCs/>
          <w:sz w:val="28"/>
          <w:szCs w:val="28"/>
        </w:rPr>
      </w:pPr>
      <w:r w:rsidRPr="000D4580">
        <w:rPr>
          <w:rFonts w:asciiTheme="majorHAnsi" w:hAnsiTheme="majorHAnsi" w:cstheme="majorHAnsi"/>
          <w:b/>
          <w:bCs/>
          <w:sz w:val="28"/>
          <w:szCs w:val="28"/>
        </w:rPr>
        <w:t>Effects of climate and trade policies on global energy trade networks</w:t>
      </w:r>
    </w:p>
    <w:p w:rsidR="00562FC8" w:rsidRPr="000D4580" w:rsidRDefault="00562FC8" w:rsidP="00D140C1">
      <w:pPr>
        <w:spacing w:line="360" w:lineRule="auto"/>
        <w:rPr>
          <w:rFonts w:asciiTheme="majorHAnsi" w:hAnsiTheme="majorHAnsi" w:cstheme="majorHAnsi"/>
          <w:bCs/>
          <w:sz w:val="28"/>
          <w:szCs w:val="28"/>
        </w:rPr>
      </w:pPr>
      <w:r w:rsidRPr="000D4580">
        <w:rPr>
          <w:rFonts w:asciiTheme="majorHAnsi" w:hAnsiTheme="majorHAnsi" w:cstheme="majorHAnsi"/>
          <w:bCs/>
          <w:sz w:val="28"/>
          <w:szCs w:val="28"/>
        </w:rPr>
        <w:t>Supplementary Material</w:t>
      </w:r>
    </w:p>
    <w:p w:rsidR="00B321B9" w:rsidRPr="000D4580" w:rsidRDefault="00562FC8" w:rsidP="00D140C1">
      <w:pPr>
        <w:spacing w:line="360" w:lineRule="auto"/>
        <w:rPr>
          <w:rFonts w:asciiTheme="majorHAnsi" w:hAnsiTheme="majorHAnsi" w:cstheme="majorHAnsi"/>
        </w:rPr>
      </w:pPr>
      <w:r w:rsidRPr="000D4580">
        <w:rPr>
          <w:rFonts w:asciiTheme="majorHAnsi" w:hAnsiTheme="majorHAnsi" w:cstheme="majorHAnsi"/>
        </w:rPr>
        <w:t>Jun Shepa</w:t>
      </w:r>
      <w:r w:rsidR="00B02B89">
        <w:rPr>
          <w:rFonts w:asciiTheme="majorHAnsi" w:hAnsiTheme="majorHAnsi" w:cstheme="majorHAnsi"/>
        </w:rPr>
        <w:t xml:space="preserve">rd, Bas J. van </w:t>
      </w:r>
      <w:proofErr w:type="spellStart"/>
      <w:r w:rsidR="00B02B89">
        <w:rPr>
          <w:rFonts w:asciiTheme="majorHAnsi" w:hAnsiTheme="majorHAnsi" w:cstheme="majorHAnsi"/>
        </w:rPr>
        <w:t>Ruijven</w:t>
      </w:r>
      <w:proofErr w:type="spellEnd"/>
      <w:r w:rsidR="00B02B89">
        <w:rPr>
          <w:rFonts w:asciiTheme="majorHAnsi" w:hAnsiTheme="majorHAnsi" w:cstheme="majorHAnsi"/>
        </w:rPr>
        <w:t xml:space="preserve">, Behnam </w:t>
      </w:r>
      <w:proofErr w:type="spellStart"/>
      <w:r w:rsidR="00B02B89">
        <w:rPr>
          <w:rFonts w:asciiTheme="majorHAnsi" w:hAnsiTheme="majorHAnsi" w:cstheme="majorHAnsi"/>
        </w:rPr>
        <w:t>Zak</w:t>
      </w:r>
      <w:r w:rsidRPr="000D4580">
        <w:rPr>
          <w:rFonts w:asciiTheme="majorHAnsi" w:hAnsiTheme="majorHAnsi" w:cstheme="majorHAnsi"/>
        </w:rPr>
        <w:t>eri</w:t>
      </w:r>
      <w:proofErr w:type="spellEnd"/>
    </w:p>
    <w:p w:rsidR="00562FC8" w:rsidRPr="000D4580" w:rsidRDefault="00562FC8"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pStyle w:val="Heading1"/>
        <w:spacing w:line="360" w:lineRule="auto"/>
        <w:rPr>
          <w:rFonts w:cstheme="majorHAnsi"/>
        </w:rPr>
      </w:pPr>
      <w:bookmarkStart w:id="0" w:name="_Toc20722956"/>
      <w:bookmarkStart w:id="1" w:name="_GoBack"/>
      <w:bookmarkEnd w:id="1"/>
      <w:r w:rsidRPr="000D4580">
        <w:rPr>
          <w:rFonts w:cstheme="majorHAnsi"/>
        </w:rPr>
        <w:lastRenderedPageBreak/>
        <w:t>1</w:t>
      </w:r>
      <w:r w:rsidRPr="000D4580">
        <w:rPr>
          <w:rFonts w:cstheme="majorHAnsi"/>
        </w:rPr>
        <w:tab/>
        <w:t>Converting trade data to physical energy flows</w:t>
      </w:r>
      <w:bookmarkEnd w:id="0"/>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ind w:firstLine="720"/>
        <w:rPr>
          <w:rFonts w:asciiTheme="majorHAnsi" w:eastAsia="Times New Roman" w:hAnsiTheme="majorHAnsi" w:cstheme="majorHAnsi"/>
        </w:rPr>
      </w:pPr>
      <w:r w:rsidRPr="000D4580">
        <w:rPr>
          <w:rFonts w:asciiTheme="majorHAnsi" w:eastAsia="Times New Roman" w:hAnsiTheme="majorHAnsi" w:cstheme="majorHAnsi"/>
        </w:rPr>
        <w:t>To link the BACI trade and IEA world energy balance (WEB) databases, I rely on a correspondence table that defines specific energy (MJ/kg) for each representative energy resource in the MESSAGE model. This specific energy value is region specific for crude (CRU) and coal (COAL), for which quality can vary by geographic source. This concordance is built using the following method:</w:t>
      </w:r>
    </w:p>
    <w:p w:rsidR="001E608F" w:rsidRPr="000D4580" w:rsidRDefault="001E608F" w:rsidP="00D140C1">
      <w:pPr>
        <w:spacing w:line="360" w:lineRule="auto"/>
        <w:rPr>
          <w:rFonts w:asciiTheme="majorHAnsi" w:eastAsia="Times New Roman" w:hAnsiTheme="majorHAnsi" w:cstheme="majorHAnsi"/>
          <w:u w:val="single"/>
        </w:rPr>
      </w:pPr>
    </w:p>
    <w:p w:rsidR="001E608F" w:rsidRPr="000D4580" w:rsidRDefault="001E608F" w:rsidP="00D140C1">
      <w:pPr>
        <w:spacing w:line="360" w:lineRule="auto"/>
        <w:rPr>
          <w:rFonts w:asciiTheme="majorHAnsi" w:eastAsia="Times New Roman" w:hAnsiTheme="majorHAnsi" w:cstheme="majorHAnsi"/>
        </w:rPr>
      </w:pPr>
      <w:r w:rsidRPr="000D4580">
        <w:rPr>
          <w:rFonts w:asciiTheme="majorHAnsi" w:eastAsia="Times New Roman" w:hAnsiTheme="majorHAnsi" w:cstheme="majorHAnsi"/>
          <w:b/>
          <w:u w:val="single"/>
        </w:rPr>
        <w:t>Coal:</w:t>
      </w:r>
      <w:r w:rsidRPr="000D4580">
        <w:rPr>
          <w:rFonts w:asciiTheme="majorHAnsi" w:eastAsia="Times New Roman" w:hAnsiTheme="majorHAnsi" w:cstheme="majorHAnsi"/>
        </w:rPr>
        <w:t xml:space="preserve"> Use the share of (lignite + sub-bituminous) compared to share of (bituminous + anthracite) in reserves, sourced from the BP Statistical Workbook (2007). Use a representative specific energy for each type of coal and find the lignite-subbituminous average and bituminous-anthracite average. Calculate the weighted average for a country (where country-specific data are available) or a region (where country-specific data are not available). Representative specific energy values are sourced from the Indiana Center for Coal Technology Research at Purdue University</w:t>
      </w:r>
    </w:p>
    <w:p w:rsidR="001E608F" w:rsidRPr="000D4580" w:rsidRDefault="001E608F" w:rsidP="00D140C1">
      <w:pPr>
        <w:spacing w:line="360" w:lineRule="auto"/>
        <w:rPr>
          <w:rFonts w:asciiTheme="majorHAnsi" w:eastAsia="Times New Roman" w:hAnsiTheme="majorHAnsi" w:cstheme="majorHAnsi"/>
        </w:rPr>
      </w:pPr>
    </w:p>
    <w:tbl>
      <w:tblPr>
        <w:tblStyle w:val="TableGrid"/>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4508"/>
        <w:gridCol w:w="4508"/>
      </w:tblGrid>
      <w:tr w:rsidR="001E608F" w:rsidRPr="000D4580" w:rsidTr="00B321B9">
        <w:tc>
          <w:tcPr>
            <w:tcW w:w="4508" w:type="dxa"/>
            <w:shd w:val="clear" w:color="auto" w:fill="DEEAF6" w:themeFill="accent5" w:themeFillTint="33"/>
          </w:tcPr>
          <w:p w:rsidR="001E608F" w:rsidRPr="000D4580" w:rsidRDefault="001E608F" w:rsidP="00753C4F">
            <w:pPr>
              <w:jc w:val="center"/>
              <w:rPr>
                <w:rFonts w:asciiTheme="majorHAnsi" w:eastAsia="Times New Roman" w:hAnsiTheme="majorHAnsi" w:cstheme="majorHAnsi"/>
                <w:b/>
                <w:sz w:val="22"/>
                <w:szCs w:val="22"/>
              </w:rPr>
            </w:pPr>
            <w:r w:rsidRPr="000D4580">
              <w:rPr>
                <w:rFonts w:asciiTheme="majorHAnsi" w:eastAsia="Times New Roman" w:hAnsiTheme="majorHAnsi" w:cstheme="majorHAnsi"/>
                <w:b/>
                <w:sz w:val="22"/>
                <w:szCs w:val="22"/>
              </w:rPr>
              <w:t>Coal Type</w:t>
            </w:r>
          </w:p>
        </w:tc>
        <w:tc>
          <w:tcPr>
            <w:tcW w:w="4508" w:type="dxa"/>
            <w:shd w:val="clear" w:color="auto" w:fill="DEEAF6" w:themeFill="accent5" w:themeFillTint="33"/>
          </w:tcPr>
          <w:p w:rsidR="001E608F" w:rsidRPr="000D4580" w:rsidRDefault="001E608F" w:rsidP="00753C4F">
            <w:pPr>
              <w:jc w:val="center"/>
              <w:rPr>
                <w:rFonts w:asciiTheme="majorHAnsi" w:eastAsia="Times New Roman" w:hAnsiTheme="majorHAnsi" w:cstheme="majorHAnsi"/>
                <w:b/>
                <w:sz w:val="22"/>
                <w:szCs w:val="22"/>
              </w:rPr>
            </w:pPr>
            <w:r w:rsidRPr="000D4580">
              <w:rPr>
                <w:rFonts w:asciiTheme="majorHAnsi" w:eastAsia="Times New Roman" w:hAnsiTheme="majorHAnsi" w:cstheme="majorHAnsi"/>
                <w:b/>
                <w:sz w:val="22"/>
                <w:szCs w:val="22"/>
              </w:rPr>
              <w:t>Representative specific energy value (MJ/t)</w:t>
            </w:r>
          </w:p>
        </w:tc>
      </w:tr>
      <w:tr w:rsidR="001E608F" w:rsidRPr="000D4580" w:rsidTr="00B321B9">
        <w:tc>
          <w:tcPr>
            <w:tcW w:w="4508" w:type="dxa"/>
          </w:tcPr>
          <w:p w:rsidR="001E608F" w:rsidRPr="000D4580" w:rsidRDefault="001E608F" w:rsidP="00753C4F">
            <w:pPr>
              <w:rPr>
                <w:rFonts w:asciiTheme="majorHAnsi" w:eastAsia="Times New Roman" w:hAnsiTheme="majorHAnsi" w:cstheme="majorHAnsi"/>
                <w:sz w:val="22"/>
                <w:szCs w:val="22"/>
              </w:rPr>
            </w:pPr>
            <w:r w:rsidRPr="000D4580">
              <w:rPr>
                <w:rFonts w:asciiTheme="majorHAnsi" w:eastAsia="Times New Roman" w:hAnsiTheme="majorHAnsi" w:cstheme="majorHAnsi"/>
                <w:sz w:val="22"/>
                <w:szCs w:val="22"/>
              </w:rPr>
              <w:t>Anthracite</w:t>
            </w:r>
          </w:p>
        </w:tc>
        <w:tc>
          <w:tcPr>
            <w:tcW w:w="4508" w:type="dxa"/>
          </w:tcPr>
          <w:p w:rsidR="001E608F" w:rsidRPr="000D4580" w:rsidRDefault="001E608F" w:rsidP="00753C4F">
            <w:pPr>
              <w:jc w:val="center"/>
              <w:rPr>
                <w:rFonts w:asciiTheme="majorHAnsi" w:eastAsia="Times New Roman" w:hAnsiTheme="majorHAnsi" w:cstheme="majorHAnsi"/>
                <w:sz w:val="22"/>
                <w:szCs w:val="22"/>
              </w:rPr>
            </w:pPr>
            <w:r w:rsidRPr="000D4580">
              <w:rPr>
                <w:rFonts w:asciiTheme="majorHAnsi" w:eastAsia="Times New Roman" w:hAnsiTheme="majorHAnsi" w:cstheme="majorHAnsi"/>
                <w:sz w:val="22"/>
                <w:szCs w:val="22"/>
              </w:rPr>
              <w:t>30,080</w:t>
            </w:r>
          </w:p>
        </w:tc>
      </w:tr>
      <w:tr w:rsidR="001E608F" w:rsidRPr="000D4580" w:rsidTr="00B321B9">
        <w:tc>
          <w:tcPr>
            <w:tcW w:w="4508" w:type="dxa"/>
          </w:tcPr>
          <w:p w:rsidR="001E608F" w:rsidRPr="000D4580" w:rsidRDefault="001E608F" w:rsidP="00753C4F">
            <w:pPr>
              <w:rPr>
                <w:rFonts w:asciiTheme="majorHAnsi" w:eastAsia="Times New Roman" w:hAnsiTheme="majorHAnsi" w:cstheme="majorHAnsi"/>
                <w:sz w:val="22"/>
                <w:szCs w:val="22"/>
              </w:rPr>
            </w:pPr>
            <w:r w:rsidRPr="000D4580">
              <w:rPr>
                <w:rFonts w:asciiTheme="majorHAnsi" w:eastAsia="Times New Roman" w:hAnsiTheme="majorHAnsi" w:cstheme="majorHAnsi"/>
                <w:sz w:val="22"/>
                <w:szCs w:val="22"/>
              </w:rPr>
              <w:t>Bituminous</w:t>
            </w:r>
          </w:p>
        </w:tc>
        <w:tc>
          <w:tcPr>
            <w:tcW w:w="4508" w:type="dxa"/>
          </w:tcPr>
          <w:p w:rsidR="001E608F" w:rsidRPr="000D4580" w:rsidRDefault="001E608F" w:rsidP="00753C4F">
            <w:pPr>
              <w:jc w:val="center"/>
              <w:rPr>
                <w:rFonts w:asciiTheme="majorHAnsi" w:eastAsia="Times New Roman" w:hAnsiTheme="majorHAnsi" w:cstheme="majorHAnsi"/>
                <w:sz w:val="22"/>
                <w:szCs w:val="22"/>
              </w:rPr>
            </w:pPr>
            <w:r w:rsidRPr="000D4580">
              <w:rPr>
                <w:rFonts w:asciiTheme="majorHAnsi" w:eastAsia="Times New Roman" w:hAnsiTheme="majorHAnsi" w:cstheme="majorHAnsi"/>
                <w:sz w:val="22"/>
                <w:szCs w:val="22"/>
              </w:rPr>
              <w:t>32,000</w:t>
            </w:r>
          </w:p>
        </w:tc>
      </w:tr>
      <w:tr w:rsidR="001E608F" w:rsidRPr="000D4580" w:rsidTr="00B321B9">
        <w:tc>
          <w:tcPr>
            <w:tcW w:w="4508" w:type="dxa"/>
          </w:tcPr>
          <w:p w:rsidR="001E608F" w:rsidRPr="000D4580" w:rsidRDefault="001E608F" w:rsidP="00753C4F">
            <w:pPr>
              <w:rPr>
                <w:rFonts w:asciiTheme="majorHAnsi" w:eastAsia="Times New Roman" w:hAnsiTheme="majorHAnsi" w:cstheme="majorHAnsi"/>
                <w:sz w:val="22"/>
                <w:szCs w:val="22"/>
              </w:rPr>
            </w:pPr>
            <w:r w:rsidRPr="000D4580">
              <w:rPr>
                <w:rFonts w:asciiTheme="majorHAnsi" w:eastAsia="Times New Roman" w:hAnsiTheme="majorHAnsi" w:cstheme="majorHAnsi"/>
                <w:sz w:val="22"/>
                <w:szCs w:val="22"/>
              </w:rPr>
              <w:t>Lignite</w:t>
            </w:r>
          </w:p>
        </w:tc>
        <w:tc>
          <w:tcPr>
            <w:tcW w:w="4508" w:type="dxa"/>
          </w:tcPr>
          <w:p w:rsidR="001E608F" w:rsidRPr="000D4580" w:rsidRDefault="001E608F" w:rsidP="00753C4F">
            <w:pPr>
              <w:jc w:val="center"/>
              <w:rPr>
                <w:rFonts w:asciiTheme="majorHAnsi" w:eastAsia="Times New Roman" w:hAnsiTheme="majorHAnsi" w:cstheme="majorHAnsi"/>
                <w:sz w:val="22"/>
                <w:szCs w:val="22"/>
              </w:rPr>
            </w:pPr>
            <w:r w:rsidRPr="000D4580">
              <w:rPr>
                <w:rFonts w:asciiTheme="majorHAnsi" w:eastAsia="Times New Roman" w:hAnsiTheme="majorHAnsi" w:cstheme="majorHAnsi"/>
                <w:sz w:val="22"/>
                <w:szCs w:val="22"/>
              </w:rPr>
              <w:t>16,000</w:t>
            </w:r>
          </w:p>
        </w:tc>
      </w:tr>
      <w:tr w:rsidR="001E608F" w:rsidRPr="000D4580" w:rsidTr="00B321B9">
        <w:tc>
          <w:tcPr>
            <w:tcW w:w="4508" w:type="dxa"/>
          </w:tcPr>
          <w:p w:rsidR="001E608F" w:rsidRPr="000D4580" w:rsidRDefault="001E608F" w:rsidP="00753C4F">
            <w:pPr>
              <w:rPr>
                <w:rFonts w:asciiTheme="majorHAnsi" w:eastAsia="Times New Roman" w:hAnsiTheme="majorHAnsi" w:cstheme="majorHAnsi"/>
                <w:sz w:val="22"/>
                <w:szCs w:val="22"/>
              </w:rPr>
            </w:pPr>
            <w:r w:rsidRPr="000D4580">
              <w:rPr>
                <w:rFonts w:asciiTheme="majorHAnsi" w:eastAsia="Times New Roman" w:hAnsiTheme="majorHAnsi" w:cstheme="majorHAnsi"/>
                <w:sz w:val="22"/>
                <w:szCs w:val="22"/>
              </w:rPr>
              <w:t>Sub-bituminous</w:t>
            </w:r>
          </w:p>
        </w:tc>
        <w:tc>
          <w:tcPr>
            <w:tcW w:w="4508" w:type="dxa"/>
          </w:tcPr>
          <w:p w:rsidR="001E608F" w:rsidRPr="000D4580" w:rsidRDefault="001E608F" w:rsidP="00753C4F">
            <w:pPr>
              <w:jc w:val="center"/>
              <w:rPr>
                <w:rFonts w:asciiTheme="majorHAnsi" w:eastAsia="Times New Roman" w:hAnsiTheme="majorHAnsi" w:cstheme="majorHAnsi"/>
                <w:sz w:val="22"/>
                <w:szCs w:val="22"/>
              </w:rPr>
            </w:pPr>
            <w:r w:rsidRPr="000D4580">
              <w:rPr>
                <w:rFonts w:asciiTheme="majorHAnsi" w:eastAsia="Times New Roman" w:hAnsiTheme="majorHAnsi" w:cstheme="majorHAnsi"/>
                <w:sz w:val="22"/>
                <w:szCs w:val="22"/>
              </w:rPr>
              <w:t>21,000</w:t>
            </w:r>
          </w:p>
        </w:tc>
      </w:tr>
      <w:tr w:rsidR="001E608F" w:rsidRPr="000D4580" w:rsidTr="00B321B9">
        <w:tc>
          <w:tcPr>
            <w:tcW w:w="4508" w:type="dxa"/>
          </w:tcPr>
          <w:p w:rsidR="001E608F" w:rsidRPr="000D4580" w:rsidRDefault="001E608F" w:rsidP="00753C4F">
            <w:pPr>
              <w:jc w:val="right"/>
              <w:rPr>
                <w:rFonts w:asciiTheme="majorHAnsi" w:eastAsia="Times New Roman" w:hAnsiTheme="majorHAnsi" w:cstheme="majorHAnsi"/>
                <w:sz w:val="22"/>
                <w:szCs w:val="22"/>
              </w:rPr>
            </w:pPr>
            <w:r w:rsidRPr="000D4580">
              <w:rPr>
                <w:rFonts w:asciiTheme="majorHAnsi" w:eastAsia="Times New Roman" w:hAnsiTheme="majorHAnsi" w:cstheme="majorHAnsi"/>
                <w:sz w:val="22"/>
                <w:szCs w:val="22"/>
              </w:rPr>
              <w:t>Mean (Lignite + Sub-bituminous)</w:t>
            </w:r>
          </w:p>
        </w:tc>
        <w:tc>
          <w:tcPr>
            <w:tcW w:w="4508" w:type="dxa"/>
          </w:tcPr>
          <w:p w:rsidR="001E608F" w:rsidRPr="000D4580" w:rsidRDefault="001E608F" w:rsidP="00753C4F">
            <w:pPr>
              <w:jc w:val="center"/>
              <w:rPr>
                <w:rFonts w:asciiTheme="majorHAnsi" w:eastAsia="Times New Roman" w:hAnsiTheme="majorHAnsi" w:cstheme="majorHAnsi"/>
                <w:sz w:val="22"/>
                <w:szCs w:val="22"/>
              </w:rPr>
            </w:pPr>
            <w:r w:rsidRPr="000D4580">
              <w:rPr>
                <w:rFonts w:asciiTheme="majorHAnsi" w:eastAsia="Times New Roman" w:hAnsiTheme="majorHAnsi" w:cstheme="majorHAnsi"/>
                <w:sz w:val="22"/>
                <w:szCs w:val="22"/>
              </w:rPr>
              <w:t>18,500</w:t>
            </w:r>
          </w:p>
        </w:tc>
      </w:tr>
      <w:tr w:rsidR="001E608F" w:rsidRPr="000D4580" w:rsidTr="00B321B9">
        <w:tc>
          <w:tcPr>
            <w:tcW w:w="4508" w:type="dxa"/>
          </w:tcPr>
          <w:p w:rsidR="001E608F" w:rsidRPr="000D4580" w:rsidRDefault="001E608F" w:rsidP="00753C4F">
            <w:pPr>
              <w:jc w:val="right"/>
              <w:rPr>
                <w:rFonts w:asciiTheme="majorHAnsi" w:eastAsia="Times New Roman" w:hAnsiTheme="majorHAnsi" w:cstheme="majorHAnsi"/>
                <w:sz w:val="22"/>
                <w:szCs w:val="22"/>
              </w:rPr>
            </w:pPr>
            <w:r w:rsidRPr="000D4580">
              <w:rPr>
                <w:rFonts w:asciiTheme="majorHAnsi" w:eastAsia="Times New Roman" w:hAnsiTheme="majorHAnsi" w:cstheme="majorHAnsi"/>
                <w:sz w:val="22"/>
                <w:szCs w:val="22"/>
              </w:rPr>
              <w:t>Mean (Anthracite + Bituminous)</w:t>
            </w:r>
          </w:p>
        </w:tc>
        <w:tc>
          <w:tcPr>
            <w:tcW w:w="4508" w:type="dxa"/>
          </w:tcPr>
          <w:p w:rsidR="001E608F" w:rsidRPr="000D4580" w:rsidRDefault="001E608F" w:rsidP="00753C4F">
            <w:pPr>
              <w:jc w:val="center"/>
              <w:rPr>
                <w:rFonts w:asciiTheme="majorHAnsi" w:eastAsia="Times New Roman" w:hAnsiTheme="majorHAnsi" w:cstheme="majorHAnsi"/>
                <w:sz w:val="22"/>
                <w:szCs w:val="22"/>
              </w:rPr>
            </w:pPr>
            <w:r w:rsidRPr="000D4580">
              <w:rPr>
                <w:rFonts w:asciiTheme="majorHAnsi" w:eastAsia="Times New Roman" w:hAnsiTheme="majorHAnsi" w:cstheme="majorHAnsi"/>
                <w:sz w:val="22"/>
                <w:szCs w:val="22"/>
              </w:rPr>
              <w:t>31,040</w:t>
            </w:r>
          </w:p>
        </w:tc>
      </w:tr>
    </w:tbl>
    <w:p w:rsidR="001E608F" w:rsidRDefault="00130412" w:rsidP="00D140C1">
      <w:pPr>
        <w:spacing w:line="360" w:lineRule="auto"/>
        <w:rPr>
          <w:rFonts w:asciiTheme="majorHAnsi" w:eastAsia="Times New Roman" w:hAnsiTheme="majorHAnsi" w:cstheme="majorHAnsi"/>
          <w:sz w:val="20"/>
          <w:szCs w:val="20"/>
        </w:rPr>
      </w:pPr>
      <w:r w:rsidRPr="00130412">
        <w:rPr>
          <w:rFonts w:asciiTheme="majorHAnsi" w:eastAsia="Times New Roman" w:hAnsiTheme="majorHAnsi" w:cstheme="majorHAnsi"/>
          <w:b/>
          <w:sz w:val="20"/>
          <w:szCs w:val="20"/>
        </w:rPr>
        <w:t>Table 1.</w:t>
      </w:r>
      <w:r w:rsidRPr="00130412">
        <w:rPr>
          <w:rFonts w:asciiTheme="majorHAnsi" w:eastAsia="Times New Roman" w:hAnsiTheme="majorHAnsi" w:cstheme="majorHAnsi"/>
          <w:sz w:val="20"/>
          <w:szCs w:val="20"/>
        </w:rPr>
        <w:t xml:space="preserve"> Representative specific energy for coal, by type.</w:t>
      </w:r>
    </w:p>
    <w:p w:rsidR="00130412" w:rsidRPr="00130412" w:rsidRDefault="00130412" w:rsidP="00D140C1">
      <w:pPr>
        <w:spacing w:line="360" w:lineRule="auto"/>
        <w:rPr>
          <w:rFonts w:asciiTheme="majorHAnsi" w:eastAsia="Times New Roman" w:hAnsiTheme="majorHAnsi" w:cstheme="majorHAnsi"/>
          <w:sz w:val="20"/>
          <w:szCs w:val="20"/>
        </w:rPr>
      </w:pPr>
    </w:p>
    <w:p w:rsidR="001E608F" w:rsidRPr="000D4580" w:rsidRDefault="001E608F" w:rsidP="00D140C1">
      <w:pPr>
        <w:spacing w:line="360" w:lineRule="auto"/>
        <w:rPr>
          <w:rFonts w:asciiTheme="majorHAnsi" w:eastAsia="Times New Roman" w:hAnsiTheme="majorHAnsi" w:cstheme="majorHAnsi"/>
        </w:rPr>
      </w:pPr>
      <w:r w:rsidRPr="000D4580">
        <w:rPr>
          <w:rFonts w:asciiTheme="majorHAnsi" w:eastAsia="Times New Roman" w:hAnsiTheme="majorHAnsi" w:cstheme="majorHAnsi"/>
          <w:b/>
          <w:u w:val="single"/>
        </w:rPr>
        <w:t>Crude:</w:t>
      </w:r>
      <w:r w:rsidRPr="000D4580">
        <w:rPr>
          <w:rFonts w:asciiTheme="majorHAnsi" w:eastAsia="Times New Roman" w:hAnsiTheme="majorHAnsi" w:cstheme="majorHAnsi"/>
        </w:rPr>
        <w:t xml:space="preserve"> crude oil reserves vary in terms of weight (light to heavy) and sulfur content (sour to sweet). To differentiate specific energy values, we focus on variation in weight by region. We apply the following formula to obtain barrels of oil per ton using the representative API gravity for each benchmark crude, which are sourced from Petroleum.co.uk:</w:t>
      </w:r>
    </w:p>
    <w:p w:rsidR="001E608F" w:rsidRPr="000D4580" w:rsidRDefault="001E608F" w:rsidP="00753C4F">
      <w:pPr>
        <w:spacing w:line="360" w:lineRule="auto"/>
        <w:ind w:left="720"/>
        <w:contextualSpacing/>
        <w:rPr>
          <w:rFonts w:asciiTheme="majorHAnsi" w:hAnsiTheme="majorHAnsi" w:cstheme="majorHAnsi"/>
        </w:rPr>
      </w:pPr>
      <m:oMathPara>
        <m:oMath>
          <m:r>
            <w:rPr>
              <w:rFonts w:ascii="Cambria Math" w:eastAsia="Times New Roman" w:hAnsi="Cambria Math" w:cstheme="majorHAnsi"/>
            </w:rPr>
            <m:t>barrels per ton=</m:t>
          </m:r>
          <m:f>
            <m:fPr>
              <m:ctrlPr>
                <w:rPr>
                  <w:rFonts w:ascii="Cambria Math" w:eastAsia="Times New Roman" w:hAnsi="Cambria Math" w:cstheme="majorHAnsi"/>
                  <w:i/>
                </w:rPr>
              </m:ctrlPr>
            </m:fPr>
            <m:num>
              <m:r>
                <w:rPr>
                  <w:rFonts w:ascii="Cambria Math" w:eastAsia="Times New Roman" w:hAnsi="Cambria Math" w:cstheme="majorHAnsi"/>
                </w:rPr>
                <m:t>API+131.5</m:t>
              </m:r>
            </m:num>
            <m:den>
              <m:r>
                <w:rPr>
                  <w:rFonts w:ascii="Cambria Math" w:eastAsia="Times New Roman" w:hAnsi="Cambria Math" w:cstheme="majorHAnsi"/>
                </w:rPr>
                <m:t>141.5×0.159</m:t>
              </m:r>
            </m:den>
          </m:f>
        </m:oMath>
      </m:oMathPara>
    </w:p>
    <w:p w:rsidR="001E608F" w:rsidRPr="000D4580" w:rsidRDefault="001E608F" w:rsidP="00D140C1">
      <w:pPr>
        <w:spacing w:line="360" w:lineRule="auto"/>
        <w:ind w:left="720"/>
        <w:contextualSpacing/>
        <w:rPr>
          <w:rFonts w:asciiTheme="majorHAnsi" w:hAnsiTheme="majorHAnsi" w:cstheme="majorHAnsi"/>
        </w:rPr>
      </w:pPr>
    </w:p>
    <w:p w:rsidR="001E608F" w:rsidRPr="000D4580" w:rsidRDefault="001E608F" w:rsidP="00130412">
      <w:pPr>
        <w:spacing w:line="360" w:lineRule="auto"/>
        <w:contextualSpacing/>
        <w:rPr>
          <w:rFonts w:asciiTheme="majorHAnsi" w:hAnsiTheme="majorHAnsi" w:cstheme="majorHAnsi"/>
        </w:rPr>
      </w:pPr>
    </w:p>
    <w:tbl>
      <w:tblPr>
        <w:tblStyle w:val="TableGrid"/>
        <w:tblW w:w="0" w:type="auto"/>
        <w:jc w:val="cente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4508"/>
        <w:gridCol w:w="4508"/>
      </w:tblGrid>
      <w:tr w:rsidR="001E608F" w:rsidRPr="000D4580" w:rsidTr="00B321B9">
        <w:trPr>
          <w:jc w:val="center"/>
        </w:trPr>
        <w:tc>
          <w:tcPr>
            <w:tcW w:w="4508" w:type="dxa"/>
            <w:shd w:val="clear" w:color="auto" w:fill="DEEAF6" w:themeFill="accent5" w:themeFillTint="33"/>
          </w:tcPr>
          <w:p w:rsidR="001E608F" w:rsidRPr="000D4580" w:rsidRDefault="001E608F" w:rsidP="00753C4F">
            <w:pPr>
              <w:contextualSpacing/>
              <w:jc w:val="center"/>
              <w:rPr>
                <w:rFonts w:asciiTheme="majorHAnsi" w:hAnsiTheme="majorHAnsi" w:cstheme="majorHAnsi"/>
                <w:b/>
                <w:sz w:val="22"/>
                <w:szCs w:val="22"/>
              </w:rPr>
            </w:pPr>
            <w:r w:rsidRPr="000D4580">
              <w:rPr>
                <w:rFonts w:asciiTheme="majorHAnsi" w:hAnsiTheme="majorHAnsi" w:cstheme="majorHAnsi"/>
                <w:b/>
                <w:sz w:val="22"/>
                <w:szCs w:val="22"/>
              </w:rPr>
              <w:lastRenderedPageBreak/>
              <w:t>Crude Benchmark</w:t>
            </w:r>
          </w:p>
        </w:tc>
        <w:tc>
          <w:tcPr>
            <w:tcW w:w="4508" w:type="dxa"/>
            <w:shd w:val="clear" w:color="auto" w:fill="DEEAF6" w:themeFill="accent5" w:themeFillTint="33"/>
          </w:tcPr>
          <w:p w:rsidR="001E608F" w:rsidRPr="000D4580" w:rsidRDefault="001E608F" w:rsidP="00753C4F">
            <w:pPr>
              <w:contextualSpacing/>
              <w:jc w:val="center"/>
              <w:rPr>
                <w:rFonts w:asciiTheme="majorHAnsi" w:hAnsiTheme="majorHAnsi" w:cstheme="majorHAnsi"/>
                <w:b/>
                <w:sz w:val="22"/>
                <w:szCs w:val="22"/>
              </w:rPr>
            </w:pPr>
            <w:r w:rsidRPr="000D4580">
              <w:rPr>
                <w:rFonts w:asciiTheme="majorHAnsi" w:hAnsiTheme="majorHAnsi" w:cstheme="majorHAnsi"/>
                <w:b/>
                <w:sz w:val="22"/>
                <w:szCs w:val="22"/>
              </w:rPr>
              <w:t>Representative API</w:t>
            </w:r>
          </w:p>
        </w:tc>
      </w:tr>
      <w:tr w:rsidR="001E608F" w:rsidRPr="000D4580" w:rsidTr="00B321B9">
        <w:trPr>
          <w:jc w:val="center"/>
        </w:trPr>
        <w:tc>
          <w:tcPr>
            <w:tcW w:w="4508" w:type="dxa"/>
          </w:tcPr>
          <w:p w:rsidR="001E608F" w:rsidRPr="000D4580" w:rsidRDefault="001E608F" w:rsidP="00753C4F">
            <w:pPr>
              <w:contextualSpacing/>
              <w:rPr>
                <w:rFonts w:asciiTheme="majorHAnsi" w:hAnsiTheme="majorHAnsi" w:cstheme="majorHAnsi"/>
                <w:sz w:val="22"/>
                <w:szCs w:val="22"/>
              </w:rPr>
            </w:pPr>
            <w:r w:rsidRPr="000D4580">
              <w:rPr>
                <w:rFonts w:asciiTheme="majorHAnsi" w:hAnsiTheme="majorHAnsi" w:cstheme="majorHAnsi"/>
                <w:sz w:val="22"/>
                <w:szCs w:val="22"/>
              </w:rPr>
              <w:t>West Texas Intermediate (WTI)</w:t>
            </w:r>
          </w:p>
        </w:tc>
        <w:tc>
          <w:tcPr>
            <w:tcW w:w="4508" w:type="dxa"/>
          </w:tcPr>
          <w:p w:rsidR="001E608F" w:rsidRPr="000D4580" w:rsidRDefault="001E608F" w:rsidP="00753C4F">
            <w:pPr>
              <w:contextualSpacing/>
              <w:jc w:val="center"/>
              <w:rPr>
                <w:rFonts w:asciiTheme="majorHAnsi" w:hAnsiTheme="majorHAnsi" w:cstheme="majorHAnsi"/>
                <w:sz w:val="22"/>
                <w:szCs w:val="22"/>
              </w:rPr>
            </w:pPr>
            <w:r w:rsidRPr="000D4580">
              <w:rPr>
                <w:rFonts w:asciiTheme="majorHAnsi" w:hAnsiTheme="majorHAnsi" w:cstheme="majorHAnsi"/>
                <w:sz w:val="22"/>
                <w:szCs w:val="22"/>
              </w:rPr>
              <w:t>39.6</w:t>
            </w:r>
          </w:p>
        </w:tc>
      </w:tr>
      <w:tr w:rsidR="001E608F" w:rsidRPr="000D4580" w:rsidTr="00B321B9">
        <w:trPr>
          <w:jc w:val="center"/>
        </w:trPr>
        <w:tc>
          <w:tcPr>
            <w:tcW w:w="4508" w:type="dxa"/>
          </w:tcPr>
          <w:p w:rsidR="001E608F" w:rsidRPr="000D4580" w:rsidRDefault="001E608F" w:rsidP="00753C4F">
            <w:pPr>
              <w:contextualSpacing/>
              <w:rPr>
                <w:rFonts w:asciiTheme="majorHAnsi" w:hAnsiTheme="majorHAnsi" w:cstheme="majorHAnsi"/>
                <w:sz w:val="22"/>
                <w:szCs w:val="22"/>
              </w:rPr>
            </w:pPr>
            <w:r w:rsidRPr="000D4580">
              <w:rPr>
                <w:rFonts w:asciiTheme="majorHAnsi" w:hAnsiTheme="majorHAnsi" w:cstheme="majorHAnsi"/>
                <w:sz w:val="22"/>
                <w:szCs w:val="22"/>
              </w:rPr>
              <w:t>Brent</w:t>
            </w:r>
          </w:p>
        </w:tc>
        <w:tc>
          <w:tcPr>
            <w:tcW w:w="4508" w:type="dxa"/>
          </w:tcPr>
          <w:p w:rsidR="001E608F" w:rsidRPr="000D4580" w:rsidRDefault="001E608F" w:rsidP="00753C4F">
            <w:pPr>
              <w:contextualSpacing/>
              <w:jc w:val="center"/>
              <w:rPr>
                <w:rFonts w:asciiTheme="majorHAnsi" w:hAnsiTheme="majorHAnsi" w:cstheme="majorHAnsi"/>
                <w:sz w:val="22"/>
                <w:szCs w:val="22"/>
              </w:rPr>
            </w:pPr>
            <w:r w:rsidRPr="000D4580">
              <w:rPr>
                <w:rFonts w:asciiTheme="majorHAnsi" w:hAnsiTheme="majorHAnsi" w:cstheme="majorHAnsi"/>
                <w:sz w:val="22"/>
                <w:szCs w:val="22"/>
              </w:rPr>
              <w:t>38.06</w:t>
            </w:r>
          </w:p>
        </w:tc>
      </w:tr>
      <w:tr w:rsidR="001E608F" w:rsidRPr="000D4580" w:rsidTr="00B321B9">
        <w:trPr>
          <w:jc w:val="center"/>
        </w:trPr>
        <w:tc>
          <w:tcPr>
            <w:tcW w:w="4508" w:type="dxa"/>
          </w:tcPr>
          <w:p w:rsidR="001E608F" w:rsidRPr="000D4580" w:rsidRDefault="001E608F" w:rsidP="00753C4F">
            <w:pPr>
              <w:contextualSpacing/>
              <w:rPr>
                <w:rFonts w:asciiTheme="majorHAnsi" w:hAnsiTheme="majorHAnsi" w:cstheme="majorHAnsi"/>
                <w:sz w:val="22"/>
                <w:szCs w:val="22"/>
              </w:rPr>
            </w:pPr>
            <w:r w:rsidRPr="000D4580">
              <w:rPr>
                <w:rFonts w:asciiTheme="majorHAnsi" w:hAnsiTheme="majorHAnsi" w:cstheme="majorHAnsi"/>
                <w:sz w:val="22"/>
                <w:szCs w:val="22"/>
              </w:rPr>
              <w:t>Dubai</w:t>
            </w:r>
          </w:p>
        </w:tc>
        <w:tc>
          <w:tcPr>
            <w:tcW w:w="4508" w:type="dxa"/>
          </w:tcPr>
          <w:p w:rsidR="001E608F" w:rsidRPr="000D4580" w:rsidRDefault="001E608F" w:rsidP="00753C4F">
            <w:pPr>
              <w:contextualSpacing/>
              <w:jc w:val="center"/>
              <w:rPr>
                <w:rFonts w:asciiTheme="majorHAnsi" w:hAnsiTheme="majorHAnsi" w:cstheme="majorHAnsi"/>
                <w:sz w:val="22"/>
                <w:szCs w:val="22"/>
              </w:rPr>
            </w:pPr>
            <w:r w:rsidRPr="000D4580">
              <w:rPr>
                <w:rFonts w:asciiTheme="majorHAnsi" w:hAnsiTheme="majorHAnsi" w:cstheme="majorHAnsi"/>
                <w:sz w:val="22"/>
                <w:szCs w:val="22"/>
              </w:rPr>
              <w:t>31</w:t>
            </w:r>
          </w:p>
        </w:tc>
      </w:tr>
      <w:tr w:rsidR="001E608F" w:rsidRPr="000D4580" w:rsidTr="00B321B9">
        <w:trPr>
          <w:jc w:val="center"/>
        </w:trPr>
        <w:tc>
          <w:tcPr>
            <w:tcW w:w="4508" w:type="dxa"/>
          </w:tcPr>
          <w:p w:rsidR="001E608F" w:rsidRPr="000D4580" w:rsidRDefault="001E608F" w:rsidP="00753C4F">
            <w:pPr>
              <w:contextualSpacing/>
              <w:rPr>
                <w:rFonts w:asciiTheme="majorHAnsi" w:hAnsiTheme="majorHAnsi" w:cstheme="majorHAnsi"/>
                <w:sz w:val="22"/>
                <w:szCs w:val="22"/>
              </w:rPr>
            </w:pPr>
            <w:r w:rsidRPr="000D4580">
              <w:rPr>
                <w:rFonts w:asciiTheme="majorHAnsi" w:hAnsiTheme="majorHAnsi" w:cstheme="majorHAnsi"/>
                <w:sz w:val="22"/>
                <w:szCs w:val="22"/>
              </w:rPr>
              <w:t>Orb (OPEC)</w:t>
            </w:r>
          </w:p>
        </w:tc>
        <w:tc>
          <w:tcPr>
            <w:tcW w:w="4508" w:type="dxa"/>
          </w:tcPr>
          <w:p w:rsidR="001E608F" w:rsidRPr="000D4580" w:rsidRDefault="001E608F" w:rsidP="00753C4F">
            <w:pPr>
              <w:contextualSpacing/>
              <w:jc w:val="center"/>
              <w:rPr>
                <w:rFonts w:asciiTheme="majorHAnsi" w:hAnsiTheme="majorHAnsi" w:cstheme="majorHAnsi"/>
                <w:sz w:val="22"/>
                <w:szCs w:val="22"/>
              </w:rPr>
            </w:pPr>
            <w:r w:rsidRPr="000D4580">
              <w:rPr>
                <w:rFonts w:asciiTheme="majorHAnsi" w:hAnsiTheme="majorHAnsi" w:cstheme="majorHAnsi"/>
                <w:sz w:val="22"/>
                <w:szCs w:val="22"/>
              </w:rPr>
              <w:t>32.7</w:t>
            </w:r>
          </w:p>
        </w:tc>
      </w:tr>
      <w:tr w:rsidR="001E608F" w:rsidRPr="000D4580" w:rsidTr="00B321B9">
        <w:trPr>
          <w:jc w:val="center"/>
        </w:trPr>
        <w:tc>
          <w:tcPr>
            <w:tcW w:w="4508" w:type="dxa"/>
          </w:tcPr>
          <w:p w:rsidR="001E608F" w:rsidRPr="000D4580" w:rsidRDefault="001E608F" w:rsidP="00753C4F">
            <w:pPr>
              <w:contextualSpacing/>
              <w:rPr>
                <w:rFonts w:asciiTheme="majorHAnsi" w:hAnsiTheme="majorHAnsi" w:cstheme="majorHAnsi"/>
                <w:sz w:val="22"/>
                <w:szCs w:val="22"/>
              </w:rPr>
            </w:pPr>
            <w:r w:rsidRPr="000D4580">
              <w:rPr>
                <w:rFonts w:asciiTheme="majorHAnsi" w:hAnsiTheme="majorHAnsi" w:cstheme="majorHAnsi"/>
                <w:sz w:val="22"/>
                <w:szCs w:val="22"/>
              </w:rPr>
              <w:t>Minas</w:t>
            </w:r>
          </w:p>
        </w:tc>
        <w:tc>
          <w:tcPr>
            <w:tcW w:w="4508" w:type="dxa"/>
          </w:tcPr>
          <w:p w:rsidR="001E608F" w:rsidRPr="000D4580" w:rsidRDefault="001E608F" w:rsidP="00753C4F">
            <w:pPr>
              <w:contextualSpacing/>
              <w:jc w:val="center"/>
              <w:rPr>
                <w:rFonts w:asciiTheme="majorHAnsi" w:hAnsiTheme="majorHAnsi" w:cstheme="majorHAnsi"/>
                <w:sz w:val="22"/>
                <w:szCs w:val="22"/>
              </w:rPr>
            </w:pPr>
            <w:r w:rsidRPr="000D4580">
              <w:rPr>
                <w:rFonts w:asciiTheme="majorHAnsi" w:hAnsiTheme="majorHAnsi" w:cstheme="majorHAnsi"/>
                <w:sz w:val="22"/>
                <w:szCs w:val="22"/>
              </w:rPr>
              <w:t>35</w:t>
            </w:r>
          </w:p>
        </w:tc>
      </w:tr>
      <w:tr w:rsidR="001E608F" w:rsidRPr="000D4580" w:rsidTr="00B321B9">
        <w:trPr>
          <w:jc w:val="center"/>
        </w:trPr>
        <w:tc>
          <w:tcPr>
            <w:tcW w:w="4508" w:type="dxa"/>
          </w:tcPr>
          <w:p w:rsidR="001E608F" w:rsidRPr="000D4580" w:rsidRDefault="001E608F" w:rsidP="00753C4F">
            <w:pPr>
              <w:contextualSpacing/>
              <w:rPr>
                <w:rFonts w:asciiTheme="majorHAnsi" w:hAnsiTheme="majorHAnsi" w:cstheme="majorHAnsi"/>
                <w:sz w:val="22"/>
                <w:szCs w:val="22"/>
              </w:rPr>
            </w:pPr>
            <w:r w:rsidRPr="000D4580">
              <w:rPr>
                <w:rFonts w:asciiTheme="majorHAnsi" w:hAnsiTheme="majorHAnsi" w:cstheme="majorHAnsi"/>
                <w:sz w:val="22"/>
                <w:szCs w:val="22"/>
              </w:rPr>
              <w:t>Tapis</w:t>
            </w:r>
          </w:p>
        </w:tc>
        <w:tc>
          <w:tcPr>
            <w:tcW w:w="4508" w:type="dxa"/>
          </w:tcPr>
          <w:p w:rsidR="001E608F" w:rsidRPr="000D4580" w:rsidRDefault="001E608F" w:rsidP="00753C4F">
            <w:pPr>
              <w:contextualSpacing/>
              <w:jc w:val="center"/>
              <w:rPr>
                <w:rFonts w:asciiTheme="majorHAnsi" w:hAnsiTheme="majorHAnsi" w:cstheme="majorHAnsi"/>
                <w:sz w:val="22"/>
                <w:szCs w:val="22"/>
              </w:rPr>
            </w:pPr>
            <w:r w:rsidRPr="000D4580">
              <w:rPr>
                <w:rFonts w:asciiTheme="majorHAnsi" w:hAnsiTheme="majorHAnsi" w:cstheme="majorHAnsi"/>
                <w:sz w:val="22"/>
                <w:szCs w:val="22"/>
              </w:rPr>
              <w:t>45.2</w:t>
            </w:r>
          </w:p>
        </w:tc>
      </w:tr>
      <w:tr w:rsidR="001E608F" w:rsidRPr="000D4580" w:rsidTr="00B321B9">
        <w:trPr>
          <w:jc w:val="center"/>
        </w:trPr>
        <w:tc>
          <w:tcPr>
            <w:tcW w:w="4508" w:type="dxa"/>
          </w:tcPr>
          <w:p w:rsidR="001E608F" w:rsidRPr="000D4580" w:rsidRDefault="001E608F" w:rsidP="00753C4F">
            <w:pPr>
              <w:contextualSpacing/>
              <w:rPr>
                <w:rFonts w:asciiTheme="majorHAnsi" w:hAnsiTheme="majorHAnsi" w:cstheme="majorHAnsi"/>
                <w:sz w:val="22"/>
                <w:szCs w:val="22"/>
              </w:rPr>
            </w:pPr>
            <w:r w:rsidRPr="000D4580">
              <w:rPr>
                <w:rFonts w:asciiTheme="majorHAnsi" w:hAnsiTheme="majorHAnsi" w:cstheme="majorHAnsi"/>
                <w:sz w:val="22"/>
                <w:szCs w:val="22"/>
              </w:rPr>
              <w:t>Bonny Light</w:t>
            </w:r>
          </w:p>
        </w:tc>
        <w:tc>
          <w:tcPr>
            <w:tcW w:w="4508" w:type="dxa"/>
          </w:tcPr>
          <w:p w:rsidR="001E608F" w:rsidRPr="000D4580" w:rsidRDefault="001E608F" w:rsidP="00753C4F">
            <w:pPr>
              <w:contextualSpacing/>
              <w:jc w:val="center"/>
              <w:rPr>
                <w:rFonts w:asciiTheme="majorHAnsi" w:hAnsiTheme="majorHAnsi" w:cstheme="majorHAnsi"/>
                <w:sz w:val="22"/>
                <w:szCs w:val="22"/>
              </w:rPr>
            </w:pPr>
            <w:r w:rsidRPr="000D4580">
              <w:rPr>
                <w:rFonts w:asciiTheme="majorHAnsi" w:hAnsiTheme="majorHAnsi" w:cstheme="majorHAnsi"/>
                <w:sz w:val="22"/>
                <w:szCs w:val="22"/>
              </w:rPr>
              <w:t>32.9</w:t>
            </w:r>
          </w:p>
        </w:tc>
      </w:tr>
      <w:tr w:rsidR="001E608F" w:rsidRPr="000D4580" w:rsidTr="00B321B9">
        <w:trPr>
          <w:jc w:val="center"/>
        </w:trPr>
        <w:tc>
          <w:tcPr>
            <w:tcW w:w="4508" w:type="dxa"/>
          </w:tcPr>
          <w:p w:rsidR="001E608F" w:rsidRPr="000D4580" w:rsidRDefault="001E608F" w:rsidP="00753C4F">
            <w:pPr>
              <w:contextualSpacing/>
              <w:rPr>
                <w:rFonts w:asciiTheme="majorHAnsi" w:hAnsiTheme="majorHAnsi" w:cstheme="majorHAnsi"/>
                <w:sz w:val="22"/>
                <w:szCs w:val="22"/>
              </w:rPr>
            </w:pPr>
            <w:r w:rsidRPr="000D4580">
              <w:rPr>
                <w:rFonts w:asciiTheme="majorHAnsi" w:hAnsiTheme="majorHAnsi" w:cstheme="majorHAnsi"/>
                <w:sz w:val="22"/>
                <w:szCs w:val="22"/>
              </w:rPr>
              <w:t>Isthmus Light</w:t>
            </w:r>
          </w:p>
        </w:tc>
        <w:tc>
          <w:tcPr>
            <w:tcW w:w="4508" w:type="dxa"/>
          </w:tcPr>
          <w:p w:rsidR="001E608F" w:rsidRPr="000D4580" w:rsidRDefault="001E608F" w:rsidP="00753C4F">
            <w:pPr>
              <w:contextualSpacing/>
              <w:jc w:val="center"/>
              <w:rPr>
                <w:rFonts w:asciiTheme="majorHAnsi" w:hAnsiTheme="majorHAnsi" w:cstheme="majorHAnsi"/>
                <w:sz w:val="22"/>
                <w:szCs w:val="22"/>
              </w:rPr>
            </w:pPr>
            <w:r w:rsidRPr="000D4580">
              <w:rPr>
                <w:rFonts w:asciiTheme="majorHAnsi" w:hAnsiTheme="majorHAnsi" w:cstheme="majorHAnsi"/>
                <w:sz w:val="22"/>
                <w:szCs w:val="22"/>
              </w:rPr>
              <w:t>33.74</w:t>
            </w:r>
          </w:p>
        </w:tc>
      </w:tr>
    </w:tbl>
    <w:p w:rsidR="00130412" w:rsidRDefault="00130412" w:rsidP="00130412">
      <w:pPr>
        <w:spacing w:line="360" w:lineRule="auto"/>
        <w:rPr>
          <w:rFonts w:asciiTheme="majorHAnsi" w:eastAsia="Times New Roman" w:hAnsiTheme="majorHAnsi" w:cstheme="majorHAnsi"/>
          <w:sz w:val="20"/>
          <w:szCs w:val="20"/>
        </w:rPr>
      </w:pPr>
      <w:r w:rsidRPr="00130412">
        <w:rPr>
          <w:rFonts w:asciiTheme="majorHAnsi" w:eastAsia="Times New Roman" w:hAnsiTheme="majorHAnsi" w:cstheme="majorHAnsi"/>
          <w:b/>
          <w:sz w:val="20"/>
          <w:szCs w:val="20"/>
        </w:rPr>
        <w:t xml:space="preserve">Table </w:t>
      </w:r>
      <w:r>
        <w:rPr>
          <w:rFonts w:asciiTheme="majorHAnsi" w:eastAsia="Times New Roman" w:hAnsiTheme="majorHAnsi" w:cstheme="majorHAnsi"/>
          <w:b/>
          <w:sz w:val="20"/>
          <w:szCs w:val="20"/>
        </w:rPr>
        <w:t>2</w:t>
      </w:r>
      <w:r w:rsidRPr="00130412">
        <w:rPr>
          <w:rFonts w:asciiTheme="majorHAnsi" w:eastAsia="Times New Roman" w:hAnsiTheme="majorHAnsi" w:cstheme="majorHAnsi"/>
          <w:b/>
          <w:sz w:val="20"/>
          <w:szCs w:val="20"/>
        </w:rPr>
        <w:t>.</w:t>
      </w:r>
      <w:r w:rsidRPr="00130412">
        <w:rPr>
          <w:rFonts w:asciiTheme="majorHAnsi" w:eastAsia="Times New Roman" w:hAnsiTheme="majorHAnsi" w:cstheme="majorHAnsi"/>
          <w:sz w:val="20"/>
          <w:szCs w:val="20"/>
        </w:rPr>
        <w:t xml:space="preserve"> Representative </w:t>
      </w:r>
      <w:r>
        <w:rPr>
          <w:rFonts w:asciiTheme="majorHAnsi" w:eastAsia="Times New Roman" w:hAnsiTheme="majorHAnsi" w:cstheme="majorHAnsi"/>
          <w:sz w:val="20"/>
          <w:szCs w:val="20"/>
        </w:rPr>
        <w:t>API for crude, by type.</w:t>
      </w:r>
    </w:p>
    <w:p w:rsidR="001E608F" w:rsidRPr="000D4580" w:rsidRDefault="001E608F" w:rsidP="00753C4F">
      <w:pPr>
        <w:spacing w:line="360" w:lineRule="auto"/>
        <w:contextualSpacing/>
        <w:rPr>
          <w:rFonts w:asciiTheme="majorHAnsi" w:hAnsiTheme="majorHAnsi" w:cstheme="majorHAnsi"/>
        </w:rPr>
      </w:pPr>
    </w:p>
    <w:p w:rsidR="001E608F" w:rsidRPr="000D4580" w:rsidRDefault="001E608F" w:rsidP="00D140C1">
      <w:pPr>
        <w:spacing w:line="360" w:lineRule="auto"/>
        <w:rPr>
          <w:rFonts w:asciiTheme="majorHAnsi" w:eastAsia="Times New Roman" w:hAnsiTheme="majorHAnsi" w:cstheme="majorHAnsi"/>
        </w:rPr>
      </w:pPr>
      <w:r w:rsidRPr="000D4580">
        <w:rPr>
          <w:rFonts w:asciiTheme="majorHAnsi" w:eastAsia="Times New Roman" w:hAnsiTheme="majorHAnsi" w:cstheme="majorHAnsi"/>
        </w:rPr>
        <w:t>Petroleum (PET), nuclear-uranium (NUC), bioenergy-biodiesel and peat (BIO) are not region-specific.</w:t>
      </w:r>
    </w:p>
    <w:p w:rsidR="001E608F" w:rsidRPr="000D4580" w:rsidRDefault="001E608F" w:rsidP="00D140C1">
      <w:pPr>
        <w:spacing w:line="360" w:lineRule="auto"/>
        <w:rPr>
          <w:rFonts w:asciiTheme="majorHAnsi" w:eastAsia="Times New Roman" w:hAnsiTheme="majorHAnsi" w:cstheme="majorHAnsi"/>
        </w:rPr>
      </w:pPr>
    </w:p>
    <w:p w:rsidR="001E608F" w:rsidRPr="000D4580" w:rsidRDefault="001E608F" w:rsidP="00D140C1">
      <w:pPr>
        <w:spacing w:line="360" w:lineRule="auto"/>
        <w:rPr>
          <w:rFonts w:asciiTheme="majorHAnsi" w:eastAsia="Times New Roman" w:hAnsiTheme="majorHAnsi" w:cstheme="majorHAnsi"/>
          <w:szCs w:val="20"/>
        </w:rPr>
      </w:pPr>
    </w:p>
    <w:p w:rsidR="001E608F" w:rsidRPr="000D4580" w:rsidRDefault="001E608F" w:rsidP="00D140C1">
      <w:pPr>
        <w:spacing w:line="360" w:lineRule="auto"/>
        <w:rPr>
          <w:rFonts w:asciiTheme="majorHAnsi" w:eastAsia="Times New Roman" w:hAnsiTheme="majorHAnsi" w:cstheme="majorHAnsi"/>
          <w:szCs w:val="20"/>
        </w:rPr>
      </w:pPr>
    </w:p>
    <w:p w:rsidR="001E608F" w:rsidRPr="000D4580" w:rsidRDefault="001E608F" w:rsidP="00D140C1">
      <w:pPr>
        <w:spacing w:line="360" w:lineRule="auto"/>
        <w:rPr>
          <w:rFonts w:asciiTheme="majorHAnsi" w:eastAsia="Times New Roman" w:hAnsiTheme="majorHAnsi" w:cstheme="majorHAnsi"/>
          <w:szCs w:val="20"/>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pStyle w:val="Heading1"/>
        <w:spacing w:line="360" w:lineRule="auto"/>
        <w:rPr>
          <w:rFonts w:cstheme="majorHAnsi"/>
        </w:rPr>
      </w:pPr>
      <w:bookmarkStart w:id="2" w:name="_Toc20722957"/>
      <w:r w:rsidRPr="000D4580">
        <w:rPr>
          <w:rFonts w:cstheme="majorHAnsi"/>
        </w:rPr>
        <w:lastRenderedPageBreak/>
        <w:t>2</w:t>
      </w:r>
      <w:r w:rsidRPr="000D4580">
        <w:rPr>
          <w:rFonts w:cstheme="majorHAnsi"/>
        </w:rPr>
        <w:tab/>
        <w:t>Data validation for representative countries</w:t>
      </w:r>
      <w:bookmarkEnd w:id="2"/>
    </w:p>
    <w:p w:rsidR="001E608F" w:rsidRPr="000D4580" w:rsidRDefault="001E608F" w:rsidP="00D140C1">
      <w:pPr>
        <w:spacing w:line="360" w:lineRule="auto"/>
        <w:rPr>
          <w:rFonts w:asciiTheme="majorHAnsi" w:hAnsiTheme="majorHAnsi" w:cstheme="majorHAnsi"/>
        </w:rPr>
      </w:pPr>
    </w:p>
    <w:p w:rsidR="001E608F" w:rsidRPr="000D4580" w:rsidRDefault="001E608F" w:rsidP="00753C4F">
      <w:pPr>
        <w:spacing w:line="360" w:lineRule="auto"/>
        <w:ind w:firstLine="720"/>
        <w:rPr>
          <w:rFonts w:asciiTheme="majorHAnsi" w:hAnsiTheme="majorHAnsi" w:cstheme="majorHAnsi"/>
          <w:szCs w:val="20"/>
        </w:rPr>
      </w:pPr>
      <w:r w:rsidRPr="000D4580">
        <w:rPr>
          <w:rFonts w:asciiTheme="majorHAnsi" w:hAnsiTheme="majorHAnsi" w:cstheme="majorHAnsi"/>
          <w:szCs w:val="20"/>
        </w:rPr>
        <w:t>Figures 1a-</w:t>
      </w:r>
      <w:r w:rsidR="00753C4F" w:rsidRPr="000D4580">
        <w:rPr>
          <w:rFonts w:asciiTheme="majorHAnsi" w:hAnsiTheme="majorHAnsi" w:cstheme="majorHAnsi"/>
          <w:szCs w:val="20"/>
        </w:rPr>
        <w:t>d</w:t>
      </w:r>
      <w:r w:rsidRPr="000D4580">
        <w:rPr>
          <w:rFonts w:asciiTheme="majorHAnsi" w:hAnsiTheme="majorHAnsi" w:cstheme="majorHAnsi"/>
          <w:szCs w:val="20"/>
        </w:rPr>
        <w:t xml:space="preserve"> show the IEA-BACI data validation for representative countries (China, Germany, Japan, </w:t>
      </w:r>
      <w:proofErr w:type="gramStart"/>
      <w:r w:rsidRPr="000D4580">
        <w:rPr>
          <w:rFonts w:asciiTheme="majorHAnsi" w:hAnsiTheme="majorHAnsi" w:cstheme="majorHAnsi"/>
          <w:szCs w:val="20"/>
        </w:rPr>
        <w:t>Brazil</w:t>
      </w:r>
      <w:proofErr w:type="gramEnd"/>
      <w:r w:rsidRPr="000D4580">
        <w:rPr>
          <w:rFonts w:asciiTheme="majorHAnsi" w:hAnsiTheme="majorHAnsi" w:cstheme="majorHAnsi"/>
          <w:szCs w:val="20"/>
        </w:rPr>
        <w:t xml:space="preserve">). </w:t>
      </w:r>
    </w:p>
    <w:p w:rsidR="001E608F" w:rsidRPr="000D4580" w:rsidRDefault="001E608F" w:rsidP="00D140C1">
      <w:pPr>
        <w:keepNext/>
        <w:spacing w:line="360" w:lineRule="auto"/>
        <w:rPr>
          <w:rFonts w:asciiTheme="majorHAnsi" w:hAnsiTheme="majorHAnsi" w:cstheme="majorHAnsi"/>
        </w:rPr>
      </w:pPr>
      <w:r w:rsidRPr="000D4580">
        <w:rPr>
          <w:rFonts w:asciiTheme="majorHAnsi" w:hAnsiTheme="majorHAnsi" w:cstheme="majorHAnsi"/>
          <w:noProof/>
        </w:rPr>
        <w:drawing>
          <wp:inline distT="0" distB="0" distL="0" distR="0" wp14:anchorId="0839A3ED" wp14:editId="26527F96">
            <wp:extent cx="5943600" cy="2839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9720"/>
                    </a:xfrm>
                    <a:prstGeom prst="rect">
                      <a:avLst/>
                    </a:prstGeom>
                  </pic:spPr>
                </pic:pic>
              </a:graphicData>
            </a:graphic>
          </wp:inline>
        </w:drawing>
      </w:r>
    </w:p>
    <w:p w:rsidR="00753C4F" w:rsidRPr="000D4580" w:rsidRDefault="001E608F" w:rsidP="00753C4F">
      <w:pPr>
        <w:pStyle w:val="Caption"/>
        <w:spacing w:line="360" w:lineRule="auto"/>
        <w:rPr>
          <w:rFonts w:asciiTheme="majorHAnsi" w:hAnsiTheme="majorHAnsi" w:cstheme="majorHAnsi"/>
          <w:b/>
          <w:i w:val="0"/>
          <w:color w:val="auto"/>
          <w:sz w:val="20"/>
          <w:szCs w:val="20"/>
        </w:rPr>
      </w:pPr>
      <w:r w:rsidRPr="000D4580">
        <w:rPr>
          <w:rFonts w:asciiTheme="majorHAnsi" w:hAnsiTheme="majorHAnsi" w:cstheme="majorHAnsi"/>
          <w:b/>
          <w:i w:val="0"/>
          <w:color w:val="auto"/>
          <w:sz w:val="20"/>
          <w:szCs w:val="20"/>
        </w:rPr>
        <w:t xml:space="preserve">Figure 1a. </w:t>
      </w:r>
      <w:r w:rsidRPr="000D4580">
        <w:rPr>
          <w:rFonts w:asciiTheme="majorHAnsi" w:hAnsiTheme="majorHAnsi" w:cstheme="majorHAnsi"/>
          <w:i w:val="0"/>
          <w:color w:val="auto"/>
          <w:sz w:val="20"/>
          <w:szCs w:val="20"/>
        </w:rPr>
        <w:t xml:space="preserve">Validating converted trade data (BACI) with energy data (IEA) for </w:t>
      </w:r>
      <w:r w:rsidRPr="000D4580">
        <w:rPr>
          <w:rFonts w:asciiTheme="majorHAnsi" w:hAnsiTheme="majorHAnsi" w:cstheme="majorHAnsi"/>
          <w:i w:val="0"/>
          <w:color w:val="auto"/>
          <w:sz w:val="20"/>
          <w:szCs w:val="20"/>
          <w:u w:val="single"/>
        </w:rPr>
        <w:t>China</w:t>
      </w:r>
      <w:r w:rsidRPr="000D4580">
        <w:rPr>
          <w:rFonts w:asciiTheme="majorHAnsi" w:hAnsiTheme="majorHAnsi" w:cstheme="majorHAnsi"/>
          <w:b/>
          <w:i w:val="0"/>
          <w:color w:val="auto"/>
          <w:sz w:val="20"/>
          <w:szCs w:val="20"/>
        </w:rPr>
        <w:t>.</w:t>
      </w:r>
    </w:p>
    <w:p w:rsidR="001E608F" w:rsidRPr="000D4580" w:rsidRDefault="001E608F" w:rsidP="00753C4F">
      <w:pPr>
        <w:pStyle w:val="Caption"/>
        <w:spacing w:line="360" w:lineRule="auto"/>
        <w:rPr>
          <w:rFonts w:asciiTheme="majorHAnsi" w:hAnsiTheme="majorHAnsi" w:cstheme="majorHAnsi"/>
          <w:i w:val="0"/>
          <w:color w:val="auto"/>
          <w:sz w:val="20"/>
          <w:szCs w:val="20"/>
        </w:rPr>
      </w:pPr>
      <w:r w:rsidRPr="000D4580">
        <w:rPr>
          <w:rFonts w:asciiTheme="majorHAnsi" w:hAnsiTheme="majorHAnsi" w:cstheme="majorHAnsi"/>
          <w:noProof/>
          <w:lang w:eastAsia="ja-JP"/>
        </w:rPr>
        <w:drawing>
          <wp:inline distT="0" distB="0" distL="0" distR="0" wp14:anchorId="45F551B8" wp14:editId="6F4CCA78">
            <wp:extent cx="5943600" cy="28359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5910"/>
                    </a:xfrm>
                    <a:prstGeom prst="rect">
                      <a:avLst/>
                    </a:prstGeom>
                  </pic:spPr>
                </pic:pic>
              </a:graphicData>
            </a:graphic>
          </wp:inline>
        </w:drawing>
      </w:r>
    </w:p>
    <w:p w:rsidR="001E608F" w:rsidRPr="000D4580" w:rsidRDefault="001E608F" w:rsidP="00D140C1">
      <w:pPr>
        <w:pStyle w:val="Caption"/>
        <w:spacing w:line="360" w:lineRule="auto"/>
        <w:rPr>
          <w:rFonts w:asciiTheme="majorHAnsi" w:hAnsiTheme="majorHAnsi" w:cstheme="majorHAnsi"/>
          <w:i w:val="0"/>
          <w:color w:val="auto"/>
          <w:sz w:val="20"/>
          <w:szCs w:val="20"/>
        </w:rPr>
      </w:pPr>
      <w:r w:rsidRPr="000D4580">
        <w:rPr>
          <w:rFonts w:asciiTheme="majorHAnsi" w:hAnsiTheme="majorHAnsi" w:cstheme="majorHAnsi"/>
          <w:b/>
          <w:i w:val="0"/>
          <w:color w:val="auto"/>
          <w:sz w:val="20"/>
          <w:szCs w:val="20"/>
        </w:rPr>
        <w:t xml:space="preserve">Figure 1b. </w:t>
      </w:r>
      <w:r w:rsidRPr="000D4580">
        <w:rPr>
          <w:rFonts w:asciiTheme="majorHAnsi" w:hAnsiTheme="majorHAnsi" w:cstheme="majorHAnsi"/>
          <w:i w:val="0"/>
          <w:color w:val="auto"/>
          <w:sz w:val="20"/>
          <w:szCs w:val="20"/>
        </w:rPr>
        <w:t xml:space="preserve">Validating converted trade data (BACI) with energy data (IEA) for </w:t>
      </w:r>
      <w:r w:rsidRPr="000D4580">
        <w:rPr>
          <w:rFonts w:asciiTheme="majorHAnsi" w:hAnsiTheme="majorHAnsi" w:cstheme="majorHAnsi"/>
          <w:i w:val="0"/>
          <w:color w:val="auto"/>
          <w:sz w:val="20"/>
          <w:szCs w:val="20"/>
          <w:u w:val="single"/>
        </w:rPr>
        <w:t>Germany</w:t>
      </w:r>
      <w:r w:rsidRPr="000D4580">
        <w:rPr>
          <w:rFonts w:asciiTheme="majorHAnsi" w:hAnsiTheme="majorHAnsi" w:cstheme="majorHAnsi"/>
          <w:b/>
          <w:i w:val="0"/>
          <w:color w:val="auto"/>
          <w:sz w:val="20"/>
          <w:szCs w:val="20"/>
        </w:rPr>
        <w:t>.</w:t>
      </w:r>
    </w:p>
    <w:p w:rsidR="001E608F" w:rsidRPr="000D4580" w:rsidRDefault="001E608F" w:rsidP="00D140C1">
      <w:pPr>
        <w:spacing w:line="360" w:lineRule="auto"/>
        <w:rPr>
          <w:rFonts w:asciiTheme="majorHAnsi" w:hAnsiTheme="majorHAnsi" w:cstheme="majorHAnsi"/>
        </w:rPr>
      </w:pPr>
      <w:r w:rsidRPr="000D4580">
        <w:rPr>
          <w:rFonts w:asciiTheme="majorHAnsi" w:hAnsiTheme="majorHAnsi" w:cstheme="majorHAnsi"/>
          <w:noProof/>
        </w:rPr>
        <w:lastRenderedPageBreak/>
        <w:drawing>
          <wp:inline distT="0" distB="0" distL="0" distR="0" wp14:anchorId="70005A7F" wp14:editId="589CB28C">
            <wp:extent cx="5943600" cy="28352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35275"/>
                    </a:xfrm>
                    <a:prstGeom prst="rect">
                      <a:avLst/>
                    </a:prstGeom>
                  </pic:spPr>
                </pic:pic>
              </a:graphicData>
            </a:graphic>
          </wp:inline>
        </w:drawing>
      </w:r>
    </w:p>
    <w:p w:rsidR="001E608F" w:rsidRPr="000D4580" w:rsidRDefault="001E608F" w:rsidP="00D140C1">
      <w:pPr>
        <w:pStyle w:val="Caption"/>
        <w:spacing w:line="360" w:lineRule="auto"/>
        <w:rPr>
          <w:rFonts w:asciiTheme="majorHAnsi" w:hAnsiTheme="majorHAnsi" w:cstheme="majorHAnsi"/>
          <w:i w:val="0"/>
          <w:color w:val="auto"/>
          <w:sz w:val="20"/>
          <w:szCs w:val="20"/>
        </w:rPr>
      </w:pPr>
      <w:r w:rsidRPr="000D4580">
        <w:rPr>
          <w:rFonts w:asciiTheme="majorHAnsi" w:hAnsiTheme="majorHAnsi" w:cstheme="majorHAnsi"/>
          <w:b/>
          <w:i w:val="0"/>
          <w:color w:val="auto"/>
          <w:sz w:val="20"/>
          <w:szCs w:val="20"/>
        </w:rPr>
        <w:t xml:space="preserve">Figure 1c. </w:t>
      </w:r>
      <w:r w:rsidRPr="000D4580">
        <w:rPr>
          <w:rFonts w:asciiTheme="majorHAnsi" w:hAnsiTheme="majorHAnsi" w:cstheme="majorHAnsi"/>
          <w:i w:val="0"/>
          <w:color w:val="auto"/>
          <w:sz w:val="20"/>
          <w:szCs w:val="20"/>
        </w:rPr>
        <w:t xml:space="preserve">Validating converted trade data (BACI) with energy data (IEA) for </w:t>
      </w:r>
      <w:r w:rsidRPr="000D4580">
        <w:rPr>
          <w:rFonts w:asciiTheme="majorHAnsi" w:hAnsiTheme="majorHAnsi" w:cstheme="majorHAnsi"/>
          <w:i w:val="0"/>
          <w:color w:val="auto"/>
          <w:sz w:val="20"/>
          <w:szCs w:val="20"/>
          <w:u w:val="single"/>
        </w:rPr>
        <w:t>Japan</w:t>
      </w:r>
      <w:r w:rsidRPr="000D4580">
        <w:rPr>
          <w:rFonts w:asciiTheme="majorHAnsi" w:hAnsiTheme="majorHAnsi" w:cstheme="majorHAnsi"/>
          <w:b/>
          <w:i w:val="0"/>
          <w:color w:val="auto"/>
          <w:sz w:val="20"/>
          <w:szCs w:val="20"/>
        </w:rPr>
        <w:t>.</w:t>
      </w: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r w:rsidRPr="000D4580">
        <w:rPr>
          <w:rFonts w:asciiTheme="majorHAnsi" w:hAnsiTheme="majorHAnsi" w:cstheme="majorHAnsi"/>
          <w:noProof/>
        </w:rPr>
        <w:drawing>
          <wp:inline distT="0" distB="0" distL="0" distR="0" wp14:anchorId="0E7A7ACE" wp14:editId="0BC5F16D">
            <wp:extent cx="5943600" cy="2841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1625"/>
                    </a:xfrm>
                    <a:prstGeom prst="rect">
                      <a:avLst/>
                    </a:prstGeom>
                  </pic:spPr>
                </pic:pic>
              </a:graphicData>
            </a:graphic>
          </wp:inline>
        </w:drawing>
      </w:r>
    </w:p>
    <w:p w:rsidR="001E608F" w:rsidRPr="000D4580" w:rsidRDefault="001E608F" w:rsidP="00D140C1">
      <w:pPr>
        <w:pStyle w:val="Caption"/>
        <w:spacing w:line="360" w:lineRule="auto"/>
        <w:rPr>
          <w:rFonts w:asciiTheme="majorHAnsi" w:hAnsiTheme="majorHAnsi" w:cstheme="majorHAnsi"/>
          <w:i w:val="0"/>
          <w:color w:val="auto"/>
          <w:sz w:val="20"/>
          <w:szCs w:val="20"/>
        </w:rPr>
      </w:pPr>
      <w:r w:rsidRPr="000D4580">
        <w:rPr>
          <w:rFonts w:asciiTheme="majorHAnsi" w:hAnsiTheme="majorHAnsi" w:cstheme="majorHAnsi"/>
          <w:b/>
          <w:i w:val="0"/>
          <w:color w:val="auto"/>
          <w:sz w:val="20"/>
          <w:szCs w:val="20"/>
        </w:rPr>
        <w:t xml:space="preserve">Figure 1d. </w:t>
      </w:r>
      <w:r w:rsidRPr="000D4580">
        <w:rPr>
          <w:rFonts w:asciiTheme="majorHAnsi" w:hAnsiTheme="majorHAnsi" w:cstheme="majorHAnsi"/>
          <w:i w:val="0"/>
          <w:color w:val="auto"/>
          <w:sz w:val="20"/>
          <w:szCs w:val="20"/>
        </w:rPr>
        <w:t xml:space="preserve">Validating converted trade data (BACI) with energy data (IEA) for </w:t>
      </w:r>
      <w:r w:rsidRPr="000D4580">
        <w:rPr>
          <w:rFonts w:asciiTheme="majorHAnsi" w:hAnsiTheme="majorHAnsi" w:cstheme="majorHAnsi"/>
          <w:i w:val="0"/>
          <w:color w:val="auto"/>
          <w:sz w:val="20"/>
          <w:szCs w:val="20"/>
          <w:u w:val="single"/>
        </w:rPr>
        <w:t>Brazil</w:t>
      </w:r>
      <w:r w:rsidRPr="000D4580">
        <w:rPr>
          <w:rFonts w:asciiTheme="majorHAnsi" w:hAnsiTheme="majorHAnsi" w:cstheme="majorHAnsi"/>
          <w:b/>
          <w:i w:val="0"/>
          <w:color w:val="auto"/>
          <w:sz w:val="20"/>
          <w:szCs w:val="20"/>
        </w:rPr>
        <w:t>.</w:t>
      </w:r>
    </w:p>
    <w:p w:rsidR="001E608F" w:rsidRPr="000D4580" w:rsidRDefault="001E608F" w:rsidP="00D140C1">
      <w:pPr>
        <w:spacing w:line="360" w:lineRule="auto"/>
        <w:rPr>
          <w:rFonts w:asciiTheme="majorHAnsi" w:hAnsiTheme="majorHAnsi" w:cstheme="majorHAnsi"/>
          <w:sz w:val="20"/>
          <w:szCs w:val="20"/>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pStyle w:val="Heading1"/>
        <w:spacing w:line="360" w:lineRule="auto"/>
        <w:rPr>
          <w:rFonts w:cstheme="majorHAnsi"/>
        </w:rPr>
      </w:pPr>
      <w:bookmarkStart w:id="3" w:name="_Toc20722958"/>
      <w:r w:rsidRPr="000D4580">
        <w:rPr>
          <w:rFonts w:cstheme="majorHAnsi"/>
        </w:rPr>
        <w:lastRenderedPageBreak/>
        <w:t>3</w:t>
      </w:r>
      <w:r w:rsidRPr="000D4580">
        <w:rPr>
          <w:rFonts w:cstheme="majorHAnsi"/>
        </w:rPr>
        <w:tab/>
        <w:t>Country to region correspondence</w:t>
      </w:r>
      <w:bookmarkEnd w:id="3"/>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r w:rsidRPr="000D4580">
        <w:rPr>
          <w:rFonts w:asciiTheme="majorHAnsi" w:hAnsiTheme="majorHAnsi" w:cstheme="majorHAnsi"/>
        </w:rPr>
        <w:t>The following table presents the country to region correspondence used for this study. Note that we use the most disaggregated MESSAGE global model to date, which includes 14 representative regions.</w:t>
      </w:r>
    </w:p>
    <w:tbl>
      <w:tblPr>
        <w:tblStyle w:val="GridTable1Light-Accent1"/>
        <w:tblW w:w="0" w:type="auto"/>
        <w:jc w:val="center"/>
        <w:tblLook w:val="04A0" w:firstRow="1" w:lastRow="0" w:firstColumn="1" w:lastColumn="0" w:noHBand="0" w:noVBand="1"/>
      </w:tblPr>
      <w:tblGrid>
        <w:gridCol w:w="3415"/>
        <w:gridCol w:w="5935"/>
      </w:tblGrid>
      <w:tr w:rsidR="001E608F" w:rsidRPr="00130412" w:rsidTr="00B321B9">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415" w:type="dxa"/>
            <w:shd w:val="clear" w:color="auto" w:fill="DEEAF6" w:themeFill="accent5" w:themeFillTint="33"/>
          </w:tcPr>
          <w:p w:rsidR="001E608F" w:rsidRPr="00130412" w:rsidRDefault="001E608F" w:rsidP="00130412">
            <w:pPr>
              <w:spacing w:after="0"/>
              <w:rPr>
                <w:rFonts w:asciiTheme="majorHAnsi" w:hAnsiTheme="majorHAnsi" w:cstheme="majorHAnsi"/>
                <w:szCs w:val="20"/>
              </w:rPr>
            </w:pPr>
            <w:r w:rsidRPr="00130412">
              <w:rPr>
                <w:rFonts w:asciiTheme="majorHAnsi" w:hAnsiTheme="majorHAnsi" w:cstheme="majorHAnsi"/>
                <w:szCs w:val="20"/>
              </w:rPr>
              <w:t>MESSAGE Region</w:t>
            </w:r>
          </w:p>
        </w:tc>
        <w:tc>
          <w:tcPr>
            <w:tcW w:w="5935" w:type="dxa"/>
            <w:shd w:val="clear" w:color="auto" w:fill="DEEAF6" w:themeFill="accent5" w:themeFillTint="33"/>
          </w:tcPr>
          <w:p w:rsidR="001E608F" w:rsidRPr="00130412" w:rsidRDefault="001E608F" w:rsidP="00130412">
            <w:pPr>
              <w:spacing w:after="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0"/>
              </w:rPr>
            </w:pPr>
            <w:r w:rsidRPr="00130412">
              <w:rPr>
                <w:rFonts w:asciiTheme="majorHAnsi" w:hAnsiTheme="majorHAnsi" w:cstheme="majorHAnsi"/>
                <w:szCs w:val="20"/>
              </w:rPr>
              <w:t>Countries</w:t>
            </w:r>
          </w:p>
        </w:tc>
      </w:tr>
      <w:tr w:rsidR="001E608F" w:rsidRPr="00130412" w:rsidTr="00B321B9">
        <w:trPr>
          <w:trHeight w:val="278"/>
          <w:jc w:val="center"/>
        </w:trPr>
        <w:tc>
          <w:tcPr>
            <w:cnfStyle w:val="001000000000" w:firstRow="0" w:lastRow="0" w:firstColumn="1" w:lastColumn="0" w:oddVBand="0" w:evenVBand="0" w:oddHBand="0" w:evenHBand="0" w:firstRowFirstColumn="0" w:firstRowLastColumn="0" w:lastRowFirstColumn="0" w:lastRowLastColumn="0"/>
            <w:tcW w:w="3415" w:type="dxa"/>
          </w:tcPr>
          <w:p w:rsidR="001E608F" w:rsidRPr="00130412" w:rsidRDefault="001E608F" w:rsidP="00130412">
            <w:pPr>
              <w:spacing w:after="0"/>
              <w:rPr>
                <w:rFonts w:asciiTheme="majorHAnsi" w:hAnsiTheme="majorHAnsi" w:cstheme="majorHAnsi"/>
                <w:szCs w:val="20"/>
              </w:rPr>
            </w:pPr>
            <w:r w:rsidRPr="00130412">
              <w:rPr>
                <w:rFonts w:asciiTheme="majorHAnsi" w:hAnsiTheme="majorHAnsi" w:cstheme="majorHAnsi"/>
                <w:szCs w:val="20"/>
              </w:rPr>
              <w:t>Africa (AFR)</w:t>
            </w:r>
          </w:p>
        </w:tc>
        <w:tc>
          <w:tcPr>
            <w:tcW w:w="5935" w:type="dxa"/>
          </w:tcPr>
          <w:p w:rsidR="001E608F" w:rsidRPr="00130412" w:rsidRDefault="001E608F" w:rsidP="00130412">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rPr>
            </w:pPr>
            <w:r w:rsidRPr="00130412">
              <w:rPr>
                <w:rFonts w:asciiTheme="majorHAnsi" w:hAnsiTheme="majorHAnsi" w:cstheme="majorHAnsi"/>
                <w:szCs w:val="20"/>
              </w:rPr>
              <w:t>Angola, Benin, Burkina Faso, Burundi, Cameroon, Cabo Verde, Central African Republic, Chad, Comoros, Cote d’Ivoire, Djibouti, Equatorial Guinea, Eritrea, Ethiopia, Gabon, Gambia, Ghana, Guinea, Guinea-Bissau, Kenya, Liberia, Madagascar, Malawi, Mali, Mauritania, Mauritius, Mozambique, Niger, Nigeria, Rwanda, Sao Tome and Principe, Senegal, Seychelles, Sierra Leone, Somalia, South Africa, Sudan, Tanzania, Togo, Uganda, Zambia, Zimbabwe</w:t>
            </w:r>
          </w:p>
        </w:tc>
      </w:tr>
      <w:tr w:rsidR="001E608F" w:rsidRPr="00130412" w:rsidTr="00B321B9">
        <w:trPr>
          <w:trHeight w:val="278"/>
          <w:jc w:val="center"/>
        </w:trPr>
        <w:tc>
          <w:tcPr>
            <w:cnfStyle w:val="001000000000" w:firstRow="0" w:lastRow="0" w:firstColumn="1" w:lastColumn="0" w:oddVBand="0" w:evenVBand="0" w:oddHBand="0" w:evenHBand="0" w:firstRowFirstColumn="0" w:firstRowLastColumn="0" w:lastRowFirstColumn="0" w:lastRowLastColumn="0"/>
            <w:tcW w:w="3415" w:type="dxa"/>
          </w:tcPr>
          <w:p w:rsidR="001E608F" w:rsidRPr="00130412" w:rsidRDefault="001E608F" w:rsidP="00130412">
            <w:pPr>
              <w:spacing w:after="0"/>
              <w:rPr>
                <w:rFonts w:asciiTheme="majorHAnsi" w:hAnsiTheme="majorHAnsi" w:cstheme="majorHAnsi"/>
                <w:szCs w:val="20"/>
              </w:rPr>
            </w:pPr>
            <w:r w:rsidRPr="00130412">
              <w:rPr>
                <w:rFonts w:asciiTheme="majorHAnsi" w:hAnsiTheme="majorHAnsi" w:cstheme="majorHAnsi"/>
                <w:szCs w:val="20"/>
              </w:rPr>
              <w:t>Central Asian States (CAS)</w:t>
            </w:r>
          </w:p>
        </w:tc>
        <w:tc>
          <w:tcPr>
            <w:tcW w:w="5935" w:type="dxa"/>
          </w:tcPr>
          <w:p w:rsidR="001E608F" w:rsidRPr="00130412" w:rsidRDefault="001E608F" w:rsidP="00130412">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rPr>
            </w:pPr>
            <w:r w:rsidRPr="00130412">
              <w:rPr>
                <w:rFonts w:asciiTheme="majorHAnsi" w:hAnsiTheme="majorHAnsi" w:cstheme="majorHAnsi"/>
                <w:szCs w:val="20"/>
              </w:rPr>
              <w:t>Kazakhstan, Kyrgyzstan, Tajikistan, Turkmenistan, Uzbekistan</w:t>
            </w:r>
          </w:p>
        </w:tc>
      </w:tr>
      <w:tr w:rsidR="001E608F" w:rsidRPr="00130412" w:rsidTr="00B321B9">
        <w:trPr>
          <w:trHeight w:val="278"/>
          <w:jc w:val="center"/>
        </w:trPr>
        <w:tc>
          <w:tcPr>
            <w:cnfStyle w:val="001000000000" w:firstRow="0" w:lastRow="0" w:firstColumn="1" w:lastColumn="0" w:oddVBand="0" w:evenVBand="0" w:oddHBand="0" w:evenHBand="0" w:firstRowFirstColumn="0" w:firstRowLastColumn="0" w:lastRowFirstColumn="0" w:lastRowLastColumn="0"/>
            <w:tcW w:w="3415" w:type="dxa"/>
          </w:tcPr>
          <w:p w:rsidR="001E608F" w:rsidRPr="00130412" w:rsidRDefault="001E608F" w:rsidP="00130412">
            <w:pPr>
              <w:spacing w:after="0"/>
              <w:rPr>
                <w:rFonts w:asciiTheme="majorHAnsi" w:hAnsiTheme="majorHAnsi" w:cstheme="majorHAnsi"/>
                <w:szCs w:val="20"/>
              </w:rPr>
            </w:pPr>
            <w:r w:rsidRPr="00130412">
              <w:rPr>
                <w:rFonts w:asciiTheme="majorHAnsi" w:hAnsiTheme="majorHAnsi" w:cstheme="majorHAnsi"/>
                <w:szCs w:val="20"/>
              </w:rPr>
              <w:t>Centrally Planned Asia (CPA)</w:t>
            </w:r>
          </w:p>
        </w:tc>
        <w:tc>
          <w:tcPr>
            <w:tcW w:w="5935" w:type="dxa"/>
          </w:tcPr>
          <w:p w:rsidR="001E608F" w:rsidRPr="00130412" w:rsidRDefault="001E608F" w:rsidP="00130412">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rPr>
            </w:pPr>
            <w:r w:rsidRPr="00130412">
              <w:rPr>
                <w:rFonts w:asciiTheme="majorHAnsi" w:hAnsiTheme="majorHAnsi" w:cstheme="majorHAnsi"/>
                <w:szCs w:val="20"/>
              </w:rPr>
              <w:t>Cambodia, China, Laos, Mongolia, North Korea, Vietnam, Taiwan</w:t>
            </w:r>
          </w:p>
        </w:tc>
      </w:tr>
      <w:tr w:rsidR="001E608F" w:rsidRPr="00130412" w:rsidTr="00B321B9">
        <w:trPr>
          <w:trHeight w:val="278"/>
          <w:jc w:val="center"/>
        </w:trPr>
        <w:tc>
          <w:tcPr>
            <w:cnfStyle w:val="001000000000" w:firstRow="0" w:lastRow="0" w:firstColumn="1" w:lastColumn="0" w:oddVBand="0" w:evenVBand="0" w:oddHBand="0" w:evenHBand="0" w:firstRowFirstColumn="0" w:firstRowLastColumn="0" w:lastRowFirstColumn="0" w:lastRowLastColumn="0"/>
            <w:tcW w:w="3415" w:type="dxa"/>
          </w:tcPr>
          <w:p w:rsidR="001E608F" w:rsidRPr="00130412" w:rsidRDefault="001E608F" w:rsidP="00130412">
            <w:pPr>
              <w:spacing w:after="0"/>
              <w:rPr>
                <w:rFonts w:asciiTheme="majorHAnsi" w:hAnsiTheme="majorHAnsi" w:cstheme="majorHAnsi"/>
                <w:szCs w:val="20"/>
              </w:rPr>
            </w:pPr>
            <w:r w:rsidRPr="00130412">
              <w:rPr>
                <w:rFonts w:asciiTheme="majorHAnsi" w:hAnsiTheme="majorHAnsi" w:cstheme="majorHAnsi"/>
                <w:szCs w:val="20"/>
              </w:rPr>
              <w:t>Eastern Europe (EEU)</w:t>
            </w:r>
          </w:p>
        </w:tc>
        <w:tc>
          <w:tcPr>
            <w:tcW w:w="5935" w:type="dxa"/>
          </w:tcPr>
          <w:p w:rsidR="001E608F" w:rsidRPr="00130412" w:rsidRDefault="001E608F" w:rsidP="00130412">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rPr>
            </w:pPr>
            <w:r w:rsidRPr="00130412">
              <w:rPr>
                <w:rFonts w:asciiTheme="majorHAnsi" w:hAnsiTheme="majorHAnsi" w:cstheme="majorHAnsi"/>
                <w:szCs w:val="20"/>
              </w:rPr>
              <w:t>Albania, Bosnia Herzegovina, Bulgaria, Croatia, Czech Republic, Estonia, Hungary, Latvia, Lithuania, Montenegro, Poland, Romania, Serbia, Slovakia, Slovenia</w:t>
            </w:r>
          </w:p>
        </w:tc>
      </w:tr>
      <w:tr w:rsidR="001E608F" w:rsidRPr="00130412" w:rsidTr="00B321B9">
        <w:trPr>
          <w:trHeight w:val="278"/>
          <w:jc w:val="center"/>
        </w:trPr>
        <w:tc>
          <w:tcPr>
            <w:cnfStyle w:val="001000000000" w:firstRow="0" w:lastRow="0" w:firstColumn="1" w:lastColumn="0" w:oddVBand="0" w:evenVBand="0" w:oddHBand="0" w:evenHBand="0" w:firstRowFirstColumn="0" w:firstRowLastColumn="0" w:lastRowFirstColumn="0" w:lastRowLastColumn="0"/>
            <w:tcW w:w="3415" w:type="dxa"/>
          </w:tcPr>
          <w:p w:rsidR="001E608F" w:rsidRPr="00130412" w:rsidRDefault="001E608F" w:rsidP="00130412">
            <w:pPr>
              <w:spacing w:after="0"/>
              <w:rPr>
                <w:rFonts w:asciiTheme="majorHAnsi" w:hAnsiTheme="majorHAnsi" w:cstheme="majorHAnsi"/>
                <w:szCs w:val="20"/>
              </w:rPr>
            </w:pPr>
            <w:r w:rsidRPr="00130412">
              <w:rPr>
                <w:rFonts w:asciiTheme="majorHAnsi" w:hAnsiTheme="majorHAnsi" w:cstheme="majorHAnsi"/>
                <w:szCs w:val="20"/>
              </w:rPr>
              <w:t>Latin America (LAM)</w:t>
            </w:r>
          </w:p>
        </w:tc>
        <w:tc>
          <w:tcPr>
            <w:tcW w:w="5935" w:type="dxa"/>
          </w:tcPr>
          <w:p w:rsidR="001E608F" w:rsidRPr="00130412" w:rsidRDefault="001E608F" w:rsidP="00130412">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rPr>
            </w:pPr>
            <w:r w:rsidRPr="00130412">
              <w:rPr>
                <w:rFonts w:asciiTheme="majorHAnsi" w:hAnsiTheme="majorHAnsi" w:cstheme="majorHAnsi"/>
                <w:szCs w:val="20"/>
              </w:rPr>
              <w:t>Antigua and Barbuda, Argentina, Bahamas, Barbados, Belize, Bermuda, Bolivia, Brazil, Chile, Colombia, Costa Rica, Cuba, Dominican Republic, Ecuador, El Salvador, Falkland Islands, Guatemala, Guyana, Haiti, Honduras, Jamaica, Mexico Nicaragua, Panama, Paraguay, Peru, Suriname, Trinidad and Tobago, Uruguay, Venezuela</w:t>
            </w:r>
          </w:p>
        </w:tc>
      </w:tr>
      <w:tr w:rsidR="001E608F" w:rsidRPr="00130412" w:rsidTr="00B321B9">
        <w:trPr>
          <w:trHeight w:val="278"/>
          <w:jc w:val="center"/>
        </w:trPr>
        <w:tc>
          <w:tcPr>
            <w:cnfStyle w:val="001000000000" w:firstRow="0" w:lastRow="0" w:firstColumn="1" w:lastColumn="0" w:oddVBand="0" w:evenVBand="0" w:oddHBand="0" w:evenHBand="0" w:firstRowFirstColumn="0" w:firstRowLastColumn="0" w:lastRowFirstColumn="0" w:lastRowLastColumn="0"/>
            <w:tcW w:w="3415" w:type="dxa"/>
          </w:tcPr>
          <w:p w:rsidR="001E608F" w:rsidRPr="00130412" w:rsidRDefault="001E608F" w:rsidP="00130412">
            <w:pPr>
              <w:spacing w:after="0"/>
              <w:rPr>
                <w:rFonts w:asciiTheme="majorHAnsi" w:hAnsiTheme="majorHAnsi" w:cstheme="majorHAnsi"/>
                <w:szCs w:val="20"/>
              </w:rPr>
            </w:pPr>
            <w:r w:rsidRPr="00130412">
              <w:rPr>
                <w:rFonts w:asciiTheme="majorHAnsi" w:hAnsiTheme="majorHAnsi" w:cstheme="majorHAnsi"/>
                <w:szCs w:val="20"/>
              </w:rPr>
              <w:t>Middle East (MEA)</w:t>
            </w:r>
          </w:p>
        </w:tc>
        <w:tc>
          <w:tcPr>
            <w:tcW w:w="5935" w:type="dxa"/>
          </w:tcPr>
          <w:p w:rsidR="001E608F" w:rsidRPr="00130412" w:rsidRDefault="001E608F" w:rsidP="00130412">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rPr>
            </w:pPr>
            <w:r w:rsidRPr="00130412">
              <w:rPr>
                <w:rFonts w:asciiTheme="majorHAnsi" w:hAnsiTheme="majorHAnsi" w:cstheme="majorHAnsi"/>
                <w:szCs w:val="20"/>
              </w:rPr>
              <w:t>Algeria, Bahrain, Egypt, Iran, Iraq, Israel, Jordan, Kuwait, Lebanon, Libya, Morocco, Oman, Qatar, Saudi Arabia, South Sudan, Syria, Tunisia, United Arab Emirates, Yemen</w:t>
            </w:r>
          </w:p>
        </w:tc>
      </w:tr>
      <w:tr w:rsidR="001E608F" w:rsidRPr="00130412" w:rsidTr="00B321B9">
        <w:trPr>
          <w:trHeight w:val="278"/>
          <w:jc w:val="center"/>
        </w:trPr>
        <w:tc>
          <w:tcPr>
            <w:cnfStyle w:val="001000000000" w:firstRow="0" w:lastRow="0" w:firstColumn="1" w:lastColumn="0" w:oddVBand="0" w:evenVBand="0" w:oddHBand="0" w:evenHBand="0" w:firstRowFirstColumn="0" w:firstRowLastColumn="0" w:lastRowFirstColumn="0" w:lastRowLastColumn="0"/>
            <w:tcW w:w="3415" w:type="dxa"/>
          </w:tcPr>
          <w:p w:rsidR="001E608F" w:rsidRPr="00130412" w:rsidRDefault="001E608F" w:rsidP="00130412">
            <w:pPr>
              <w:spacing w:after="0"/>
              <w:rPr>
                <w:rFonts w:asciiTheme="majorHAnsi" w:hAnsiTheme="majorHAnsi" w:cstheme="majorHAnsi"/>
                <w:szCs w:val="20"/>
              </w:rPr>
            </w:pPr>
            <w:r w:rsidRPr="00130412">
              <w:rPr>
                <w:rFonts w:asciiTheme="majorHAnsi" w:hAnsiTheme="majorHAnsi" w:cstheme="majorHAnsi"/>
                <w:szCs w:val="20"/>
              </w:rPr>
              <w:t>North America (NAM)</w:t>
            </w:r>
          </w:p>
        </w:tc>
        <w:tc>
          <w:tcPr>
            <w:tcW w:w="5935" w:type="dxa"/>
          </w:tcPr>
          <w:p w:rsidR="001E608F" w:rsidRPr="00130412" w:rsidRDefault="001E608F" w:rsidP="00130412">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rPr>
            </w:pPr>
            <w:r w:rsidRPr="00130412">
              <w:rPr>
                <w:rFonts w:asciiTheme="majorHAnsi" w:hAnsiTheme="majorHAnsi" w:cstheme="majorHAnsi"/>
                <w:szCs w:val="20"/>
              </w:rPr>
              <w:t>Canada, United States</w:t>
            </w:r>
          </w:p>
        </w:tc>
      </w:tr>
      <w:tr w:rsidR="001E608F" w:rsidRPr="00130412" w:rsidTr="00B321B9">
        <w:trPr>
          <w:trHeight w:val="278"/>
          <w:jc w:val="center"/>
        </w:trPr>
        <w:tc>
          <w:tcPr>
            <w:cnfStyle w:val="001000000000" w:firstRow="0" w:lastRow="0" w:firstColumn="1" w:lastColumn="0" w:oddVBand="0" w:evenVBand="0" w:oddHBand="0" w:evenHBand="0" w:firstRowFirstColumn="0" w:firstRowLastColumn="0" w:lastRowFirstColumn="0" w:lastRowLastColumn="0"/>
            <w:tcW w:w="3415" w:type="dxa"/>
          </w:tcPr>
          <w:p w:rsidR="001E608F" w:rsidRPr="00130412" w:rsidRDefault="001E608F" w:rsidP="00130412">
            <w:pPr>
              <w:spacing w:after="0"/>
              <w:rPr>
                <w:rFonts w:asciiTheme="majorHAnsi" w:hAnsiTheme="majorHAnsi" w:cstheme="majorHAnsi"/>
                <w:szCs w:val="20"/>
              </w:rPr>
            </w:pPr>
            <w:r w:rsidRPr="00130412">
              <w:rPr>
                <w:rFonts w:asciiTheme="majorHAnsi" w:hAnsiTheme="majorHAnsi" w:cstheme="majorHAnsi"/>
                <w:szCs w:val="20"/>
              </w:rPr>
              <w:t>Pacific OECD (PAO)</w:t>
            </w:r>
          </w:p>
        </w:tc>
        <w:tc>
          <w:tcPr>
            <w:tcW w:w="5935" w:type="dxa"/>
          </w:tcPr>
          <w:p w:rsidR="001E608F" w:rsidRPr="00130412" w:rsidRDefault="001E608F" w:rsidP="00130412">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rPr>
            </w:pPr>
            <w:r w:rsidRPr="00130412">
              <w:rPr>
                <w:rFonts w:asciiTheme="majorHAnsi" w:hAnsiTheme="majorHAnsi" w:cstheme="majorHAnsi"/>
                <w:szCs w:val="20"/>
              </w:rPr>
              <w:t>Australia, Japan, New Zealand</w:t>
            </w:r>
          </w:p>
        </w:tc>
      </w:tr>
      <w:tr w:rsidR="001E608F" w:rsidRPr="00130412" w:rsidTr="00B321B9">
        <w:trPr>
          <w:trHeight w:val="278"/>
          <w:jc w:val="center"/>
        </w:trPr>
        <w:tc>
          <w:tcPr>
            <w:cnfStyle w:val="001000000000" w:firstRow="0" w:lastRow="0" w:firstColumn="1" w:lastColumn="0" w:oddVBand="0" w:evenVBand="0" w:oddHBand="0" w:evenHBand="0" w:firstRowFirstColumn="0" w:firstRowLastColumn="0" w:lastRowFirstColumn="0" w:lastRowLastColumn="0"/>
            <w:tcW w:w="3415" w:type="dxa"/>
          </w:tcPr>
          <w:p w:rsidR="001E608F" w:rsidRPr="00130412" w:rsidRDefault="001E608F" w:rsidP="00130412">
            <w:pPr>
              <w:spacing w:after="0"/>
              <w:rPr>
                <w:rFonts w:asciiTheme="majorHAnsi" w:hAnsiTheme="majorHAnsi" w:cstheme="majorHAnsi"/>
                <w:szCs w:val="20"/>
              </w:rPr>
            </w:pPr>
            <w:r w:rsidRPr="00130412">
              <w:rPr>
                <w:rFonts w:asciiTheme="majorHAnsi" w:hAnsiTheme="majorHAnsi" w:cstheme="majorHAnsi"/>
                <w:szCs w:val="20"/>
              </w:rPr>
              <w:t>Pacific Asia (PAS)</w:t>
            </w:r>
          </w:p>
        </w:tc>
        <w:tc>
          <w:tcPr>
            <w:tcW w:w="5935" w:type="dxa"/>
          </w:tcPr>
          <w:p w:rsidR="001E608F" w:rsidRPr="00130412" w:rsidRDefault="001E608F" w:rsidP="00130412">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rPr>
            </w:pPr>
            <w:r w:rsidRPr="00130412">
              <w:rPr>
                <w:rFonts w:asciiTheme="majorHAnsi" w:hAnsiTheme="majorHAnsi" w:cstheme="majorHAnsi"/>
                <w:szCs w:val="20"/>
              </w:rPr>
              <w:t>Brunei Darussalam, Fiji, French Polynesia, Indonesia, Malaysia, Myanmar, New Caledonia, Republic of Korea, Papua New Guinea, Philippines, Samoa, Singapore, Solomon Islands, Thailand, Timor-Leste, Vanuatu</w:t>
            </w:r>
          </w:p>
        </w:tc>
      </w:tr>
      <w:tr w:rsidR="001E608F" w:rsidRPr="00130412" w:rsidTr="00B321B9">
        <w:trPr>
          <w:trHeight w:val="278"/>
          <w:jc w:val="center"/>
        </w:trPr>
        <w:tc>
          <w:tcPr>
            <w:cnfStyle w:val="001000000000" w:firstRow="0" w:lastRow="0" w:firstColumn="1" w:lastColumn="0" w:oddVBand="0" w:evenVBand="0" w:oddHBand="0" w:evenHBand="0" w:firstRowFirstColumn="0" w:firstRowLastColumn="0" w:lastRowFirstColumn="0" w:lastRowLastColumn="0"/>
            <w:tcW w:w="3415" w:type="dxa"/>
          </w:tcPr>
          <w:p w:rsidR="001E608F" w:rsidRPr="00130412" w:rsidRDefault="001E608F" w:rsidP="00130412">
            <w:pPr>
              <w:spacing w:after="0"/>
              <w:rPr>
                <w:rFonts w:asciiTheme="majorHAnsi" w:hAnsiTheme="majorHAnsi" w:cstheme="majorHAnsi"/>
                <w:szCs w:val="20"/>
              </w:rPr>
            </w:pPr>
            <w:r w:rsidRPr="00130412">
              <w:rPr>
                <w:rFonts w:asciiTheme="majorHAnsi" w:hAnsiTheme="majorHAnsi" w:cstheme="majorHAnsi"/>
                <w:szCs w:val="20"/>
              </w:rPr>
              <w:t>Russia (RUS)</w:t>
            </w:r>
          </w:p>
        </w:tc>
        <w:tc>
          <w:tcPr>
            <w:tcW w:w="5935" w:type="dxa"/>
          </w:tcPr>
          <w:p w:rsidR="001E608F" w:rsidRPr="00130412" w:rsidRDefault="001E608F" w:rsidP="00130412">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rPr>
            </w:pPr>
            <w:r w:rsidRPr="00130412">
              <w:rPr>
                <w:rFonts w:asciiTheme="majorHAnsi" w:hAnsiTheme="majorHAnsi" w:cstheme="majorHAnsi"/>
                <w:szCs w:val="20"/>
              </w:rPr>
              <w:t>Russia</w:t>
            </w:r>
          </w:p>
        </w:tc>
      </w:tr>
      <w:tr w:rsidR="001E608F" w:rsidRPr="00130412" w:rsidTr="00B321B9">
        <w:trPr>
          <w:trHeight w:val="278"/>
          <w:jc w:val="center"/>
        </w:trPr>
        <w:tc>
          <w:tcPr>
            <w:cnfStyle w:val="001000000000" w:firstRow="0" w:lastRow="0" w:firstColumn="1" w:lastColumn="0" w:oddVBand="0" w:evenVBand="0" w:oddHBand="0" w:evenHBand="0" w:firstRowFirstColumn="0" w:firstRowLastColumn="0" w:lastRowFirstColumn="0" w:lastRowLastColumn="0"/>
            <w:tcW w:w="3415" w:type="dxa"/>
          </w:tcPr>
          <w:p w:rsidR="001E608F" w:rsidRPr="00130412" w:rsidRDefault="001E608F" w:rsidP="00130412">
            <w:pPr>
              <w:spacing w:after="0"/>
              <w:rPr>
                <w:rFonts w:asciiTheme="majorHAnsi" w:hAnsiTheme="majorHAnsi" w:cstheme="majorHAnsi"/>
                <w:szCs w:val="20"/>
              </w:rPr>
            </w:pPr>
            <w:r w:rsidRPr="00130412">
              <w:rPr>
                <w:rFonts w:asciiTheme="majorHAnsi" w:hAnsiTheme="majorHAnsi" w:cstheme="majorHAnsi"/>
                <w:szCs w:val="20"/>
              </w:rPr>
              <w:t>South Asia (SAS)</w:t>
            </w:r>
          </w:p>
        </w:tc>
        <w:tc>
          <w:tcPr>
            <w:tcW w:w="5935" w:type="dxa"/>
          </w:tcPr>
          <w:p w:rsidR="001E608F" w:rsidRPr="00130412" w:rsidRDefault="001E608F" w:rsidP="00130412">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rPr>
            </w:pPr>
            <w:r w:rsidRPr="00130412">
              <w:rPr>
                <w:rFonts w:asciiTheme="majorHAnsi" w:hAnsiTheme="majorHAnsi" w:cstheme="majorHAnsi"/>
                <w:szCs w:val="20"/>
              </w:rPr>
              <w:t>Afghanistan, Bangladesh, Bhutan, India, Maldives, Nepal, Pakistan, Sri Lanka</w:t>
            </w:r>
          </w:p>
        </w:tc>
      </w:tr>
      <w:tr w:rsidR="001E608F" w:rsidRPr="00130412" w:rsidTr="00B321B9">
        <w:trPr>
          <w:trHeight w:val="278"/>
          <w:jc w:val="center"/>
        </w:trPr>
        <w:tc>
          <w:tcPr>
            <w:cnfStyle w:val="001000000000" w:firstRow="0" w:lastRow="0" w:firstColumn="1" w:lastColumn="0" w:oddVBand="0" w:evenVBand="0" w:oddHBand="0" w:evenHBand="0" w:firstRowFirstColumn="0" w:firstRowLastColumn="0" w:lastRowFirstColumn="0" w:lastRowLastColumn="0"/>
            <w:tcW w:w="3415" w:type="dxa"/>
          </w:tcPr>
          <w:p w:rsidR="001E608F" w:rsidRPr="00130412" w:rsidRDefault="001E608F" w:rsidP="00130412">
            <w:pPr>
              <w:spacing w:after="0"/>
              <w:rPr>
                <w:rFonts w:asciiTheme="majorHAnsi" w:hAnsiTheme="majorHAnsi" w:cstheme="majorHAnsi"/>
                <w:szCs w:val="20"/>
              </w:rPr>
            </w:pPr>
            <w:r w:rsidRPr="00130412">
              <w:rPr>
                <w:rFonts w:asciiTheme="majorHAnsi" w:hAnsiTheme="majorHAnsi" w:cstheme="majorHAnsi"/>
                <w:szCs w:val="20"/>
              </w:rPr>
              <w:t>South Caucasus States (SCS)</w:t>
            </w:r>
          </w:p>
        </w:tc>
        <w:tc>
          <w:tcPr>
            <w:tcW w:w="5935" w:type="dxa"/>
          </w:tcPr>
          <w:p w:rsidR="001E608F" w:rsidRPr="00130412" w:rsidRDefault="001E608F" w:rsidP="00130412">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rPr>
            </w:pPr>
            <w:r w:rsidRPr="00130412">
              <w:rPr>
                <w:rFonts w:asciiTheme="majorHAnsi" w:hAnsiTheme="majorHAnsi" w:cstheme="majorHAnsi"/>
                <w:szCs w:val="20"/>
              </w:rPr>
              <w:t>Armenia, Azerbaijan, Georgia</w:t>
            </w:r>
          </w:p>
        </w:tc>
      </w:tr>
      <w:tr w:rsidR="001E608F" w:rsidRPr="00130412" w:rsidTr="00B321B9">
        <w:trPr>
          <w:trHeight w:val="278"/>
          <w:jc w:val="center"/>
        </w:trPr>
        <w:tc>
          <w:tcPr>
            <w:cnfStyle w:val="001000000000" w:firstRow="0" w:lastRow="0" w:firstColumn="1" w:lastColumn="0" w:oddVBand="0" w:evenVBand="0" w:oddHBand="0" w:evenHBand="0" w:firstRowFirstColumn="0" w:firstRowLastColumn="0" w:lastRowFirstColumn="0" w:lastRowLastColumn="0"/>
            <w:tcW w:w="3415" w:type="dxa"/>
          </w:tcPr>
          <w:p w:rsidR="001E608F" w:rsidRPr="00130412" w:rsidRDefault="001E608F" w:rsidP="00130412">
            <w:pPr>
              <w:spacing w:after="0"/>
              <w:rPr>
                <w:rFonts w:asciiTheme="majorHAnsi" w:hAnsiTheme="majorHAnsi" w:cstheme="majorHAnsi"/>
                <w:szCs w:val="20"/>
              </w:rPr>
            </w:pPr>
            <w:r w:rsidRPr="00130412">
              <w:rPr>
                <w:rFonts w:asciiTheme="majorHAnsi" w:hAnsiTheme="majorHAnsi" w:cstheme="majorHAnsi"/>
                <w:szCs w:val="20"/>
              </w:rPr>
              <w:t>Belarus, Moldova, Ukraine (UBM)</w:t>
            </w:r>
          </w:p>
        </w:tc>
        <w:tc>
          <w:tcPr>
            <w:tcW w:w="5935" w:type="dxa"/>
          </w:tcPr>
          <w:p w:rsidR="001E608F" w:rsidRPr="00130412" w:rsidRDefault="001E608F" w:rsidP="00130412">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rPr>
            </w:pPr>
            <w:r w:rsidRPr="00130412">
              <w:rPr>
                <w:rFonts w:asciiTheme="majorHAnsi" w:hAnsiTheme="majorHAnsi" w:cstheme="majorHAnsi"/>
                <w:szCs w:val="20"/>
              </w:rPr>
              <w:t>Belarus, Moldova, Ukraine</w:t>
            </w:r>
          </w:p>
        </w:tc>
      </w:tr>
    </w:tbl>
    <w:p w:rsidR="001E608F" w:rsidRPr="000D4580" w:rsidRDefault="001E608F" w:rsidP="00D140C1">
      <w:pPr>
        <w:pStyle w:val="Caption"/>
        <w:spacing w:line="360" w:lineRule="auto"/>
        <w:rPr>
          <w:rFonts w:asciiTheme="majorHAnsi" w:hAnsiTheme="majorHAnsi" w:cstheme="majorHAnsi"/>
          <w:i w:val="0"/>
          <w:sz w:val="20"/>
          <w:szCs w:val="20"/>
        </w:rPr>
      </w:pPr>
      <w:r w:rsidRPr="000D4580">
        <w:rPr>
          <w:rFonts w:asciiTheme="majorHAnsi" w:hAnsiTheme="majorHAnsi" w:cstheme="majorHAnsi"/>
          <w:b/>
          <w:i w:val="0"/>
          <w:color w:val="auto"/>
          <w:sz w:val="20"/>
          <w:szCs w:val="20"/>
        </w:rPr>
        <w:t xml:space="preserve">Table </w:t>
      </w:r>
      <w:r w:rsidR="00130412">
        <w:rPr>
          <w:rFonts w:asciiTheme="majorHAnsi" w:hAnsiTheme="majorHAnsi" w:cstheme="majorHAnsi"/>
          <w:b/>
          <w:i w:val="0"/>
          <w:color w:val="auto"/>
          <w:sz w:val="20"/>
          <w:szCs w:val="20"/>
        </w:rPr>
        <w:t>3</w:t>
      </w:r>
      <w:r w:rsidRPr="000D4580">
        <w:rPr>
          <w:rFonts w:asciiTheme="majorHAnsi" w:hAnsiTheme="majorHAnsi" w:cstheme="majorHAnsi"/>
          <w:b/>
          <w:i w:val="0"/>
          <w:color w:val="auto"/>
          <w:sz w:val="20"/>
          <w:szCs w:val="20"/>
        </w:rPr>
        <w:t xml:space="preserve">. </w:t>
      </w:r>
      <w:r w:rsidRPr="000D4580">
        <w:rPr>
          <w:rFonts w:asciiTheme="majorHAnsi" w:hAnsiTheme="majorHAnsi" w:cstheme="majorHAnsi"/>
          <w:i w:val="0"/>
          <w:color w:val="auto"/>
          <w:sz w:val="20"/>
          <w:szCs w:val="20"/>
        </w:rPr>
        <w:t>Region to country correspondence in MESSAGE R14.</w:t>
      </w:r>
    </w:p>
    <w:p w:rsidR="001E608F" w:rsidRPr="000D4580" w:rsidRDefault="001E608F" w:rsidP="00D140C1">
      <w:pPr>
        <w:spacing w:line="360" w:lineRule="auto"/>
        <w:rPr>
          <w:rFonts w:asciiTheme="majorHAnsi" w:hAnsiTheme="majorHAnsi" w:cstheme="majorHAnsi"/>
        </w:rPr>
      </w:pPr>
    </w:p>
    <w:p w:rsidR="009F0E6C" w:rsidRPr="000D4580" w:rsidRDefault="009F0E6C" w:rsidP="00D140C1">
      <w:pPr>
        <w:pStyle w:val="Heading1"/>
        <w:spacing w:line="360" w:lineRule="auto"/>
        <w:rPr>
          <w:rFonts w:cstheme="majorHAnsi"/>
        </w:rPr>
      </w:pPr>
      <w:r w:rsidRPr="000D4580">
        <w:rPr>
          <w:rFonts w:cstheme="majorHAnsi"/>
        </w:rPr>
        <w:lastRenderedPageBreak/>
        <w:t>4</w:t>
      </w:r>
      <w:r w:rsidRPr="000D4580">
        <w:rPr>
          <w:rFonts w:cstheme="majorHAnsi"/>
        </w:rPr>
        <w:tab/>
        <w:t>Tariff rate aggregation</w:t>
      </w:r>
    </w:p>
    <w:p w:rsidR="009F0E6C" w:rsidRPr="000D4580" w:rsidRDefault="009F0E6C" w:rsidP="00D140C1">
      <w:pPr>
        <w:spacing w:line="360" w:lineRule="auto"/>
        <w:rPr>
          <w:rFonts w:asciiTheme="majorHAnsi" w:hAnsiTheme="majorHAnsi" w:cstheme="majorHAnsi"/>
        </w:rPr>
      </w:pPr>
    </w:p>
    <w:p w:rsidR="009F0E6C" w:rsidRPr="000D4580" w:rsidRDefault="009F0E6C" w:rsidP="00D140C1">
      <w:pPr>
        <w:spacing w:line="360" w:lineRule="auto"/>
        <w:ind w:firstLine="720"/>
        <w:rPr>
          <w:rFonts w:asciiTheme="majorHAnsi" w:hAnsiTheme="majorHAnsi" w:cstheme="majorHAnsi"/>
        </w:rPr>
      </w:pPr>
      <w:r w:rsidRPr="000D4580">
        <w:rPr>
          <w:rFonts w:asciiTheme="majorHAnsi" w:hAnsiTheme="majorHAnsi" w:cstheme="majorHAnsi"/>
        </w:rPr>
        <w:t xml:space="preserve">Tariffs are endogenous to trade flow; while tariffs can impact the amount of imports to a country, the amount of imports can also influence whether and how much a tariff is imposed. This poses an issue when aggregating tariff rates so that they are identified by </w:t>
      </w:r>
      <w:proofErr w:type="spellStart"/>
      <w:r w:rsidRPr="000D4580">
        <w:rPr>
          <w:rFonts w:asciiTheme="majorHAnsi" w:hAnsiTheme="majorHAnsi" w:cstheme="majorHAnsi"/>
        </w:rPr>
        <w:t>MESSAGEix</w:t>
      </w:r>
      <w:proofErr w:type="spellEnd"/>
      <w:r w:rsidRPr="000D4580">
        <w:rPr>
          <w:rFonts w:asciiTheme="majorHAnsi" w:hAnsiTheme="majorHAnsi" w:cstheme="majorHAnsi"/>
        </w:rPr>
        <w:t xml:space="preserve">-represented region. To address this </w:t>
      </w:r>
      <w:proofErr w:type="spellStart"/>
      <w:r w:rsidRPr="000D4580">
        <w:rPr>
          <w:rFonts w:asciiTheme="majorHAnsi" w:hAnsiTheme="majorHAnsi" w:cstheme="majorHAnsi"/>
        </w:rPr>
        <w:t>endogeneity</w:t>
      </w:r>
      <w:proofErr w:type="spellEnd"/>
      <w:r w:rsidRPr="000D4580">
        <w:rPr>
          <w:rFonts w:asciiTheme="majorHAnsi" w:hAnsiTheme="majorHAnsi" w:cstheme="majorHAnsi"/>
        </w:rPr>
        <w:t xml:space="preserve">, we follow the aggregation methodology put forth in </w:t>
      </w:r>
      <w:proofErr w:type="spellStart"/>
      <w:r w:rsidRPr="000D4580">
        <w:rPr>
          <w:rFonts w:asciiTheme="majorHAnsi" w:hAnsiTheme="majorHAnsi" w:cstheme="majorHAnsi"/>
        </w:rPr>
        <w:t>Guimbard</w:t>
      </w:r>
      <w:proofErr w:type="spellEnd"/>
      <w:r w:rsidRPr="000D4580">
        <w:rPr>
          <w:rFonts w:asciiTheme="majorHAnsi" w:hAnsiTheme="majorHAnsi" w:cstheme="majorHAnsi"/>
        </w:rPr>
        <w:t xml:space="preserve"> et al. (2012) and </w:t>
      </w:r>
      <w:proofErr w:type="spellStart"/>
      <w:r w:rsidRPr="000D4580">
        <w:rPr>
          <w:rFonts w:asciiTheme="majorHAnsi" w:hAnsiTheme="majorHAnsi" w:cstheme="majorHAnsi"/>
        </w:rPr>
        <w:t>Bouët</w:t>
      </w:r>
      <w:proofErr w:type="spellEnd"/>
      <w:r w:rsidRPr="000D4580">
        <w:rPr>
          <w:rFonts w:asciiTheme="majorHAnsi" w:hAnsiTheme="majorHAnsi" w:cstheme="majorHAnsi"/>
        </w:rPr>
        <w:t xml:space="preserve"> et al. (2008) </w:t>
      </w:r>
      <w:r w:rsidRPr="000D4580">
        <w:rPr>
          <w:rFonts w:asciiTheme="majorHAnsi" w:hAnsiTheme="majorHAnsi" w:cstheme="majorHAnsi"/>
        </w:rPr>
        <w:fldChar w:fldCharType="begin" w:fldLock="1"/>
      </w:r>
      <w:r w:rsidRPr="000D4580">
        <w:rPr>
          <w:rFonts w:asciiTheme="majorHAnsi" w:hAnsiTheme="majorHAnsi" w:cstheme="majorHAnsi"/>
        </w:rPr>
        <w:instrText>ADDIN CSL_CITATION {"citationItems":[{"id":"ITEM-1","itemData":{"ISSN":"12408095","abstract":"The third version of the MAcMap-HS6 database, built as a result of a joint effort of CEPII (Centre d'Études Prospectives et d'ÉInformations Internationales, Paris) and ITC (International Trade Centre, Geneva), based on ITC's MAcMap raw data, proposes an exhaustive and consistent measure of applied, preferential tariff protection in 2007. The methodology, similar to the one used for previous versions, relies on reference groups of countries to limit the endogeneity bias faced when computing ad valorem equivalents of tariff protection, and when computing averages at aggregate levels. The world average applied protection level in 2007 is estimated to be 4.4%. Compared to 2004, this is a decline by nearly 0.7 percentage point, mainly due to unilateral liberalizations and to new preferential trade agreements. The decline in the ad valorem equivalent of specific tariffs of some agricultural products, linked to the surge in world prices, lowers the average protection. In the opposite way, the increasing share of developing countries, where protection is higher, tends to raise the world average. La base de données MAcMap-HS6 résulte d'un travail mené conjointement par le CEPII (Centre d'Études Prospectives et d'Informations Internationales, Paris) et le CCI (Centre de Commerce International, Genève) sur les données source de MAcMap du CCI. Elle propose une mesure exhaustive et cohérente de la protection tarifaire appliquée en 2007. La méthodologie, proche de celles utilisées dans les versions précédentes, s'appuie sur des groupes de pays de référence pour limiter le biais d'endogénéité, tant lors du calcul de l'équivalent ad-valorem des droits de douane que lors de leur agrégation sectorielle et/ou géographique. En 2007, le droit de douane moyen appliqué par l'ensemble des pays du monde est estimé à 4,4%, en baisse de 0,7 point de pourcentage par rapport à 2004. Les libéralisations unilatérales et l'entrée en vigueur de nouveaux accords commerciaux préférentiels sont à l'origine de ce mouvement d'ouverture. S'y ajoute la baisse des équivalents ad-valorem des droits de douanes spécifiques sur certains produits agricoles, consécutive à la hausse des prix mondiaux. À l'inverse, la part croissante des pays en développement – dont la protection aux frontières est plus élevée que celle des pays développés – augmente le niveau de protection mondiale.","author":[{"dropping-particle":"","family":"Guimbard","given":"Houssein","non-dropping-particle":"","parse-names":false,"suffix":""},{"dropping-particle":"","family":"Jean","given":"Sébastien","non-dropping-particle":"","parse-names":false,"suffix":""},{"dropping-particle":"","family":"Mimouni","given":"Mondher","non-dropping-particle":"","parse-names":false,"suffix":""},{"dropping-particle":"","family":"Pichot","given":"Xavier","non-dropping-particle":"","parse-names":false,"suffix":""}],"container-title":"Economie Internationale","id":"ITEM-1","issued":{"date-parts":[["2012"]]},"title":"MAcMap-HS6 2007, an exhaustive and consistent measure of applied protection in 2007","type":"article-journal"},"uris":["http://www.mendeley.com/documents/?uuid=df12ca21-32a8-45be-b6b9-d2fd28c75c74"]},{"id":"ITEM-2","itemData":{"DOI":"10.1111/j.1467-9396.2008.00753.x","ISSN":"09657576","abstract":"This paper presents MAcMapHS-6, a database providing a consistent, ad valorem equivalent measure of tariff duties and tariff rate quotas for 163 countries and 208 partners, at the six-digit level of the Harmonized System (5111 products), accounting for all preferential agreements. We describe the methodology used to compute and aggregate an ad valorem equivalent of applied protection. Emphasis is placed on minimizing the endogeneity bias in the aggregation procedure, while acknowledging structural differences in export specialization. The resulting quantitative assessment is illustrated by giving an overview of applied protection across the world in 2001, in terms of average as well as distribution.","author":[{"dropping-particle":"","family":"Bouët","given":"Antoine","non-dropping-particle":"","parse-names":false,"suffix":""},{"dropping-particle":"","family":"Decreux","given":"Yvan","non-dropping-particle":"","parse-names":false,"suffix":""},{"dropping-particle":"","family":"Fontagné","given":"Lionel","non-dropping-particle":"","parse-names":false,"suffix":""},{"dropping-particle":"","family":"Jean","given":"Sébastien","non-dropping-particle":"","parse-names":false,"suffix":""},{"dropping-particle":"","family":"Laborde","given":"David","non-dropping-particle":"","parse-names":false,"suffix":""}],"container-title":"Review of International Economics","id":"ITEM-2","issued":{"date-parts":[["2008"]]},"title":"Assessing applied protection across the world","type":"article-journal"},"uris":["http://www.mendeley.com/documents/?uuid=5ad82ebb-8417-4e9d-9cbf-7e570dcdc004"]}],"mendeley":{"formattedCitation":"[29,30]","plainTextFormattedCitation":"[29,30]","previouslyFormattedCitation":"[29,30]"},"properties":{"noteIndex":0},"schema":"https://github.com/citation-style-language/schema/raw/master/csl-citation.json"}</w:instrText>
      </w:r>
      <w:r w:rsidRPr="000D4580">
        <w:rPr>
          <w:rFonts w:asciiTheme="majorHAnsi" w:hAnsiTheme="majorHAnsi" w:cstheme="majorHAnsi"/>
        </w:rPr>
        <w:fldChar w:fldCharType="separate"/>
      </w:r>
      <w:r w:rsidRPr="000D4580">
        <w:rPr>
          <w:rFonts w:asciiTheme="majorHAnsi" w:hAnsiTheme="majorHAnsi" w:cstheme="majorHAnsi"/>
          <w:noProof/>
        </w:rPr>
        <w:t>[29,30]</w:t>
      </w:r>
      <w:r w:rsidRPr="000D4580">
        <w:rPr>
          <w:rFonts w:asciiTheme="majorHAnsi" w:hAnsiTheme="majorHAnsi" w:cstheme="majorHAnsi"/>
        </w:rPr>
        <w:fldChar w:fldCharType="end"/>
      </w:r>
      <w:r w:rsidRPr="000D4580">
        <w:rPr>
          <w:rFonts w:asciiTheme="majorHAnsi" w:hAnsiTheme="majorHAnsi" w:cstheme="majorHAnsi"/>
        </w:rPr>
        <w:t>. We first cluster countries into reference groups by GDP and trade openness. This gives us an exogenous group of countries to compare variations in tariff rates. We then assign weights to each observation in the WTO, defined as:</w:t>
      </w:r>
    </w:p>
    <w:p w:rsidR="009F0E6C" w:rsidRPr="000D4580" w:rsidRDefault="000148C0" w:rsidP="00D140C1">
      <w:pPr>
        <w:spacing w:line="360" w:lineRule="auto"/>
        <w:rPr>
          <w:rFonts w:asciiTheme="majorHAnsi" w:hAnsiTheme="majorHAnsi" w:cstheme="majorHAnsi"/>
          <w:iCs/>
        </w:rPr>
      </w:pPr>
      <m:oMathPara>
        <m:oMath>
          <m:sSub>
            <m:sSubPr>
              <m:ctrlPr>
                <w:rPr>
                  <w:rFonts w:ascii="Cambria Math" w:hAnsi="Cambria Math" w:cstheme="majorHAnsi"/>
                  <w:i/>
                  <w:iCs/>
                </w:rPr>
              </m:ctrlPr>
            </m:sSubPr>
            <m:e>
              <m:r>
                <w:rPr>
                  <w:rFonts w:ascii="Cambria Math" w:hAnsi="Cambria Math" w:cstheme="majorHAnsi"/>
                </w:rPr>
                <m:t>w</m:t>
              </m:r>
            </m:e>
            <m:sub>
              <m:r>
                <w:rPr>
                  <w:rFonts w:ascii="Cambria Math" w:hAnsi="Cambria Math" w:cstheme="majorHAnsi"/>
                </w:rPr>
                <m:t>jpet</m:t>
              </m:r>
            </m:sub>
          </m:sSub>
          <m:r>
            <w:rPr>
              <w:rFonts w:ascii="Cambria Math" w:hAnsi="Cambria Math" w:cstheme="majorHAnsi"/>
            </w:rPr>
            <m:t>=</m:t>
          </m:r>
          <m:sSub>
            <m:sSubPr>
              <m:ctrlPr>
                <w:rPr>
                  <w:rFonts w:ascii="Cambria Math" w:hAnsi="Cambria Math" w:cstheme="majorHAnsi"/>
                  <w:i/>
                  <w:iCs/>
                </w:rPr>
              </m:ctrlPr>
            </m:sSubPr>
            <m:e>
              <m:r>
                <w:rPr>
                  <w:rFonts w:ascii="Cambria Math" w:hAnsi="Cambria Math" w:cstheme="majorHAnsi"/>
                </w:rPr>
                <m:t>M</m:t>
              </m:r>
            </m:e>
            <m:sub>
              <m:r>
                <w:rPr>
                  <w:rFonts w:ascii="Cambria Math" w:hAnsi="Cambria Math" w:cstheme="majorHAnsi"/>
                </w:rPr>
                <m:t>jpet,REF</m:t>
              </m:r>
            </m:sub>
          </m:sSub>
          <m:d>
            <m:dPr>
              <m:begChr m:val="["/>
              <m:endChr m:val="]"/>
              <m:ctrlPr>
                <w:rPr>
                  <w:rFonts w:ascii="Cambria Math" w:hAnsi="Cambria Math" w:cstheme="majorHAnsi"/>
                  <w:i/>
                  <w:iCs/>
                </w:rPr>
              </m:ctrlPr>
            </m:dPr>
            <m:e>
              <m:f>
                <m:fPr>
                  <m:ctrlPr>
                    <w:rPr>
                      <w:rFonts w:ascii="Cambria Math" w:hAnsi="Cambria Math" w:cstheme="majorHAnsi"/>
                      <w:i/>
                      <w:iCs/>
                    </w:rPr>
                  </m:ctrlPr>
                </m:fPr>
                <m:num>
                  <m:sSub>
                    <m:sSubPr>
                      <m:ctrlPr>
                        <w:rPr>
                          <w:rFonts w:ascii="Cambria Math" w:hAnsi="Cambria Math" w:cstheme="majorHAnsi"/>
                          <w:i/>
                          <w:iCs/>
                        </w:rPr>
                      </m:ctrlPr>
                    </m:sSubPr>
                    <m:e>
                      <m:r>
                        <w:rPr>
                          <w:rFonts w:ascii="Cambria Math" w:hAnsi="Cambria Math" w:cstheme="majorHAnsi"/>
                        </w:rPr>
                        <m:t>M</m:t>
                      </m:r>
                    </m:e>
                    <m:sub>
                      <m:r>
                        <w:rPr>
                          <w:rFonts w:ascii="Cambria Math" w:hAnsi="Cambria Math" w:cstheme="majorHAnsi"/>
                        </w:rPr>
                        <m:t>j...</m:t>
                      </m:r>
                    </m:sub>
                  </m:sSub>
                </m:num>
                <m:den>
                  <m:sSub>
                    <m:sSubPr>
                      <m:ctrlPr>
                        <w:rPr>
                          <w:rFonts w:ascii="Cambria Math" w:hAnsi="Cambria Math" w:cstheme="majorHAnsi"/>
                          <w:i/>
                          <w:iCs/>
                        </w:rPr>
                      </m:ctrlPr>
                    </m:sSubPr>
                    <m:e>
                      <m:r>
                        <w:rPr>
                          <w:rFonts w:ascii="Cambria Math" w:hAnsi="Cambria Math" w:cstheme="majorHAnsi"/>
                        </w:rPr>
                        <m:t>M</m:t>
                      </m:r>
                    </m:e>
                    <m:sub>
                      <m:r>
                        <w:rPr>
                          <w:rFonts w:ascii="Cambria Math" w:hAnsi="Cambria Math" w:cstheme="majorHAnsi"/>
                        </w:rPr>
                        <m:t>.....REF</m:t>
                      </m:r>
                    </m:sub>
                  </m:sSub>
                </m:den>
              </m:f>
            </m:e>
          </m:d>
        </m:oMath>
      </m:oMathPara>
    </w:p>
    <w:p w:rsidR="009F0E6C" w:rsidRPr="000D4580" w:rsidRDefault="009F0E6C" w:rsidP="00D140C1">
      <w:pPr>
        <w:spacing w:line="360" w:lineRule="auto"/>
        <w:ind w:firstLine="720"/>
        <w:rPr>
          <w:rFonts w:asciiTheme="majorHAnsi" w:hAnsiTheme="majorHAnsi" w:cstheme="majorHAnsi"/>
          <w:iCs/>
        </w:rPr>
      </w:pPr>
      <w:r w:rsidRPr="000D4580">
        <w:rPr>
          <w:rFonts w:asciiTheme="majorHAnsi" w:hAnsiTheme="majorHAnsi" w:cstheme="majorHAnsi"/>
          <w:iCs/>
        </w:rPr>
        <w:t xml:space="preserve">Where </w:t>
      </w:r>
      <m:oMath>
        <m:sSub>
          <m:sSubPr>
            <m:ctrlPr>
              <w:rPr>
                <w:rFonts w:ascii="Cambria Math" w:hAnsi="Cambria Math" w:cstheme="majorHAnsi"/>
                <w:i/>
                <w:iCs/>
              </w:rPr>
            </m:ctrlPr>
          </m:sSubPr>
          <m:e>
            <m:r>
              <w:rPr>
                <w:rFonts w:ascii="Cambria Math" w:hAnsi="Cambria Math" w:cstheme="majorHAnsi"/>
              </w:rPr>
              <m:t>w</m:t>
            </m:r>
          </m:e>
          <m:sub>
            <m:r>
              <w:rPr>
                <w:rFonts w:ascii="Cambria Math" w:hAnsi="Cambria Math" w:cstheme="majorHAnsi"/>
              </w:rPr>
              <m:t>ijpet</m:t>
            </m:r>
          </m:sub>
        </m:sSub>
      </m:oMath>
      <w:r w:rsidRPr="000D4580">
        <w:rPr>
          <w:rFonts w:asciiTheme="majorHAnsi" w:hAnsiTheme="majorHAnsi" w:cstheme="majorHAnsi"/>
          <w:iCs/>
        </w:rPr>
        <w:t xml:space="preserve"> is the weight for a given </w:t>
      </w:r>
      <w:r w:rsidRPr="000D4580">
        <w:rPr>
          <w:rFonts w:asciiTheme="majorHAnsi" w:hAnsiTheme="majorHAnsi" w:cstheme="majorHAnsi"/>
        </w:rPr>
        <w:t xml:space="preserve">importer </w:t>
      </w:r>
      <m:oMath>
        <m:r>
          <w:rPr>
            <w:rFonts w:ascii="Cambria Math" w:hAnsi="Cambria Math" w:cstheme="majorHAnsi"/>
          </w:rPr>
          <m:t>j</m:t>
        </m:r>
      </m:oMath>
      <w:r w:rsidRPr="000D4580">
        <w:rPr>
          <w:rFonts w:asciiTheme="majorHAnsi" w:hAnsiTheme="majorHAnsi" w:cstheme="majorHAnsi"/>
        </w:rPr>
        <w:t xml:space="preserve">, HS6 product code </w:t>
      </w:r>
      <m:oMath>
        <m:r>
          <w:rPr>
            <w:rFonts w:ascii="Cambria Math" w:hAnsi="Cambria Math" w:cstheme="majorHAnsi"/>
          </w:rPr>
          <m:t>p</m:t>
        </m:r>
      </m:oMath>
      <w:r w:rsidRPr="000D4580">
        <w:rPr>
          <w:rFonts w:asciiTheme="majorHAnsi" w:hAnsiTheme="majorHAnsi" w:cstheme="majorHAnsi"/>
        </w:rPr>
        <w:t xml:space="preserve"> which is associated with energy commodity </w:t>
      </w:r>
      <m:oMath>
        <m:r>
          <w:rPr>
            <w:rFonts w:ascii="Cambria Math" w:hAnsi="Cambria Math" w:cstheme="majorHAnsi"/>
          </w:rPr>
          <m:t>e</m:t>
        </m:r>
      </m:oMath>
      <w:r w:rsidRPr="000D4580">
        <w:rPr>
          <w:rFonts w:asciiTheme="majorHAnsi" w:hAnsiTheme="majorHAnsi" w:cstheme="majorHAnsi"/>
        </w:rPr>
        <w:t xml:space="preserve">, in year </w:t>
      </w:r>
      <m:oMath>
        <m:r>
          <w:rPr>
            <w:rFonts w:ascii="Cambria Math" w:hAnsi="Cambria Math" w:cstheme="majorHAnsi"/>
          </w:rPr>
          <m:t>t</m:t>
        </m:r>
      </m:oMath>
      <w:r w:rsidRPr="000D4580">
        <w:rPr>
          <w:rFonts w:asciiTheme="majorHAnsi" w:hAnsiTheme="majorHAnsi" w:cstheme="majorHAnsi"/>
        </w:rPr>
        <w:t xml:space="preserve">; </w:t>
      </w:r>
      <m:oMath>
        <m:sSub>
          <m:sSubPr>
            <m:ctrlPr>
              <w:rPr>
                <w:rFonts w:ascii="Cambria Math" w:hAnsi="Cambria Math" w:cstheme="majorHAnsi"/>
                <w:i/>
                <w:iCs/>
              </w:rPr>
            </m:ctrlPr>
          </m:sSubPr>
          <m:e>
            <m:r>
              <w:rPr>
                <w:rFonts w:ascii="Cambria Math" w:hAnsi="Cambria Math" w:cstheme="majorHAnsi"/>
              </w:rPr>
              <m:t>M</m:t>
            </m:r>
          </m:e>
          <m:sub>
            <m:r>
              <w:rPr>
                <w:rFonts w:ascii="Cambria Math" w:hAnsi="Cambria Math" w:cstheme="majorHAnsi"/>
              </w:rPr>
              <m:t>jpet,REF</m:t>
            </m:r>
          </m:sub>
        </m:sSub>
      </m:oMath>
      <w:r w:rsidRPr="000D4580">
        <w:rPr>
          <w:rFonts w:asciiTheme="majorHAnsi" w:hAnsiTheme="majorHAnsi" w:cstheme="majorHAnsi"/>
          <w:iCs/>
        </w:rPr>
        <w:t xml:space="preserve"> are imports of </w:t>
      </w:r>
      <m:oMath>
        <m:r>
          <w:rPr>
            <w:rFonts w:ascii="Cambria Math" w:hAnsi="Cambria Math" w:cstheme="majorHAnsi"/>
          </w:rPr>
          <m:t>p</m:t>
        </m:r>
      </m:oMath>
      <w:r w:rsidRPr="000D4580">
        <w:rPr>
          <w:rFonts w:asciiTheme="majorHAnsi" w:hAnsiTheme="majorHAnsi" w:cstheme="majorHAnsi"/>
        </w:rPr>
        <w:t xml:space="preserve"> to </w:t>
      </w:r>
      <m:oMath>
        <m:r>
          <w:rPr>
            <w:rFonts w:ascii="Cambria Math" w:hAnsi="Cambria Math" w:cstheme="majorHAnsi"/>
          </w:rPr>
          <m:t>j</m:t>
        </m:r>
      </m:oMath>
      <w:r w:rsidRPr="000D4580">
        <w:rPr>
          <w:rFonts w:asciiTheme="majorHAnsi" w:hAnsiTheme="majorHAnsi" w:cstheme="majorHAnsi"/>
        </w:rPr>
        <w:t xml:space="preserve"> in year </w:t>
      </w:r>
      <m:oMath>
        <m:r>
          <w:rPr>
            <w:rFonts w:ascii="Cambria Math" w:hAnsi="Cambria Math" w:cstheme="majorHAnsi"/>
          </w:rPr>
          <m:t>t</m:t>
        </m:r>
      </m:oMath>
      <w:r w:rsidRPr="000D4580">
        <w:rPr>
          <w:rFonts w:asciiTheme="majorHAnsi" w:hAnsiTheme="majorHAnsi" w:cstheme="majorHAnsi"/>
        </w:rPr>
        <w:t xml:space="preserve">; </w:t>
      </w:r>
      <m:oMath>
        <m:sSub>
          <m:sSubPr>
            <m:ctrlPr>
              <w:rPr>
                <w:rFonts w:ascii="Cambria Math" w:hAnsi="Cambria Math" w:cstheme="majorHAnsi"/>
                <w:i/>
                <w:iCs/>
              </w:rPr>
            </m:ctrlPr>
          </m:sSubPr>
          <m:e>
            <m:r>
              <w:rPr>
                <w:rFonts w:ascii="Cambria Math" w:hAnsi="Cambria Math" w:cstheme="majorHAnsi"/>
              </w:rPr>
              <m:t>M</m:t>
            </m:r>
          </m:e>
          <m:sub>
            <m:r>
              <w:rPr>
                <w:rFonts w:ascii="Cambria Math" w:hAnsi="Cambria Math" w:cstheme="majorHAnsi"/>
              </w:rPr>
              <m:t>j...</m:t>
            </m:r>
          </m:sub>
        </m:sSub>
      </m:oMath>
      <w:r w:rsidRPr="000D4580">
        <w:rPr>
          <w:rFonts w:asciiTheme="majorHAnsi" w:hAnsiTheme="majorHAnsi" w:cstheme="majorHAnsi"/>
          <w:iCs/>
        </w:rPr>
        <w:t xml:space="preserve"> is the total imports to country </w:t>
      </w:r>
      <m:oMath>
        <m:r>
          <w:rPr>
            <w:rFonts w:ascii="Cambria Math" w:hAnsi="Cambria Math" w:cstheme="majorHAnsi"/>
          </w:rPr>
          <m:t>j</m:t>
        </m:r>
      </m:oMath>
      <w:r w:rsidRPr="000D4580">
        <w:rPr>
          <w:rFonts w:asciiTheme="majorHAnsi" w:hAnsiTheme="majorHAnsi" w:cstheme="majorHAnsi"/>
          <w:iCs/>
        </w:rPr>
        <w:t xml:space="preserve">, and </w:t>
      </w:r>
      <m:oMath>
        <m:sSub>
          <m:sSubPr>
            <m:ctrlPr>
              <w:rPr>
                <w:rFonts w:ascii="Cambria Math" w:hAnsi="Cambria Math" w:cstheme="majorHAnsi"/>
                <w:i/>
                <w:iCs/>
              </w:rPr>
            </m:ctrlPr>
          </m:sSubPr>
          <m:e>
            <m:r>
              <w:rPr>
                <w:rFonts w:ascii="Cambria Math" w:hAnsi="Cambria Math" w:cstheme="majorHAnsi"/>
              </w:rPr>
              <m:t>M</m:t>
            </m:r>
          </m:e>
          <m:sub>
            <m:r>
              <w:rPr>
                <w:rFonts w:ascii="Cambria Math" w:hAnsi="Cambria Math" w:cstheme="majorHAnsi"/>
              </w:rPr>
              <m:t>.....REF</m:t>
            </m:r>
          </m:sub>
        </m:sSub>
      </m:oMath>
      <w:r w:rsidRPr="000D4580">
        <w:rPr>
          <w:rFonts w:asciiTheme="majorHAnsi" w:hAnsiTheme="majorHAnsi" w:cstheme="majorHAnsi"/>
          <w:iCs/>
        </w:rPr>
        <w:t xml:space="preserve"> is the total imports to the reference group associated with </w:t>
      </w:r>
      <m:oMath>
        <m:r>
          <w:rPr>
            <w:rFonts w:ascii="Cambria Math" w:hAnsi="Cambria Math" w:cstheme="majorHAnsi"/>
          </w:rPr>
          <m:t>j</m:t>
        </m:r>
      </m:oMath>
      <w:r w:rsidRPr="000D4580">
        <w:rPr>
          <w:rFonts w:asciiTheme="majorHAnsi" w:hAnsiTheme="majorHAnsi" w:cstheme="majorHAnsi"/>
          <w:iCs/>
        </w:rPr>
        <w:t xml:space="preserve">. Finally, we aggregate the data by calculating the importer-energy-year level mean, weighted </w:t>
      </w:r>
      <w:proofErr w:type="gramStart"/>
      <w:r w:rsidRPr="000D4580">
        <w:rPr>
          <w:rFonts w:asciiTheme="majorHAnsi" w:hAnsiTheme="majorHAnsi" w:cstheme="majorHAnsi"/>
          <w:iCs/>
        </w:rPr>
        <w:t xml:space="preserve">by </w:t>
      </w:r>
      <w:proofErr w:type="gramEnd"/>
      <m:oMath>
        <m:sSub>
          <m:sSubPr>
            <m:ctrlPr>
              <w:rPr>
                <w:rFonts w:ascii="Cambria Math" w:hAnsi="Cambria Math" w:cstheme="majorHAnsi"/>
                <w:i/>
                <w:iCs/>
              </w:rPr>
            </m:ctrlPr>
          </m:sSubPr>
          <m:e>
            <m:r>
              <w:rPr>
                <w:rFonts w:ascii="Cambria Math" w:hAnsi="Cambria Math" w:cstheme="majorHAnsi"/>
              </w:rPr>
              <m:t>w</m:t>
            </m:r>
          </m:e>
          <m:sub>
            <m:r>
              <w:rPr>
                <w:rFonts w:ascii="Cambria Math" w:hAnsi="Cambria Math" w:cstheme="majorHAnsi"/>
              </w:rPr>
              <m:t>jpet</m:t>
            </m:r>
          </m:sub>
        </m:sSub>
      </m:oMath>
      <w:r w:rsidRPr="000D4580">
        <w:rPr>
          <w:rFonts w:asciiTheme="majorHAnsi" w:hAnsiTheme="majorHAnsi" w:cstheme="majorHAnsi"/>
          <w:iCs/>
        </w:rPr>
        <w:t xml:space="preserve">. </w:t>
      </w:r>
    </w:p>
    <w:p w:rsidR="009F0E6C" w:rsidRPr="000D4580" w:rsidRDefault="009F0E6C" w:rsidP="00D140C1">
      <w:pPr>
        <w:spacing w:line="360" w:lineRule="auto"/>
        <w:rPr>
          <w:rFonts w:asciiTheme="majorHAnsi" w:hAnsiTheme="majorHAnsi" w:cstheme="majorHAnsi"/>
        </w:rPr>
      </w:pPr>
    </w:p>
    <w:p w:rsidR="009F0E6C" w:rsidRPr="000D4580" w:rsidRDefault="009F0E6C" w:rsidP="00D140C1">
      <w:pPr>
        <w:spacing w:line="360" w:lineRule="auto"/>
        <w:rPr>
          <w:rFonts w:asciiTheme="majorHAnsi" w:hAnsiTheme="majorHAnsi" w:cstheme="majorHAnsi"/>
        </w:rPr>
      </w:pPr>
    </w:p>
    <w:p w:rsidR="009F0E6C" w:rsidRPr="000D4580" w:rsidRDefault="009F0E6C" w:rsidP="00D140C1">
      <w:pPr>
        <w:spacing w:line="360" w:lineRule="auto"/>
        <w:rPr>
          <w:rFonts w:asciiTheme="majorHAnsi" w:hAnsiTheme="majorHAnsi" w:cstheme="majorHAnsi"/>
        </w:rPr>
      </w:pPr>
    </w:p>
    <w:p w:rsidR="009F0E6C" w:rsidRPr="000D4580" w:rsidRDefault="009F0E6C" w:rsidP="00D140C1">
      <w:pPr>
        <w:spacing w:line="360" w:lineRule="auto"/>
        <w:rPr>
          <w:rFonts w:asciiTheme="majorHAnsi" w:hAnsiTheme="majorHAnsi" w:cstheme="majorHAnsi"/>
        </w:rPr>
      </w:pPr>
    </w:p>
    <w:p w:rsidR="009F0E6C" w:rsidRPr="000D4580" w:rsidRDefault="009F0E6C" w:rsidP="00D140C1">
      <w:pPr>
        <w:spacing w:line="360" w:lineRule="auto"/>
        <w:rPr>
          <w:rFonts w:asciiTheme="majorHAnsi" w:hAnsiTheme="majorHAnsi" w:cstheme="majorHAnsi"/>
        </w:rPr>
      </w:pPr>
    </w:p>
    <w:p w:rsidR="009F0E6C" w:rsidRPr="000D4580" w:rsidRDefault="009F0E6C" w:rsidP="00D140C1">
      <w:pPr>
        <w:spacing w:line="360" w:lineRule="auto"/>
        <w:rPr>
          <w:rFonts w:asciiTheme="majorHAnsi" w:hAnsiTheme="majorHAnsi" w:cstheme="majorHAnsi"/>
        </w:rPr>
      </w:pPr>
    </w:p>
    <w:p w:rsidR="009F0E6C" w:rsidRPr="000D4580" w:rsidRDefault="009F0E6C" w:rsidP="00D140C1">
      <w:pPr>
        <w:spacing w:line="360" w:lineRule="auto"/>
        <w:rPr>
          <w:rFonts w:asciiTheme="majorHAnsi" w:hAnsiTheme="majorHAnsi" w:cstheme="majorHAnsi"/>
        </w:rPr>
      </w:pPr>
    </w:p>
    <w:p w:rsidR="009F0E6C" w:rsidRPr="000D4580" w:rsidRDefault="009F0E6C" w:rsidP="00D140C1">
      <w:pPr>
        <w:spacing w:line="360" w:lineRule="auto"/>
        <w:rPr>
          <w:rFonts w:asciiTheme="majorHAnsi" w:hAnsiTheme="majorHAnsi" w:cstheme="majorHAnsi"/>
        </w:rPr>
      </w:pPr>
    </w:p>
    <w:p w:rsidR="009F0E6C" w:rsidRPr="000D4580" w:rsidRDefault="009F0E6C" w:rsidP="00D140C1">
      <w:pPr>
        <w:spacing w:line="360" w:lineRule="auto"/>
        <w:rPr>
          <w:rFonts w:asciiTheme="majorHAnsi" w:hAnsiTheme="majorHAnsi" w:cstheme="majorHAnsi"/>
        </w:rPr>
      </w:pPr>
    </w:p>
    <w:p w:rsidR="009F0E6C" w:rsidRPr="000D4580" w:rsidRDefault="009F0E6C" w:rsidP="00D140C1">
      <w:pPr>
        <w:spacing w:line="360" w:lineRule="auto"/>
        <w:rPr>
          <w:rFonts w:asciiTheme="majorHAnsi" w:hAnsiTheme="majorHAnsi" w:cstheme="majorHAnsi"/>
        </w:rPr>
      </w:pPr>
    </w:p>
    <w:p w:rsidR="009F0E6C" w:rsidRPr="000D4580" w:rsidRDefault="009F0E6C" w:rsidP="00D140C1">
      <w:pPr>
        <w:spacing w:line="360" w:lineRule="auto"/>
        <w:rPr>
          <w:rFonts w:asciiTheme="majorHAnsi" w:hAnsiTheme="majorHAnsi" w:cstheme="majorHAnsi"/>
        </w:rPr>
      </w:pPr>
    </w:p>
    <w:p w:rsidR="001E608F" w:rsidRPr="000D4580" w:rsidRDefault="009F0E6C" w:rsidP="000D4580">
      <w:pPr>
        <w:pStyle w:val="Heading1"/>
        <w:spacing w:line="360" w:lineRule="auto"/>
        <w:rPr>
          <w:rFonts w:cstheme="majorHAnsi"/>
        </w:rPr>
      </w:pPr>
      <w:bookmarkStart w:id="4" w:name="_Toc20722959"/>
      <w:r w:rsidRPr="000D4580">
        <w:rPr>
          <w:rFonts w:cstheme="majorHAnsi"/>
        </w:rPr>
        <w:lastRenderedPageBreak/>
        <w:t>5</w:t>
      </w:r>
      <w:r w:rsidR="001E608F" w:rsidRPr="000D4580">
        <w:rPr>
          <w:rFonts w:cstheme="majorHAnsi"/>
        </w:rPr>
        <w:tab/>
        <w:t>MESSAGE parameters in global trade schema</w:t>
      </w:r>
      <w:bookmarkEnd w:id="4"/>
    </w:p>
    <w:p w:rsidR="000D4580" w:rsidRPr="000D4580" w:rsidRDefault="000D4580" w:rsidP="000D4580">
      <w:pPr>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r w:rsidRPr="000D4580">
        <w:rPr>
          <w:rFonts w:asciiTheme="majorHAnsi" w:hAnsiTheme="majorHAnsi" w:cstheme="majorHAnsi"/>
        </w:rPr>
        <w:t>The following table lists all parameters included in the global trade schema that required re-parameterization for the bilateral trade schema.</w:t>
      </w:r>
    </w:p>
    <w:tbl>
      <w:tblPr>
        <w:tblStyle w:val="GridTable1Light-Accent1"/>
        <w:tblW w:w="0" w:type="auto"/>
        <w:jc w:val="center"/>
        <w:tblLook w:val="04A0" w:firstRow="1" w:lastRow="0" w:firstColumn="1" w:lastColumn="0" w:noHBand="0" w:noVBand="1"/>
      </w:tblPr>
      <w:tblGrid>
        <w:gridCol w:w="2919"/>
        <w:gridCol w:w="3794"/>
        <w:gridCol w:w="2637"/>
      </w:tblGrid>
      <w:tr w:rsidR="001E608F" w:rsidRPr="000D4580" w:rsidTr="000D4580">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330" w:type="dxa"/>
            <w:shd w:val="clear" w:color="auto" w:fill="DEEAF6" w:themeFill="accent5" w:themeFillTint="33"/>
          </w:tcPr>
          <w:p w:rsidR="001E608F" w:rsidRPr="000D4580" w:rsidRDefault="001E608F" w:rsidP="000D4580">
            <w:pPr>
              <w:rPr>
                <w:rFonts w:asciiTheme="majorHAnsi" w:hAnsiTheme="majorHAnsi" w:cstheme="majorHAnsi"/>
                <w:sz w:val="18"/>
                <w:szCs w:val="18"/>
              </w:rPr>
            </w:pPr>
            <w:r w:rsidRPr="000D4580">
              <w:rPr>
                <w:rFonts w:asciiTheme="majorHAnsi" w:hAnsiTheme="majorHAnsi" w:cstheme="majorHAnsi"/>
                <w:sz w:val="18"/>
                <w:szCs w:val="18"/>
              </w:rPr>
              <w:t>Parameter(s)…</w:t>
            </w:r>
          </w:p>
        </w:tc>
        <w:tc>
          <w:tcPr>
            <w:tcW w:w="4320" w:type="dxa"/>
            <w:shd w:val="clear" w:color="auto" w:fill="DEEAF6" w:themeFill="accent5" w:themeFillTint="33"/>
          </w:tcPr>
          <w:p w:rsidR="001E608F" w:rsidRPr="000D4580" w:rsidRDefault="001E608F" w:rsidP="000D458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Represents…</w:t>
            </w:r>
          </w:p>
        </w:tc>
        <w:tc>
          <w:tcPr>
            <w:tcW w:w="2965" w:type="dxa"/>
            <w:shd w:val="clear" w:color="auto" w:fill="DEEAF6" w:themeFill="accent5" w:themeFillTint="33"/>
          </w:tcPr>
          <w:p w:rsidR="001E608F" w:rsidRPr="000D4580" w:rsidRDefault="001E608F" w:rsidP="000D458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Used for…</w:t>
            </w:r>
          </w:p>
        </w:tc>
      </w:tr>
      <w:tr w:rsidR="001E608F" w:rsidRPr="000D4580" w:rsidTr="000D4580">
        <w:trPr>
          <w:trHeight w:val="278"/>
          <w:jc w:val="center"/>
        </w:trPr>
        <w:tc>
          <w:tcPr>
            <w:cnfStyle w:val="001000000000" w:firstRow="0" w:lastRow="0" w:firstColumn="1" w:lastColumn="0" w:oddVBand="0" w:evenVBand="0" w:oddHBand="0" w:evenHBand="0" w:firstRowFirstColumn="0" w:firstRowLastColumn="0" w:lastRowFirstColumn="0" w:lastRowLastColumn="0"/>
            <w:tcW w:w="3330" w:type="dxa"/>
          </w:tcPr>
          <w:p w:rsidR="001E608F" w:rsidRPr="000D4580" w:rsidRDefault="001E608F" w:rsidP="000D4580">
            <w:pPr>
              <w:rPr>
                <w:rFonts w:asciiTheme="majorHAnsi" w:hAnsiTheme="majorHAnsi" w:cstheme="majorHAnsi"/>
                <w:b w:val="0"/>
                <w:sz w:val="18"/>
                <w:szCs w:val="18"/>
              </w:rPr>
            </w:pPr>
            <w:r w:rsidRPr="000D4580">
              <w:rPr>
                <w:rFonts w:asciiTheme="majorHAnsi" w:hAnsiTheme="majorHAnsi" w:cstheme="majorHAnsi"/>
                <w:b w:val="0"/>
                <w:sz w:val="18"/>
                <w:szCs w:val="18"/>
              </w:rPr>
              <w:t>Activity bounds (lower and upper)</w:t>
            </w:r>
          </w:p>
        </w:tc>
        <w:tc>
          <w:tcPr>
            <w:tcW w:w="4320"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How much an activity can be conducted by a region (e.g. how much a region can export oil)</w:t>
            </w:r>
          </w:p>
        </w:tc>
        <w:tc>
          <w:tcPr>
            <w:tcW w:w="2965"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Activity constraints</w:t>
            </w:r>
          </w:p>
        </w:tc>
      </w:tr>
      <w:tr w:rsidR="001E608F" w:rsidRPr="000D4580" w:rsidTr="000D4580">
        <w:trPr>
          <w:trHeight w:val="278"/>
          <w:jc w:val="center"/>
        </w:trPr>
        <w:tc>
          <w:tcPr>
            <w:cnfStyle w:val="001000000000" w:firstRow="0" w:lastRow="0" w:firstColumn="1" w:lastColumn="0" w:oddVBand="0" w:evenVBand="0" w:oddHBand="0" w:evenHBand="0" w:firstRowFirstColumn="0" w:firstRowLastColumn="0" w:lastRowFirstColumn="0" w:lastRowLastColumn="0"/>
            <w:tcW w:w="3330" w:type="dxa"/>
          </w:tcPr>
          <w:p w:rsidR="001E608F" w:rsidRPr="000D4580" w:rsidRDefault="001E608F" w:rsidP="000D4580">
            <w:pPr>
              <w:rPr>
                <w:rFonts w:asciiTheme="majorHAnsi" w:hAnsiTheme="majorHAnsi" w:cstheme="majorHAnsi"/>
                <w:b w:val="0"/>
                <w:sz w:val="18"/>
                <w:szCs w:val="18"/>
              </w:rPr>
            </w:pPr>
            <w:r w:rsidRPr="000D4580">
              <w:rPr>
                <w:rFonts w:asciiTheme="majorHAnsi" w:hAnsiTheme="majorHAnsi" w:cstheme="majorHAnsi"/>
                <w:b w:val="0"/>
                <w:sz w:val="18"/>
                <w:szCs w:val="18"/>
              </w:rPr>
              <w:t>Capacity factor</w:t>
            </w:r>
          </w:p>
        </w:tc>
        <w:tc>
          <w:tcPr>
            <w:tcW w:w="4320"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Capacity factor of a technology (e.g. 0.75 for coal power plants)</w:t>
            </w:r>
          </w:p>
        </w:tc>
        <w:tc>
          <w:tcPr>
            <w:tcW w:w="2965"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Determining the usage of an activity</w:t>
            </w:r>
          </w:p>
        </w:tc>
      </w:tr>
      <w:tr w:rsidR="001E608F" w:rsidRPr="000D4580" w:rsidTr="000D4580">
        <w:trPr>
          <w:trHeight w:val="278"/>
          <w:jc w:val="center"/>
        </w:trPr>
        <w:tc>
          <w:tcPr>
            <w:cnfStyle w:val="001000000000" w:firstRow="0" w:lastRow="0" w:firstColumn="1" w:lastColumn="0" w:oddVBand="0" w:evenVBand="0" w:oddHBand="0" w:evenHBand="0" w:firstRowFirstColumn="0" w:firstRowLastColumn="0" w:lastRowFirstColumn="0" w:lastRowLastColumn="0"/>
            <w:tcW w:w="3330" w:type="dxa"/>
          </w:tcPr>
          <w:p w:rsidR="001E608F" w:rsidRPr="000D4580" w:rsidRDefault="001E608F" w:rsidP="000D4580">
            <w:pPr>
              <w:rPr>
                <w:rFonts w:asciiTheme="majorHAnsi" w:hAnsiTheme="majorHAnsi" w:cstheme="majorHAnsi"/>
                <w:b w:val="0"/>
                <w:sz w:val="18"/>
                <w:szCs w:val="18"/>
              </w:rPr>
            </w:pPr>
            <w:r w:rsidRPr="000D4580">
              <w:rPr>
                <w:rFonts w:asciiTheme="majorHAnsi" w:hAnsiTheme="majorHAnsi" w:cstheme="majorHAnsi"/>
                <w:b w:val="0"/>
                <w:sz w:val="18"/>
                <w:szCs w:val="18"/>
              </w:rPr>
              <w:t>Emission factor</w:t>
            </w:r>
          </w:p>
        </w:tc>
        <w:tc>
          <w:tcPr>
            <w:tcW w:w="4320"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Per-unit emissions associated with an activity</w:t>
            </w:r>
          </w:p>
        </w:tc>
        <w:tc>
          <w:tcPr>
            <w:tcW w:w="2965"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Assigning costs associated with an emissions tax; estimating regional/global emissions</w:t>
            </w:r>
          </w:p>
        </w:tc>
      </w:tr>
      <w:tr w:rsidR="001E608F" w:rsidRPr="000D4580" w:rsidTr="000D4580">
        <w:trPr>
          <w:trHeight w:val="278"/>
          <w:jc w:val="center"/>
        </w:trPr>
        <w:tc>
          <w:tcPr>
            <w:cnfStyle w:val="001000000000" w:firstRow="0" w:lastRow="0" w:firstColumn="1" w:lastColumn="0" w:oddVBand="0" w:evenVBand="0" w:oddHBand="0" w:evenHBand="0" w:firstRowFirstColumn="0" w:firstRowLastColumn="0" w:lastRowFirstColumn="0" w:lastRowLastColumn="0"/>
            <w:tcW w:w="3330" w:type="dxa"/>
          </w:tcPr>
          <w:p w:rsidR="001E608F" w:rsidRPr="000D4580" w:rsidRDefault="001E608F" w:rsidP="000D4580">
            <w:pPr>
              <w:rPr>
                <w:rFonts w:asciiTheme="majorHAnsi" w:hAnsiTheme="majorHAnsi" w:cstheme="majorHAnsi"/>
                <w:b w:val="0"/>
                <w:sz w:val="18"/>
                <w:szCs w:val="18"/>
              </w:rPr>
            </w:pPr>
            <w:r w:rsidRPr="000D4580">
              <w:rPr>
                <w:rFonts w:asciiTheme="majorHAnsi" w:hAnsiTheme="majorHAnsi" w:cstheme="majorHAnsi"/>
                <w:b w:val="0"/>
                <w:sz w:val="18"/>
                <w:szCs w:val="18"/>
              </w:rPr>
              <w:t>Fixed cost</w:t>
            </w:r>
          </w:p>
        </w:tc>
        <w:tc>
          <w:tcPr>
            <w:tcW w:w="4320"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Fixed costs of a technology (e.g. exports)</w:t>
            </w:r>
          </w:p>
        </w:tc>
        <w:tc>
          <w:tcPr>
            <w:tcW w:w="2965"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Cost minimization</w:t>
            </w:r>
          </w:p>
        </w:tc>
      </w:tr>
      <w:tr w:rsidR="001E608F" w:rsidRPr="000D4580" w:rsidTr="000D4580">
        <w:trPr>
          <w:trHeight w:val="278"/>
          <w:jc w:val="center"/>
        </w:trPr>
        <w:tc>
          <w:tcPr>
            <w:cnfStyle w:val="001000000000" w:firstRow="0" w:lastRow="0" w:firstColumn="1" w:lastColumn="0" w:oddVBand="0" w:evenVBand="0" w:oddHBand="0" w:evenHBand="0" w:firstRowFirstColumn="0" w:firstRowLastColumn="0" w:lastRowFirstColumn="0" w:lastRowLastColumn="0"/>
            <w:tcW w:w="3330" w:type="dxa"/>
          </w:tcPr>
          <w:p w:rsidR="001E608F" w:rsidRPr="000D4580" w:rsidRDefault="001E608F" w:rsidP="000D4580">
            <w:pPr>
              <w:rPr>
                <w:rFonts w:asciiTheme="majorHAnsi" w:hAnsiTheme="majorHAnsi" w:cstheme="majorHAnsi"/>
                <w:b w:val="0"/>
                <w:sz w:val="18"/>
                <w:szCs w:val="18"/>
              </w:rPr>
            </w:pPr>
            <w:r w:rsidRPr="000D4580">
              <w:rPr>
                <w:rFonts w:asciiTheme="majorHAnsi" w:hAnsiTheme="majorHAnsi" w:cstheme="majorHAnsi"/>
                <w:b w:val="0"/>
                <w:sz w:val="18"/>
                <w:szCs w:val="18"/>
              </w:rPr>
              <w:t>Growth bounds (lower and upper)</w:t>
            </w:r>
          </w:p>
        </w:tc>
        <w:tc>
          <w:tcPr>
            <w:tcW w:w="4320"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How much an activity can be increased/decreased by a region</w:t>
            </w:r>
          </w:p>
        </w:tc>
        <w:tc>
          <w:tcPr>
            <w:tcW w:w="2965"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Dynamic constraints</w:t>
            </w:r>
          </w:p>
        </w:tc>
      </w:tr>
      <w:tr w:rsidR="001E608F" w:rsidRPr="000D4580" w:rsidTr="000D4580">
        <w:trPr>
          <w:trHeight w:val="278"/>
          <w:jc w:val="center"/>
        </w:trPr>
        <w:tc>
          <w:tcPr>
            <w:cnfStyle w:val="001000000000" w:firstRow="0" w:lastRow="0" w:firstColumn="1" w:lastColumn="0" w:oddVBand="0" w:evenVBand="0" w:oddHBand="0" w:evenHBand="0" w:firstRowFirstColumn="0" w:firstRowLastColumn="0" w:lastRowFirstColumn="0" w:lastRowLastColumn="0"/>
            <w:tcW w:w="3330" w:type="dxa"/>
          </w:tcPr>
          <w:p w:rsidR="001E608F" w:rsidRPr="000D4580" w:rsidRDefault="001E608F" w:rsidP="000D4580">
            <w:pPr>
              <w:rPr>
                <w:rFonts w:asciiTheme="majorHAnsi" w:hAnsiTheme="majorHAnsi" w:cstheme="majorHAnsi"/>
                <w:b w:val="0"/>
                <w:sz w:val="18"/>
                <w:szCs w:val="18"/>
              </w:rPr>
            </w:pPr>
            <w:r w:rsidRPr="000D4580">
              <w:rPr>
                <w:rFonts w:asciiTheme="majorHAnsi" w:hAnsiTheme="majorHAnsi" w:cstheme="majorHAnsi"/>
                <w:b w:val="0"/>
                <w:sz w:val="18"/>
                <w:szCs w:val="18"/>
              </w:rPr>
              <w:t>Historical activity</w:t>
            </w:r>
          </w:p>
        </w:tc>
        <w:tc>
          <w:tcPr>
            <w:tcW w:w="4320"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Historic data on the activity of a region (e.g. historic exports)</w:t>
            </w:r>
          </w:p>
        </w:tc>
        <w:tc>
          <w:tcPr>
            <w:tcW w:w="2965"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Setting initial conditions for the model</w:t>
            </w:r>
          </w:p>
        </w:tc>
      </w:tr>
      <w:tr w:rsidR="001E608F" w:rsidRPr="000D4580" w:rsidTr="000D4580">
        <w:trPr>
          <w:trHeight w:val="278"/>
          <w:jc w:val="center"/>
        </w:trPr>
        <w:tc>
          <w:tcPr>
            <w:cnfStyle w:val="001000000000" w:firstRow="0" w:lastRow="0" w:firstColumn="1" w:lastColumn="0" w:oddVBand="0" w:evenVBand="0" w:oddHBand="0" w:evenHBand="0" w:firstRowFirstColumn="0" w:firstRowLastColumn="0" w:lastRowFirstColumn="0" w:lastRowLastColumn="0"/>
            <w:tcW w:w="3330" w:type="dxa"/>
          </w:tcPr>
          <w:p w:rsidR="001E608F" w:rsidRPr="000D4580" w:rsidRDefault="001E608F" w:rsidP="000D4580">
            <w:pPr>
              <w:rPr>
                <w:rFonts w:asciiTheme="majorHAnsi" w:hAnsiTheme="majorHAnsi" w:cstheme="majorHAnsi"/>
                <w:b w:val="0"/>
                <w:sz w:val="18"/>
                <w:szCs w:val="18"/>
              </w:rPr>
            </w:pPr>
            <w:r w:rsidRPr="000D4580">
              <w:rPr>
                <w:rFonts w:asciiTheme="majorHAnsi" w:hAnsiTheme="majorHAnsi" w:cstheme="majorHAnsi"/>
                <w:b w:val="0"/>
                <w:sz w:val="18"/>
                <w:szCs w:val="18"/>
              </w:rPr>
              <w:t>Historical new capacity</w:t>
            </w:r>
          </w:p>
        </w:tc>
        <w:tc>
          <w:tcPr>
            <w:tcW w:w="4320"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Historic investment into new capacity of a technology (e.g. coal power plants)</w:t>
            </w:r>
          </w:p>
        </w:tc>
        <w:tc>
          <w:tcPr>
            <w:tcW w:w="2965"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Setting initial conditions for the model</w:t>
            </w:r>
          </w:p>
        </w:tc>
      </w:tr>
      <w:tr w:rsidR="001E608F" w:rsidRPr="000D4580" w:rsidTr="000D4580">
        <w:trPr>
          <w:trHeight w:val="278"/>
          <w:jc w:val="center"/>
        </w:trPr>
        <w:tc>
          <w:tcPr>
            <w:cnfStyle w:val="001000000000" w:firstRow="0" w:lastRow="0" w:firstColumn="1" w:lastColumn="0" w:oddVBand="0" w:evenVBand="0" w:oddHBand="0" w:evenHBand="0" w:firstRowFirstColumn="0" w:firstRowLastColumn="0" w:lastRowFirstColumn="0" w:lastRowLastColumn="0"/>
            <w:tcW w:w="3330" w:type="dxa"/>
          </w:tcPr>
          <w:p w:rsidR="001E608F" w:rsidRPr="000D4580" w:rsidRDefault="001E608F" w:rsidP="000D4580">
            <w:pPr>
              <w:rPr>
                <w:rFonts w:asciiTheme="majorHAnsi" w:hAnsiTheme="majorHAnsi" w:cstheme="majorHAnsi"/>
                <w:b w:val="0"/>
                <w:sz w:val="18"/>
                <w:szCs w:val="18"/>
              </w:rPr>
            </w:pPr>
            <w:r w:rsidRPr="000D4580">
              <w:rPr>
                <w:rFonts w:asciiTheme="majorHAnsi" w:hAnsiTheme="majorHAnsi" w:cstheme="majorHAnsi"/>
                <w:b w:val="0"/>
                <w:sz w:val="18"/>
                <w:szCs w:val="18"/>
              </w:rPr>
              <w:t>Initial activity bounds (lower and upper)</w:t>
            </w:r>
          </w:p>
        </w:tc>
        <w:tc>
          <w:tcPr>
            <w:tcW w:w="4320"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How much an activity can be increased/decreased in absolute terms</w:t>
            </w:r>
          </w:p>
        </w:tc>
        <w:tc>
          <w:tcPr>
            <w:tcW w:w="2965"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Dynamic constraints</w:t>
            </w:r>
          </w:p>
        </w:tc>
      </w:tr>
      <w:tr w:rsidR="001E608F" w:rsidRPr="000D4580" w:rsidTr="000D4580">
        <w:trPr>
          <w:trHeight w:val="278"/>
          <w:jc w:val="center"/>
        </w:trPr>
        <w:tc>
          <w:tcPr>
            <w:cnfStyle w:val="001000000000" w:firstRow="0" w:lastRow="0" w:firstColumn="1" w:lastColumn="0" w:oddVBand="0" w:evenVBand="0" w:oddHBand="0" w:evenHBand="0" w:firstRowFirstColumn="0" w:firstRowLastColumn="0" w:lastRowFirstColumn="0" w:lastRowLastColumn="0"/>
            <w:tcW w:w="3330" w:type="dxa"/>
          </w:tcPr>
          <w:p w:rsidR="001E608F" w:rsidRPr="000D4580" w:rsidRDefault="001E608F" w:rsidP="000D4580">
            <w:pPr>
              <w:rPr>
                <w:rFonts w:asciiTheme="majorHAnsi" w:hAnsiTheme="majorHAnsi" w:cstheme="majorHAnsi"/>
                <w:b w:val="0"/>
                <w:sz w:val="18"/>
                <w:szCs w:val="18"/>
              </w:rPr>
            </w:pPr>
            <w:r w:rsidRPr="000D4580">
              <w:rPr>
                <w:rFonts w:asciiTheme="majorHAnsi" w:hAnsiTheme="majorHAnsi" w:cstheme="majorHAnsi"/>
                <w:b w:val="0"/>
                <w:sz w:val="18"/>
                <w:szCs w:val="18"/>
              </w:rPr>
              <w:t>Input and output</w:t>
            </w:r>
          </w:p>
        </w:tc>
        <w:tc>
          <w:tcPr>
            <w:tcW w:w="4320"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The input required per unit output (e.g. input of coal into power plant is &gt; 1, while output is &lt; 1, due to losses)</w:t>
            </w:r>
          </w:p>
        </w:tc>
        <w:tc>
          <w:tcPr>
            <w:tcW w:w="2965"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Building relationships among technologies</w:t>
            </w:r>
          </w:p>
        </w:tc>
      </w:tr>
      <w:tr w:rsidR="001E608F" w:rsidRPr="000D4580" w:rsidTr="000D4580">
        <w:trPr>
          <w:trHeight w:val="278"/>
          <w:jc w:val="center"/>
        </w:trPr>
        <w:tc>
          <w:tcPr>
            <w:cnfStyle w:val="001000000000" w:firstRow="0" w:lastRow="0" w:firstColumn="1" w:lastColumn="0" w:oddVBand="0" w:evenVBand="0" w:oddHBand="0" w:evenHBand="0" w:firstRowFirstColumn="0" w:firstRowLastColumn="0" w:lastRowFirstColumn="0" w:lastRowLastColumn="0"/>
            <w:tcW w:w="3330" w:type="dxa"/>
          </w:tcPr>
          <w:p w:rsidR="001E608F" w:rsidRPr="000D4580" w:rsidRDefault="001E608F" w:rsidP="000D4580">
            <w:pPr>
              <w:rPr>
                <w:rFonts w:asciiTheme="majorHAnsi" w:hAnsiTheme="majorHAnsi" w:cstheme="majorHAnsi"/>
                <w:b w:val="0"/>
                <w:sz w:val="18"/>
                <w:szCs w:val="18"/>
              </w:rPr>
            </w:pPr>
            <w:r w:rsidRPr="000D4580">
              <w:rPr>
                <w:rFonts w:asciiTheme="majorHAnsi" w:hAnsiTheme="majorHAnsi" w:cstheme="majorHAnsi"/>
                <w:b w:val="0"/>
                <w:sz w:val="18"/>
                <w:szCs w:val="18"/>
              </w:rPr>
              <w:t>Investment cost</w:t>
            </w:r>
          </w:p>
        </w:tc>
        <w:tc>
          <w:tcPr>
            <w:tcW w:w="4320"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Investment costs of a technology</w:t>
            </w:r>
          </w:p>
        </w:tc>
        <w:tc>
          <w:tcPr>
            <w:tcW w:w="2965"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Cost minimization</w:t>
            </w:r>
          </w:p>
        </w:tc>
      </w:tr>
      <w:tr w:rsidR="001E608F" w:rsidRPr="000D4580" w:rsidTr="000D4580">
        <w:trPr>
          <w:trHeight w:val="278"/>
          <w:jc w:val="center"/>
        </w:trPr>
        <w:tc>
          <w:tcPr>
            <w:cnfStyle w:val="001000000000" w:firstRow="0" w:lastRow="0" w:firstColumn="1" w:lastColumn="0" w:oddVBand="0" w:evenVBand="0" w:oddHBand="0" w:evenHBand="0" w:firstRowFirstColumn="0" w:firstRowLastColumn="0" w:lastRowFirstColumn="0" w:lastRowLastColumn="0"/>
            <w:tcW w:w="3330" w:type="dxa"/>
          </w:tcPr>
          <w:p w:rsidR="001E608F" w:rsidRPr="000D4580" w:rsidRDefault="001E608F" w:rsidP="000D4580">
            <w:pPr>
              <w:rPr>
                <w:rFonts w:asciiTheme="majorHAnsi" w:hAnsiTheme="majorHAnsi" w:cstheme="majorHAnsi"/>
                <w:b w:val="0"/>
                <w:sz w:val="18"/>
                <w:szCs w:val="18"/>
              </w:rPr>
            </w:pPr>
            <w:proofErr w:type="spellStart"/>
            <w:r w:rsidRPr="000D4580">
              <w:rPr>
                <w:rFonts w:asciiTheme="majorHAnsi" w:hAnsiTheme="majorHAnsi" w:cstheme="majorHAnsi"/>
                <w:b w:val="0"/>
                <w:sz w:val="18"/>
                <w:szCs w:val="18"/>
              </w:rPr>
              <w:t>Levelized</w:t>
            </w:r>
            <w:proofErr w:type="spellEnd"/>
            <w:r w:rsidRPr="000D4580">
              <w:rPr>
                <w:rFonts w:asciiTheme="majorHAnsi" w:hAnsiTheme="majorHAnsi" w:cstheme="majorHAnsi"/>
                <w:b w:val="0"/>
                <w:sz w:val="18"/>
                <w:szCs w:val="18"/>
              </w:rPr>
              <w:t xml:space="preserve"> cost soft activity bounds (lower and upper)</w:t>
            </w:r>
          </w:p>
        </w:tc>
        <w:tc>
          <w:tcPr>
            <w:tcW w:w="4320"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Allows relaxation of cost activity bounds</w:t>
            </w:r>
          </w:p>
        </w:tc>
        <w:tc>
          <w:tcPr>
            <w:tcW w:w="2965"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Regional cost accounting</w:t>
            </w:r>
          </w:p>
        </w:tc>
      </w:tr>
      <w:tr w:rsidR="001E608F" w:rsidRPr="000D4580" w:rsidTr="000D4580">
        <w:trPr>
          <w:trHeight w:val="278"/>
          <w:jc w:val="center"/>
        </w:trPr>
        <w:tc>
          <w:tcPr>
            <w:cnfStyle w:val="001000000000" w:firstRow="0" w:lastRow="0" w:firstColumn="1" w:lastColumn="0" w:oddVBand="0" w:evenVBand="0" w:oddHBand="0" w:evenHBand="0" w:firstRowFirstColumn="0" w:firstRowLastColumn="0" w:lastRowFirstColumn="0" w:lastRowLastColumn="0"/>
            <w:tcW w:w="3330" w:type="dxa"/>
          </w:tcPr>
          <w:p w:rsidR="001E608F" w:rsidRPr="000D4580" w:rsidRDefault="001E608F" w:rsidP="000D4580">
            <w:pPr>
              <w:rPr>
                <w:rFonts w:asciiTheme="majorHAnsi" w:hAnsiTheme="majorHAnsi" w:cstheme="majorHAnsi"/>
                <w:b w:val="0"/>
                <w:sz w:val="18"/>
                <w:szCs w:val="18"/>
              </w:rPr>
            </w:pPr>
            <w:r w:rsidRPr="000D4580">
              <w:rPr>
                <w:rFonts w:asciiTheme="majorHAnsi" w:hAnsiTheme="majorHAnsi" w:cstheme="majorHAnsi"/>
                <w:b w:val="0"/>
                <w:sz w:val="18"/>
                <w:szCs w:val="18"/>
              </w:rPr>
              <w:t>Activity relations</w:t>
            </w:r>
          </w:p>
        </w:tc>
        <w:tc>
          <w:tcPr>
            <w:tcW w:w="4320"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Relationships among parameters</w:t>
            </w:r>
          </w:p>
        </w:tc>
        <w:tc>
          <w:tcPr>
            <w:tcW w:w="2965"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Builds constraints for optimization</w:t>
            </w:r>
          </w:p>
        </w:tc>
      </w:tr>
      <w:tr w:rsidR="001E608F" w:rsidRPr="000D4580" w:rsidTr="000D4580">
        <w:trPr>
          <w:trHeight w:val="278"/>
          <w:jc w:val="center"/>
        </w:trPr>
        <w:tc>
          <w:tcPr>
            <w:cnfStyle w:val="001000000000" w:firstRow="0" w:lastRow="0" w:firstColumn="1" w:lastColumn="0" w:oddVBand="0" w:evenVBand="0" w:oddHBand="0" w:evenHBand="0" w:firstRowFirstColumn="0" w:firstRowLastColumn="0" w:lastRowFirstColumn="0" w:lastRowLastColumn="0"/>
            <w:tcW w:w="3330" w:type="dxa"/>
          </w:tcPr>
          <w:p w:rsidR="001E608F" w:rsidRPr="000D4580" w:rsidRDefault="001E608F" w:rsidP="000D4580">
            <w:pPr>
              <w:rPr>
                <w:rFonts w:asciiTheme="majorHAnsi" w:hAnsiTheme="majorHAnsi" w:cstheme="majorHAnsi"/>
                <w:b w:val="0"/>
                <w:sz w:val="18"/>
                <w:szCs w:val="18"/>
              </w:rPr>
            </w:pPr>
            <w:r w:rsidRPr="000D4580">
              <w:rPr>
                <w:rFonts w:asciiTheme="majorHAnsi" w:hAnsiTheme="majorHAnsi" w:cstheme="majorHAnsi"/>
                <w:b w:val="0"/>
                <w:sz w:val="18"/>
                <w:szCs w:val="18"/>
              </w:rPr>
              <w:t>Soft activity bounds (lower and upper)</w:t>
            </w:r>
          </w:p>
        </w:tc>
        <w:tc>
          <w:tcPr>
            <w:tcW w:w="4320"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Allows relaxation of activity bounds that does not exceed investment</w:t>
            </w:r>
          </w:p>
        </w:tc>
        <w:tc>
          <w:tcPr>
            <w:tcW w:w="2965"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Regional capacity accounting</w:t>
            </w:r>
          </w:p>
        </w:tc>
      </w:tr>
      <w:tr w:rsidR="001E608F" w:rsidRPr="000D4580" w:rsidTr="000D4580">
        <w:trPr>
          <w:trHeight w:val="278"/>
          <w:jc w:val="center"/>
        </w:trPr>
        <w:tc>
          <w:tcPr>
            <w:cnfStyle w:val="001000000000" w:firstRow="0" w:lastRow="0" w:firstColumn="1" w:lastColumn="0" w:oddVBand="0" w:evenVBand="0" w:oddHBand="0" w:evenHBand="0" w:firstRowFirstColumn="0" w:firstRowLastColumn="0" w:lastRowFirstColumn="0" w:lastRowLastColumn="0"/>
            <w:tcW w:w="3330" w:type="dxa"/>
          </w:tcPr>
          <w:p w:rsidR="001E608F" w:rsidRPr="000D4580" w:rsidRDefault="001E608F" w:rsidP="000D4580">
            <w:pPr>
              <w:rPr>
                <w:rFonts w:asciiTheme="majorHAnsi" w:hAnsiTheme="majorHAnsi" w:cstheme="majorHAnsi"/>
                <w:b w:val="0"/>
                <w:sz w:val="18"/>
                <w:szCs w:val="18"/>
              </w:rPr>
            </w:pPr>
            <w:r w:rsidRPr="000D4580">
              <w:rPr>
                <w:rFonts w:asciiTheme="majorHAnsi" w:hAnsiTheme="majorHAnsi" w:cstheme="majorHAnsi"/>
                <w:b w:val="0"/>
                <w:sz w:val="18"/>
                <w:szCs w:val="18"/>
              </w:rPr>
              <w:t>Technical lifetime</w:t>
            </w:r>
          </w:p>
        </w:tc>
        <w:tc>
          <w:tcPr>
            <w:tcW w:w="4320"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Lifetime of a technology (e.g. 20 years for power plant)</w:t>
            </w:r>
          </w:p>
        </w:tc>
        <w:tc>
          <w:tcPr>
            <w:tcW w:w="2965"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Determining when a technology is phased out</w:t>
            </w:r>
          </w:p>
        </w:tc>
      </w:tr>
      <w:tr w:rsidR="001E608F" w:rsidRPr="000D4580" w:rsidTr="000D4580">
        <w:trPr>
          <w:trHeight w:val="278"/>
          <w:jc w:val="center"/>
        </w:trPr>
        <w:tc>
          <w:tcPr>
            <w:cnfStyle w:val="001000000000" w:firstRow="0" w:lastRow="0" w:firstColumn="1" w:lastColumn="0" w:oddVBand="0" w:evenVBand="0" w:oddHBand="0" w:evenHBand="0" w:firstRowFirstColumn="0" w:firstRowLastColumn="0" w:lastRowFirstColumn="0" w:lastRowLastColumn="0"/>
            <w:tcW w:w="3330" w:type="dxa"/>
          </w:tcPr>
          <w:p w:rsidR="001E608F" w:rsidRPr="000D4580" w:rsidRDefault="001E608F" w:rsidP="000D4580">
            <w:pPr>
              <w:rPr>
                <w:rFonts w:asciiTheme="majorHAnsi" w:hAnsiTheme="majorHAnsi" w:cstheme="majorHAnsi"/>
                <w:b w:val="0"/>
                <w:sz w:val="18"/>
                <w:szCs w:val="18"/>
              </w:rPr>
            </w:pPr>
            <w:r w:rsidRPr="000D4580">
              <w:rPr>
                <w:rFonts w:asciiTheme="majorHAnsi" w:hAnsiTheme="majorHAnsi" w:cstheme="majorHAnsi"/>
                <w:b w:val="0"/>
                <w:sz w:val="18"/>
                <w:szCs w:val="18"/>
              </w:rPr>
              <w:t>Variable cost</w:t>
            </w:r>
          </w:p>
        </w:tc>
        <w:tc>
          <w:tcPr>
            <w:tcW w:w="4320"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Variable costs of a technology</w:t>
            </w:r>
          </w:p>
        </w:tc>
        <w:tc>
          <w:tcPr>
            <w:tcW w:w="2965" w:type="dxa"/>
          </w:tcPr>
          <w:p w:rsidR="001E608F" w:rsidRPr="000D4580" w:rsidRDefault="001E608F"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0D4580">
              <w:rPr>
                <w:rFonts w:asciiTheme="majorHAnsi" w:hAnsiTheme="majorHAnsi" w:cstheme="majorHAnsi"/>
                <w:sz w:val="18"/>
                <w:szCs w:val="18"/>
              </w:rPr>
              <w:t>Cost minimization</w:t>
            </w:r>
          </w:p>
        </w:tc>
      </w:tr>
    </w:tbl>
    <w:p w:rsidR="001E608F" w:rsidRPr="000D4580" w:rsidRDefault="001E608F" w:rsidP="00D140C1">
      <w:pPr>
        <w:pStyle w:val="Caption"/>
        <w:spacing w:line="360" w:lineRule="auto"/>
        <w:rPr>
          <w:rFonts w:asciiTheme="majorHAnsi" w:hAnsiTheme="majorHAnsi" w:cstheme="majorHAnsi"/>
          <w:i w:val="0"/>
          <w:color w:val="auto"/>
          <w:sz w:val="20"/>
          <w:szCs w:val="20"/>
        </w:rPr>
      </w:pPr>
      <w:r w:rsidRPr="000D4580">
        <w:rPr>
          <w:rFonts w:asciiTheme="majorHAnsi" w:hAnsiTheme="majorHAnsi" w:cstheme="majorHAnsi"/>
          <w:b/>
          <w:i w:val="0"/>
          <w:color w:val="auto"/>
          <w:sz w:val="20"/>
          <w:szCs w:val="20"/>
        </w:rPr>
        <w:t xml:space="preserve">Table </w:t>
      </w:r>
      <w:r w:rsidR="00130412">
        <w:rPr>
          <w:rFonts w:asciiTheme="majorHAnsi" w:hAnsiTheme="majorHAnsi" w:cstheme="majorHAnsi"/>
          <w:b/>
          <w:i w:val="0"/>
          <w:color w:val="auto"/>
          <w:sz w:val="20"/>
          <w:szCs w:val="20"/>
        </w:rPr>
        <w:t>4</w:t>
      </w:r>
      <w:r w:rsidRPr="000D4580">
        <w:rPr>
          <w:rFonts w:asciiTheme="majorHAnsi" w:hAnsiTheme="majorHAnsi" w:cstheme="majorHAnsi"/>
          <w:b/>
          <w:i w:val="0"/>
          <w:color w:val="auto"/>
          <w:sz w:val="20"/>
          <w:szCs w:val="20"/>
        </w:rPr>
        <w:t xml:space="preserve">. </w:t>
      </w:r>
      <w:r w:rsidRPr="000D4580">
        <w:rPr>
          <w:rFonts w:asciiTheme="majorHAnsi" w:hAnsiTheme="majorHAnsi" w:cstheme="majorHAnsi"/>
          <w:i w:val="0"/>
          <w:color w:val="auto"/>
          <w:sz w:val="20"/>
          <w:szCs w:val="20"/>
        </w:rPr>
        <w:t>Parameters used for global trade schema in MESSAGE.</w:t>
      </w:r>
    </w:p>
    <w:p w:rsidR="001E608F" w:rsidRPr="000D4580" w:rsidRDefault="009F0E6C" w:rsidP="00D140C1">
      <w:pPr>
        <w:pStyle w:val="Heading1"/>
        <w:spacing w:line="360" w:lineRule="auto"/>
        <w:rPr>
          <w:rFonts w:cstheme="majorHAnsi"/>
        </w:rPr>
      </w:pPr>
      <w:bookmarkStart w:id="5" w:name="_Toc20722960"/>
      <w:r w:rsidRPr="000D4580">
        <w:rPr>
          <w:rFonts w:cstheme="majorHAnsi"/>
        </w:rPr>
        <w:lastRenderedPageBreak/>
        <w:t>6</w:t>
      </w:r>
      <w:r w:rsidR="001E608F" w:rsidRPr="000D4580">
        <w:rPr>
          <w:rFonts w:cstheme="majorHAnsi"/>
        </w:rPr>
        <w:tab/>
        <w:t>Port selection for shortest sea routes</w:t>
      </w:r>
      <w:bookmarkEnd w:id="5"/>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r w:rsidRPr="000D4580">
        <w:rPr>
          <w:rFonts w:asciiTheme="majorHAnsi" w:hAnsiTheme="majorHAnsi" w:cstheme="majorHAnsi"/>
        </w:rPr>
        <w:t xml:space="preserve">Shortest sea routes are selected based on a user-defined list of ports. For this study, we use the “Seaports of the World by Country” list published by the Virginia Economic Development Partnership, which includes 835 of the most active sea/inland ports in the world. </w:t>
      </w:r>
    </w:p>
    <w:p w:rsidR="001E608F" w:rsidRPr="000D4580" w:rsidRDefault="001E608F" w:rsidP="00D140C1">
      <w:pPr>
        <w:spacing w:line="360" w:lineRule="auto"/>
        <w:rPr>
          <w:rFonts w:asciiTheme="majorHAnsi" w:hAnsiTheme="majorHAnsi" w:cstheme="majorHAnsi"/>
        </w:rPr>
      </w:pPr>
      <w:r w:rsidRPr="000D4580">
        <w:rPr>
          <w:rFonts w:asciiTheme="majorHAnsi" w:hAnsiTheme="majorHAnsi" w:cstheme="majorHAnsi"/>
        </w:rPr>
        <w:t>We first define the nodes to be included in the shortest sea route calculations. We set the distance between nodes for uniform nodes to two degrees and overlay this map with a map of the active ports. Figure 2 shows both uniform and port nodes:</w:t>
      </w:r>
    </w:p>
    <w:p w:rsidR="001E608F" w:rsidRPr="000D4580" w:rsidRDefault="001E608F" w:rsidP="00D140C1">
      <w:pPr>
        <w:spacing w:line="360" w:lineRule="auto"/>
        <w:rPr>
          <w:rFonts w:asciiTheme="majorHAnsi" w:hAnsiTheme="majorHAnsi" w:cstheme="majorHAnsi"/>
        </w:rPr>
      </w:pPr>
      <w:r w:rsidRPr="000D4580">
        <w:rPr>
          <w:rFonts w:asciiTheme="majorHAnsi" w:hAnsiTheme="majorHAnsi" w:cstheme="majorHAnsi"/>
          <w:noProof/>
        </w:rPr>
        <w:drawing>
          <wp:inline distT="0" distB="0" distL="0" distR="0" wp14:anchorId="43CBAC1A" wp14:editId="7796428D">
            <wp:extent cx="5943600" cy="3072765"/>
            <wp:effectExtent l="0" t="0" r="0" b="0"/>
            <wp:docPr id="23" name="Picture 3">
              <a:extLst xmlns:a="http://schemas.openxmlformats.org/drawingml/2006/main">
                <a:ext uri="{FF2B5EF4-FFF2-40B4-BE49-F238E27FC236}">
                  <a16:creationId xmlns:a16="http://schemas.microsoft.com/office/drawing/2014/main" id="{3E0919F1-D8EE-447B-BF85-AD928F97B1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E0919F1-D8EE-447B-BF85-AD928F97B140}"/>
                        </a:ext>
                      </a:extLst>
                    </pic:cNvPr>
                    <pic:cNvPicPr>
                      <a:picLocks noChangeAspect="1"/>
                    </pic:cNvPicPr>
                  </pic:nvPicPr>
                  <pic:blipFill>
                    <a:blip r:embed="rId11"/>
                    <a:stretch>
                      <a:fillRect/>
                    </a:stretch>
                  </pic:blipFill>
                  <pic:spPr>
                    <a:xfrm>
                      <a:off x="0" y="0"/>
                      <a:ext cx="5943600" cy="3072765"/>
                    </a:xfrm>
                    <a:prstGeom prst="rect">
                      <a:avLst/>
                    </a:prstGeom>
                  </pic:spPr>
                </pic:pic>
              </a:graphicData>
            </a:graphic>
          </wp:inline>
        </w:drawing>
      </w:r>
    </w:p>
    <w:p w:rsidR="001E608F" w:rsidRPr="000D4580" w:rsidRDefault="00130412" w:rsidP="00130412">
      <w:pPr>
        <w:pStyle w:val="Caption"/>
        <w:rPr>
          <w:rFonts w:asciiTheme="majorHAnsi" w:hAnsiTheme="majorHAnsi" w:cstheme="majorHAnsi"/>
          <w:i w:val="0"/>
          <w:color w:val="auto"/>
          <w:sz w:val="20"/>
          <w:szCs w:val="20"/>
        </w:rPr>
      </w:pPr>
      <w:r>
        <w:rPr>
          <w:rFonts w:asciiTheme="majorHAnsi" w:hAnsiTheme="majorHAnsi" w:cstheme="majorHAnsi"/>
          <w:b/>
          <w:i w:val="0"/>
          <w:color w:val="auto"/>
          <w:sz w:val="20"/>
          <w:szCs w:val="20"/>
        </w:rPr>
        <w:t>Fig.</w:t>
      </w:r>
      <w:r w:rsidR="001E608F" w:rsidRPr="000D4580">
        <w:rPr>
          <w:rFonts w:asciiTheme="majorHAnsi" w:hAnsiTheme="majorHAnsi" w:cstheme="majorHAnsi"/>
          <w:b/>
          <w:i w:val="0"/>
          <w:color w:val="auto"/>
          <w:sz w:val="20"/>
          <w:szCs w:val="20"/>
        </w:rPr>
        <w:t xml:space="preserve"> </w:t>
      </w:r>
      <w:r>
        <w:rPr>
          <w:rFonts w:asciiTheme="majorHAnsi" w:hAnsiTheme="majorHAnsi" w:cstheme="majorHAnsi"/>
          <w:b/>
          <w:i w:val="0"/>
          <w:color w:val="auto"/>
          <w:sz w:val="20"/>
          <w:szCs w:val="20"/>
        </w:rPr>
        <w:t>2</w:t>
      </w:r>
      <w:r w:rsidR="001E608F" w:rsidRPr="000D4580">
        <w:rPr>
          <w:rFonts w:asciiTheme="majorHAnsi" w:hAnsiTheme="majorHAnsi" w:cstheme="majorHAnsi"/>
          <w:b/>
          <w:i w:val="0"/>
          <w:color w:val="auto"/>
          <w:sz w:val="20"/>
          <w:szCs w:val="20"/>
        </w:rPr>
        <w:t xml:space="preserve">. </w:t>
      </w:r>
      <w:r w:rsidR="001E608F" w:rsidRPr="000D4580">
        <w:rPr>
          <w:rFonts w:asciiTheme="majorHAnsi" w:hAnsiTheme="majorHAnsi" w:cstheme="majorHAnsi"/>
          <w:i w:val="0"/>
          <w:color w:val="auto"/>
          <w:sz w:val="20"/>
          <w:szCs w:val="20"/>
        </w:rPr>
        <w:t>Map of nodes used in shortest path calculation. Uniform nodes are in grey, inland water ports are in green, and sea ports are in blue.</w:t>
      </w:r>
    </w:p>
    <w:p w:rsidR="00ED1EAF" w:rsidRPr="000D4580" w:rsidRDefault="00ED1EAF" w:rsidP="00D140C1">
      <w:pPr>
        <w:spacing w:line="360" w:lineRule="auto"/>
        <w:rPr>
          <w:rFonts w:asciiTheme="majorHAnsi" w:hAnsiTheme="majorHAnsi" w:cstheme="majorHAnsi"/>
          <w:lang w:eastAsia="en-US"/>
        </w:rPr>
      </w:pPr>
    </w:p>
    <w:p w:rsidR="001E608F" w:rsidRPr="000D4580" w:rsidRDefault="001E608F" w:rsidP="00D140C1">
      <w:pPr>
        <w:spacing w:line="360" w:lineRule="auto"/>
        <w:rPr>
          <w:rFonts w:asciiTheme="majorHAnsi" w:hAnsiTheme="majorHAnsi" w:cstheme="majorHAnsi"/>
        </w:rPr>
      </w:pPr>
      <w:r w:rsidRPr="000D4580">
        <w:rPr>
          <w:rFonts w:asciiTheme="majorHAnsi" w:hAnsiTheme="majorHAnsi" w:cstheme="majorHAnsi"/>
        </w:rPr>
        <w:t xml:space="preserve">Based on this list of </w:t>
      </w:r>
      <m:oMath>
        <m:r>
          <w:rPr>
            <w:rFonts w:ascii="Cambria Math" w:hAnsi="Cambria Math" w:cstheme="majorHAnsi"/>
          </w:rPr>
          <m:t>n</m:t>
        </m:r>
      </m:oMath>
      <w:r w:rsidRPr="000D4580">
        <w:rPr>
          <w:rFonts w:asciiTheme="majorHAnsi" w:hAnsiTheme="majorHAnsi" w:cstheme="majorHAnsi"/>
        </w:rPr>
        <w:t xml:space="preserve"> nodes, the program then generates a dataset of all combinations of all nodes. Based on this dataset, we calculate the </w:t>
      </w:r>
      <w:proofErr w:type="spellStart"/>
      <w:r w:rsidRPr="000D4580">
        <w:rPr>
          <w:rFonts w:asciiTheme="majorHAnsi" w:hAnsiTheme="majorHAnsi" w:cstheme="majorHAnsi"/>
        </w:rPr>
        <w:t>Haversine</w:t>
      </w:r>
      <w:proofErr w:type="spellEnd"/>
      <w:r w:rsidRPr="000D4580">
        <w:rPr>
          <w:rFonts w:asciiTheme="majorHAnsi" w:hAnsiTheme="majorHAnsi" w:cstheme="majorHAnsi"/>
        </w:rPr>
        <w:t xml:space="preserve"> distance between the nodes and put these distances into </w:t>
      </w:r>
      <w:proofErr w:type="gramStart"/>
      <w:r w:rsidRPr="000D4580">
        <w:rPr>
          <w:rFonts w:asciiTheme="majorHAnsi" w:hAnsiTheme="majorHAnsi" w:cstheme="majorHAnsi"/>
        </w:rPr>
        <w:t>an</w:t>
      </w:r>
      <w:proofErr w:type="gramEnd"/>
      <w:r w:rsidRPr="000D4580">
        <w:rPr>
          <w:rFonts w:asciiTheme="majorHAnsi" w:hAnsiTheme="majorHAnsi" w:cstheme="majorHAnsi"/>
        </w:rPr>
        <w:t xml:space="preserve"> </w:t>
      </w:r>
      <m:oMath>
        <m:r>
          <w:rPr>
            <w:rFonts w:ascii="Cambria Math" w:hAnsi="Cambria Math" w:cstheme="majorHAnsi"/>
          </w:rPr>
          <m:t>n×n</m:t>
        </m:r>
      </m:oMath>
      <w:r w:rsidRPr="000D4580">
        <w:rPr>
          <w:rFonts w:asciiTheme="majorHAnsi" w:hAnsiTheme="majorHAnsi" w:cstheme="majorHAnsi"/>
        </w:rPr>
        <w:t xml:space="preserve"> matrix. We use this matrix to run the Floyd-Warshall algorithm which, for each pair of nodes, compiles a list of intermediate nodes that produce the shortest route between them. For countries with multiple ports, we take the port-port combination that allows the shortest route for each country-country combination. Finally, we link these data to bilateral trade data for each </w:t>
      </w:r>
      <w:proofErr w:type="gramStart"/>
      <w:r w:rsidRPr="000D4580">
        <w:rPr>
          <w:rFonts w:asciiTheme="majorHAnsi" w:hAnsiTheme="majorHAnsi" w:cstheme="majorHAnsi"/>
        </w:rPr>
        <w:t xml:space="preserve">commodity </w:t>
      </w:r>
      <w:proofErr w:type="gramEnd"/>
      <m:oMath>
        <m:r>
          <w:rPr>
            <w:rFonts w:ascii="Cambria Math" w:hAnsi="Cambria Math" w:cstheme="majorHAnsi"/>
          </w:rPr>
          <m:t>k</m:t>
        </m:r>
      </m:oMath>
      <w:r w:rsidRPr="000D4580">
        <w:rPr>
          <w:rFonts w:asciiTheme="majorHAnsi" w:hAnsiTheme="majorHAnsi" w:cstheme="majorHAnsi"/>
        </w:rPr>
        <w:t xml:space="preserve">. </w:t>
      </w:r>
    </w:p>
    <w:p w:rsidR="002521A7" w:rsidRPr="000D4580" w:rsidRDefault="009F0E6C" w:rsidP="00D140C1">
      <w:pPr>
        <w:pStyle w:val="Heading1"/>
        <w:spacing w:line="360" w:lineRule="auto"/>
        <w:rPr>
          <w:rFonts w:cstheme="majorHAnsi"/>
        </w:rPr>
      </w:pPr>
      <w:bookmarkStart w:id="6" w:name="_Toc20722961"/>
      <w:r w:rsidRPr="000D4580">
        <w:rPr>
          <w:rFonts w:cstheme="majorHAnsi"/>
        </w:rPr>
        <w:lastRenderedPageBreak/>
        <w:t>7</w:t>
      </w:r>
      <w:r w:rsidR="002521A7" w:rsidRPr="000D4580">
        <w:rPr>
          <w:rFonts w:cstheme="majorHAnsi"/>
        </w:rPr>
        <w:tab/>
        <w:t>Effect of sea distance on trade cost (details)</w:t>
      </w:r>
    </w:p>
    <w:p w:rsidR="002521A7" w:rsidRPr="000D4580" w:rsidRDefault="002521A7" w:rsidP="00D140C1">
      <w:pPr>
        <w:spacing w:line="360" w:lineRule="auto"/>
        <w:rPr>
          <w:rFonts w:asciiTheme="majorHAnsi" w:hAnsiTheme="majorHAnsi" w:cstheme="majorHAnsi"/>
        </w:rPr>
      </w:pPr>
    </w:p>
    <w:p w:rsidR="002521A7" w:rsidRPr="000D4580" w:rsidRDefault="002521A7" w:rsidP="00D140C1">
      <w:pPr>
        <w:spacing w:line="360" w:lineRule="auto"/>
        <w:rPr>
          <w:rFonts w:asciiTheme="majorHAnsi" w:hAnsiTheme="majorHAnsi" w:cstheme="majorHAnsi"/>
        </w:rPr>
      </w:pPr>
      <w:r w:rsidRPr="000D4580">
        <w:rPr>
          <w:rFonts w:asciiTheme="majorHAnsi" w:hAnsiTheme="majorHAnsi" w:cstheme="majorHAnsi"/>
        </w:rPr>
        <w:t>The following section should be read with the corresponding section in the main text (Section 2.3).</w:t>
      </w:r>
    </w:p>
    <w:p w:rsidR="002521A7" w:rsidRPr="000D4580" w:rsidRDefault="002521A7" w:rsidP="00D140C1">
      <w:pPr>
        <w:spacing w:line="360" w:lineRule="auto"/>
        <w:rPr>
          <w:rFonts w:asciiTheme="majorHAnsi" w:hAnsiTheme="majorHAnsi" w:cstheme="majorHAnsi"/>
        </w:rPr>
      </w:pPr>
    </w:p>
    <w:p w:rsidR="002521A7" w:rsidRPr="000D4580" w:rsidRDefault="009F0E6C" w:rsidP="00D140C1">
      <w:pPr>
        <w:pStyle w:val="Heading2"/>
        <w:spacing w:line="360" w:lineRule="auto"/>
        <w:rPr>
          <w:rFonts w:cstheme="majorHAnsi"/>
        </w:rPr>
      </w:pPr>
      <w:r w:rsidRPr="000D4580">
        <w:rPr>
          <w:rFonts w:cstheme="majorHAnsi"/>
        </w:rPr>
        <w:t>7</w:t>
      </w:r>
      <w:r w:rsidR="002521A7" w:rsidRPr="000D4580">
        <w:rPr>
          <w:rFonts w:cstheme="majorHAnsi"/>
        </w:rPr>
        <w:t>.1</w:t>
      </w:r>
      <w:r w:rsidR="002521A7" w:rsidRPr="000D4580">
        <w:rPr>
          <w:rFonts w:cstheme="majorHAnsi"/>
        </w:rPr>
        <w:tab/>
        <w:t>Measuring sea distance</w:t>
      </w:r>
    </w:p>
    <w:p w:rsidR="002521A7" w:rsidRPr="000D4580" w:rsidRDefault="002521A7" w:rsidP="00D140C1">
      <w:pPr>
        <w:spacing w:line="360" w:lineRule="auto"/>
        <w:rPr>
          <w:rFonts w:asciiTheme="majorHAnsi" w:hAnsiTheme="majorHAnsi" w:cstheme="majorHAnsi"/>
        </w:rPr>
      </w:pPr>
    </w:p>
    <w:p w:rsidR="002521A7" w:rsidRPr="000D4580" w:rsidRDefault="002521A7" w:rsidP="00D140C1">
      <w:pPr>
        <w:spacing w:line="360" w:lineRule="auto"/>
        <w:ind w:firstLine="720"/>
        <w:rPr>
          <w:rFonts w:asciiTheme="majorHAnsi" w:hAnsiTheme="majorHAnsi" w:cstheme="majorHAnsi"/>
        </w:rPr>
      </w:pPr>
      <w:r w:rsidRPr="000D4580">
        <w:rPr>
          <w:rFonts w:asciiTheme="majorHAnsi" w:hAnsiTheme="majorHAnsi" w:cstheme="majorHAnsi"/>
        </w:rPr>
        <w:t>We apply the Floyd-</w:t>
      </w:r>
      <w:proofErr w:type="spellStart"/>
      <w:r w:rsidRPr="000D4580">
        <w:rPr>
          <w:rFonts w:asciiTheme="majorHAnsi" w:hAnsiTheme="majorHAnsi" w:cstheme="majorHAnsi"/>
        </w:rPr>
        <w:t>Warshall</w:t>
      </w:r>
      <w:proofErr w:type="spellEnd"/>
      <w:r w:rsidRPr="000D4580">
        <w:rPr>
          <w:rFonts w:asciiTheme="majorHAnsi" w:hAnsiTheme="majorHAnsi" w:cstheme="majorHAnsi"/>
        </w:rPr>
        <w:t xml:space="preserve"> Algorithm on a set of nodes that cover major bodies of water, combined with a set of nodes at the locations of major sea and inland water ports. The set of uniform nodes are separated by 2 degrees.</w:t>
      </w:r>
      <w:r w:rsidRPr="003F6202">
        <w:rPr>
          <w:rStyle w:val="FootnoteReference"/>
        </w:rPr>
        <w:footnoteReference w:id="1"/>
      </w:r>
      <w:r w:rsidRPr="000D4580">
        <w:rPr>
          <w:rFonts w:asciiTheme="majorHAnsi" w:hAnsiTheme="majorHAnsi" w:cstheme="majorHAnsi"/>
        </w:rPr>
        <w:t xml:space="preserve"> Additionally, there can be more than one port per country; for instance, the United States has ports in the northeast (New York), southeast (New Orleans), and the west (California).  The Floyd-</w:t>
      </w:r>
      <w:proofErr w:type="spellStart"/>
      <w:r w:rsidRPr="000D4580">
        <w:rPr>
          <w:rFonts w:asciiTheme="majorHAnsi" w:hAnsiTheme="majorHAnsi" w:cstheme="majorHAnsi"/>
        </w:rPr>
        <w:t>Warshall</w:t>
      </w:r>
      <w:proofErr w:type="spellEnd"/>
      <w:r w:rsidRPr="000D4580">
        <w:rPr>
          <w:rFonts w:asciiTheme="majorHAnsi" w:hAnsiTheme="majorHAnsi" w:cstheme="majorHAnsi"/>
        </w:rPr>
        <w:t xml:space="preserve"> Algorithm finds the shortest path between two nodes by adding or subtracting intermediate points based on whether they shorten or lengthen the path. We aggregate to the 14 regions represented in </w:t>
      </w:r>
      <w:proofErr w:type="spellStart"/>
      <w:r w:rsidRPr="000D4580">
        <w:rPr>
          <w:rFonts w:asciiTheme="majorHAnsi" w:hAnsiTheme="majorHAnsi" w:cstheme="majorHAnsi"/>
        </w:rPr>
        <w:t>MESSAGEix</w:t>
      </w:r>
      <w:proofErr w:type="spellEnd"/>
      <w:r w:rsidRPr="000D4580">
        <w:rPr>
          <w:rFonts w:asciiTheme="majorHAnsi" w:hAnsiTheme="majorHAnsi" w:cstheme="majorHAnsi"/>
        </w:rPr>
        <w:t xml:space="preserve"> by selecting the primary import and export ports for each region, for each energy commodity in each year. This means that the distance between regions is time-variant; it is based on the country/port that is most crucial for each commodity in a given year. A detailed framework for port selection can be found in the Supplementary Material.</w:t>
      </w:r>
    </w:p>
    <w:p w:rsidR="002521A7" w:rsidRPr="000D4580" w:rsidRDefault="002521A7" w:rsidP="00D140C1">
      <w:pPr>
        <w:spacing w:line="360" w:lineRule="auto"/>
        <w:ind w:firstLine="720"/>
        <w:rPr>
          <w:rFonts w:asciiTheme="majorHAnsi" w:hAnsiTheme="majorHAnsi" w:cstheme="majorHAnsi"/>
        </w:rPr>
      </w:pPr>
    </w:p>
    <w:p w:rsidR="002521A7" w:rsidRPr="000D4580" w:rsidRDefault="009F0E6C" w:rsidP="00D140C1">
      <w:pPr>
        <w:pStyle w:val="Heading2"/>
        <w:spacing w:line="360" w:lineRule="auto"/>
        <w:rPr>
          <w:rFonts w:cstheme="majorHAnsi"/>
        </w:rPr>
      </w:pPr>
      <w:r w:rsidRPr="000D4580">
        <w:rPr>
          <w:rFonts w:cstheme="majorHAnsi"/>
        </w:rPr>
        <w:t>7</w:t>
      </w:r>
      <w:r w:rsidR="002521A7" w:rsidRPr="000D4580">
        <w:rPr>
          <w:rFonts w:cstheme="majorHAnsi"/>
        </w:rPr>
        <w:t>.2</w:t>
      </w:r>
      <w:r w:rsidR="002521A7" w:rsidRPr="000D4580">
        <w:rPr>
          <w:rFonts w:cstheme="majorHAnsi"/>
        </w:rPr>
        <w:tab/>
        <w:t>Marginal effect of sea distance on trade cost</w:t>
      </w:r>
    </w:p>
    <w:p w:rsidR="002521A7" w:rsidRPr="000D4580" w:rsidRDefault="002521A7" w:rsidP="00D140C1">
      <w:pPr>
        <w:spacing w:line="360" w:lineRule="auto"/>
        <w:rPr>
          <w:rFonts w:asciiTheme="majorHAnsi" w:hAnsiTheme="majorHAnsi" w:cstheme="majorHAnsi"/>
        </w:rPr>
      </w:pPr>
    </w:p>
    <w:p w:rsidR="002521A7" w:rsidRPr="000D4580" w:rsidRDefault="002521A7" w:rsidP="00D140C1">
      <w:pPr>
        <w:spacing w:line="360" w:lineRule="auto"/>
        <w:ind w:firstLine="720"/>
        <w:rPr>
          <w:rFonts w:asciiTheme="majorHAnsi" w:hAnsiTheme="majorHAnsi" w:cstheme="majorHAnsi"/>
        </w:rPr>
      </w:pPr>
      <w:r w:rsidRPr="000D4580">
        <w:rPr>
          <w:rFonts w:asciiTheme="majorHAnsi" w:hAnsiTheme="majorHAnsi" w:cstheme="majorHAnsi"/>
        </w:rPr>
        <w:t>We estimate the marginal effect of sea distance by first building a dataset of trade flows and distances between countries for 1995-2014. To this, we add the gravity terms derived from USITC data (see Data). Using this data, we run the following ordinary least squares (OLS) specification:</w:t>
      </w:r>
    </w:p>
    <w:p w:rsidR="002521A7" w:rsidRPr="000D4580" w:rsidRDefault="002521A7" w:rsidP="00D140C1">
      <w:pPr>
        <w:spacing w:line="360" w:lineRule="auto"/>
        <w:rPr>
          <w:rFonts w:asciiTheme="majorHAnsi" w:hAnsiTheme="majorHAnsi" w:cstheme="majorHAnsi"/>
        </w:rPr>
      </w:pPr>
    </w:p>
    <w:p w:rsidR="002521A7" w:rsidRPr="000D4580" w:rsidRDefault="000148C0" w:rsidP="00D140C1">
      <w:pPr>
        <w:spacing w:line="360" w:lineRule="auto"/>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P</m:t>
              </m:r>
            </m:e>
            <m:sub>
              <m:r>
                <w:rPr>
                  <w:rFonts w:ascii="Cambria Math" w:hAnsi="Cambria Math" w:cstheme="majorHAnsi"/>
                </w:rPr>
                <m:t>ijkt</m:t>
              </m:r>
            </m:sub>
          </m:sSub>
          <m:r>
            <w:rPr>
              <w:rFonts w:ascii="Cambria Math" w:hAnsi="Cambria Math" w:cstheme="majorHAnsi"/>
            </w:rPr>
            <m:t>=α+</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1</m:t>
              </m:r>
            </m:sub>
          </m:sSub>
          <m:sSub>
            <m:sSubPr>
              <m:ctrlPr>
                <w:rPr>
                  <w:rFonts w:ascii="Cambria Math" w:hAnsi="Cambria Math" w:cstheme="majorHAnsi"/>
                  <w:i/>
                </w:rPr>
              </m:ctrlPr>
            </m:sSubPr>
            <m:e>
              <m:r>
                <w:rPr>
                  <w:rFonts w:ascii="Cambria Math" w:hAnsi="Cambria Math" w:cstheme="majorHAnsi"/>
                </w:rPr>
                <m:t>d</m:t>
              </m:r>
            </m:e>
            <m:sub>
              <m:r>
                <w:rPr>
                  <w:rFonts w:ascii="Cambria Math" w:hAnsi="Cambria Math" w:cstheme="majorHAnsi"/>
                </w:rPr>
                <m:t>ijt</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2</m:t>
              </m:r>
            </m:sub>
          </m:sSub>
          <m:sSub>
            <m:sSubPr>
              <m:ctrlPr>
                <w:rPr>
                  <w:rFonts w:ascii="Cambria Math" w:hAnsi="Cambria Math" w:cstheme="majorHAnsi"/>
                  <w:i/>
                </w:rPr>
              </m:ctrlPr>
            </m:sSubPr>
            <m:e>
              <m:r>
                <w:rPr>
                  <w:rFonts w:ascii="Cambria Math" w:hAnsi="Cambria Math" w:cstheme="majorHAnsi"/>
                </w:rPr>
                <m:t>g</m:t>
              </m:r>
            </m:e>
            <m:sub>
              <m:r>
                <w:rPr>
                  <w:rFonts w:ascii="Cambria Math" w:hAnsi="Cambria Math" w:cstheme="majorHAnsi"/>
                </w:rPr>
                <m:t>it</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3</m:t>
              </m:r>
            </m:sub>
          </m:sSub>
          <m:sSub>
            <m:sSubPr>
              <m:ctrlPr>
                <w:rPr>
                  <w:rFonts w:ascii="Cambria Math" w:hAnsi="Cambria Math" w:cstheme="majorHAnsi"/>
                  <w:i/>
                </w:rPr>
              </m:ctrlPr>
            </m:sSubPr>
            <m:e>
              <m:r>
                <w:rPr>
                  <w:rFonts w:ascii="Cambria Math" w:hAnsi="Cambria Math" w:cstheme="majorHAnsi"/>
                </w:rPr>
                <m:t>g</m:t>
              </m:r>
            </m:e>
            <m:sub>
              <m:r>
                <w:rPr>
                  <w:rFonts w:ascii="Cambria Math" w:hAnsi="Cambria Math" w:cstheme="majorHAnsi"/>
                </w:rPr>
                <m:t>jt</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4</m:t>
              </m:r>
            </m:sub>
          </m:sSub>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ij</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5</m:t>
              </m:r>
            </m:sub>
          </m:sSub>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ij</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6:19</m:t>
              </m:r>
            </m:sub>
          </m:sSub>
          <m:sSub>
            <m:sSubPr>
              <m:ctrlPr>
                <w:rPr>
                  <w:rFonts w:ascii="Cambria Math" w:hAnsi="Cambria Math" w:cstheme="majorHAnsi"/>
                  <w:i/>
                </w:rPr>
              </m:ctrlPr>
            </m:sSubPr>
            <m:e>
              <m:r>
                <m:rPr>
                  <m:sty m:val="p"/>
                </m:rPr>
                <w:rPr>
                  <w:rFonts w:ascii="Cambria Math" w:hAnsi="Cambria Math" w:cstheme="majorHAnsi"/>
                </w:rPr>
                <m:t>Γ</m:t>
              </m:r>
              <m:ctrlPr>
                <w:rPr>
                  <w:rFonts w:ascii="Cambria Math" w:hAnsi="Cambria Math" w:cstheme="majorHAnsi"/>
                </w:rPr>
              </m:ctrlPr>
            </m:e>
            <m: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i</m:t>
                  </m:r>
                </m:sub>
              </m:sSub>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20:33</m:t>
              </m:r>
            </m:sub>
          </m:sSub>
          <m:sSub>
            <m:sSubPr>
              <m:ctrlPr>
                <w:rPr>
                  <w:rFonts w:ascii="Cambria Math" w:hAnsi="Cambria Math" w:cstheme="majorHAnsi"/>
                  <w:i/>
                </w:rPr>
              </m:ctrlPr>
            </m:sSubPr>
            <m:e>
              <m:r>
                <m:rPr>
                  <m:sty m:val="p"/>
                </m:rPr>
                <w:rPr>
                  <w:rFonts w:ascii="Cambria Math" w:hAnsi="Cambria Math" w:cstheme="majorHAnsi"/>
                </w:rPr>
                <m:t>Θ</m:t>
              </m:r>
              <m:ctrlPr>
                <w:rPr>
                  <w:rFonts w:ascii="Cambria Math" w:hAnsi="Cambria Math" w:cstheme="majorHAnsi"/>
                </w:rPr>
              </m:ctrlPr>
            </m:e>
            <m: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j</m:t>
                  </m:r>
                </m:sub>
              </m:sSub>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34:53</m:t>
              </m:r>
            </m:sub>
          </m:sSub>
          <m:sSub>
            <m:sSubPr>
              <m:ctrlPr>
                <w:rPr>
                  <w:rFonts w:ascii="Cambria Math" w:hAnsi="Cambria Math" w:cstheme="majorHAnsi"/>
                  <w:i/>
                </w:rPr>
              </m:ctrlPr>
            </m:sSubPr>
            <m:e>
              <m:r>
                <m:rPr>
                  <m:sty m:val="p"/>
                </m:rPr>
                <w:rPr>
                  <w:rFonts w:ascii="Cambria Math" w:hAnsi="Cambria Math" w:cstheme="majorHAnsi"/>
                </w:rPr>
                <m:t>Ψ</m:t>
              </m:r>
              <m:ctrlPr>
                <w:rPr>
                  <w:rFonts w:ascii="Cambria Math" w:hAnsi="Cambria Math" w:cstheme="majorHAnsi"/>
                </w:rPr>
              </m:ctrlPr>
            </m:e>
            <m:sub>
              <m:r>
                <w:rPr>
                  <w:rFonts w:ascii="Cambria Math" w:hAnsi="Cambria Math" w:cstheme="majorHAnsi"/>
                </w:rPr>
                <m:t>t</m:t>
              </m:r>
            </m:sub>
          </m:sSub>
          <m:r>
            <w:rPr>
              <w:rFonts w:ascii="Cambria Math" w:hAnsi="Cambria Math" w:cstheme="majorHAnsi"/>
            </w:rPr>
            <m:t>+ϵ</m:t>
          </m:r>
        </m:oMath>
      </m:oMathPara>
    </w:p>
    <w:p w:rsidR="002521A7" w:rsidRPr="000D4580" w:rsidRDefault="002521A7" w:rsidP="00D140C1">
      <w:pPr>
        <w:spacing w:line="360" w:lineRule="auto"/>
        <w:rPr>
          <w:rFonts w:asciiTheme="majorHAnsi" w:hAnsiTheme="majorHAnsi" w:cstheme="majorHAnsi"/>
        </w:rPr>
      </w:pPr>
    </w:p>
    <w:p w:rsidR="002521A7" w:rsidRPr="000D4580" w:rsidRDefault="002521A7" w:rsidP="00D140C1">
      <w:pPr>
        <w:spacing w:line="360" w:lineRule="auto"/>
        <w:rPr>
          <w:rFonts w:asciiTheme="majorHAnsi" w:hAnsiTheme="majorHAnsi" w:cstheme="majorHAnsi"/>
        </w:rPr>
      </w:pPr>
      <w:r w:rsidRPr="000D4580">
        <w:rPr>
          <w:rFonts w:asciiTheme="majorHAnsi" w:hAnsiTheme="majorHAnsi" w:cstheme="majorHAnsi"/>
        </w:rPr>
        <w:lastRenderedPageBreak/>
        <w:t>Where:</w:t>
      </w:r>
    </w:p>
    <w:p w:rsidR="002521A7" w:rsidRPr="000D4580" w:rsidRDefault="000148C0" w:rsidP="00D140C1">
      <w:pPr>
        <w:pStyle w:val="ListParagraph"/>
        <w:numPr>
          <w:ilvl w:val="0"/>
          <w:numId w:val="1"/>
        </w:numPr>
        <w:spacing w:line="360" w:lineRule="auto"/>
        <w:rPr>
          <w:rFonts w:asciiTheme="majorHAnsi" w:hAnsiTheme="majorHAnsi" w:cstheme="majorHAnsi"/>
          <w:color w:val="auto"/>
        </w:rPr>
      </w:pPr>
      <m:oMath>
        <m:sSub>
          <m:sSubPr>
            <m:ctrlPr>
              <w:rPr>
                <w:rFonts w:ascii="Cambria Math" w:hAnsi="Cambria Math" w:cstheme="majorHAnsi"/>
                <w:i/>
                <w:color w:val="auto"/>
              </w:rPr>
            </m:ctrlPr>
          </m:sSubPr>
          <m:e>
            <m:r>
              <w:rPr>
                <w:rFonts w:ascii="Cambria Math" w:hAnsi="Cambria Math" w:cstheme="majorHAnsi"/>
                <w:color w:val="auto"/>
              </w:rPr>
              <m:t>P</m:t>
            </m:r>
          </m:e>
          <m:sub>
            <m:r>
              <w:rPr>
                <w:rFonts w:ascii="Cambria Math" w:hAnsi="Cambria Math" w:cstheme="majorHAnsi"/>
                <w:color w:val="auto"/>
              </w:rPr>
              <m:t>ijkt</m:t>
            </m:r>
          </m:sub>
        </m:sSub>
      </m:oMath>
      <w:r w:rsidR="002521A7" w:rsidRPr="000D4580">
        <w:rPr>
          <w:rFonts w:asciiTheme="majorHAnsi" w:hAnsiTheme="majorHAnsi" w:cstheme="majorHAnsi"/>
          <w:color w:val="auto"/>
        </w:rPr>
        <w:t xml:space="preserve"> is the per-unit cost of energy commodity </w:t>
      </w:r>
      <m:oMath>
        <m:r>
          <w:rPr>
            <w:rFonts w:ascii="Cambria Math" w:hAnsi="Cambria Math" w:cstheme="majorHAnsi"/>
            <w:color w:val="auto"/>
          </w:rPr>
          <m:t>k</m:t>
        </m:r>
      </m:oMath>
      <w:r w:rsidR="002521A7" w:rsidRPr="000D4580">
        <w:rPr>
          <w:rFonts w:asciiTheme="majorHAnsi" w:hAnsiTheme="majorHAnsi" w:cstheme="majorHAnsi"/>
          <w:color w:val="auto"/>
        </w:rPr>
        <w:t xml:space="preserve"> that is exported from country </w:t>
      </w:r>
      <m:oMath>
        <m:r>
          <w:rPr>
            <w:rFonts w:ascii="Cambria Math" w:hAnsi="Cambria Math" w:cstheme="majorHAnsi"/>
            <w:color w:val="auto"/>
          </w:rPr>
          <m:t>i</m:t>
        </m:r>
      </m:oMath>
      <w:r w:rsidR="002521A7" w:rsidRPr="000D4580">
        <w:rPr>
          <w:rFonts w:asciiTheme="majorHAnsi" w:hAnsiTheme="majorHAnsi" w:cstheme="majorHAnsi"/>
          <w:color w:val="auto"/>
        </w:rPr>
        <w:t xml:space="preserve"> to country </w:t>
      </w:r>
      <m:oMath>
        <m:r>
          <w:rPr>
            <w:rFonts w:ascii="Cambria Math" w:hAnsi="Cambria Math" w:cstheme="majorHAnsi"/>
            <w:color w:val="auto"/>
          </w:rPr>
          <m:t>j</m:t>
        </m:r>
      </m:oMath>
      <w:r w:rsidR="002521A7" w:rsidRPr="000D4580">
        <w:rPr>
          <w:rFonts w:asciiTheme="majorHAnsi" w:hAnsiTheme="majorHAnsi" w:cstheme="majorHAnsi"/>
          <w:color w:val="auto"/>
        </w:rPr>
        <w:t xml:space="preserve"> in year </w:t>
      </w:r>
      <m:oMath>
        <m:r>
          <w:rPr>
            <w:rFonts w:ascii="Cambria Math" w:hAnsi="Cambria Math" w:cstheme="majorHAnsi"/>
            <w:color w:val="auto"/>
          </w:rPr>
          <m:t>t</m:t>
        </m:r>
      </m:oMath>
      <w:r w:rsidR="002521A7" w:rsidRPr="000D4580">
        <w:rPr>
          <w:rFonts w:asciiTheme="majorHAnsi" w:hAnsiTheme="majorHAnsi" w:cstheme="majorHAnsi"/>
          <w:color w:val="auto"/>
        </w:rPr>
        <w:t xml:space="preserve">; </w:t>
      </w:r>
    </w:p>
    <w:p w:rsidR="002521A7" w:rsidRPr="000D4580" w:rsidRDefault="000148C0" w:rsidP="00D140C1">
      <w:pPr>
        <w:pStyle w:val="ListParagraph"/>
        <w:numPr>
          <w:ilvl w:val="0"/>
          <w:numId w:val="1"/>
        </w:numPr>
        <w:spacing w:line="360" w:lineRule="auto"/>
        <w:rPr>
          <w:rFonts w:asciiTheme="majorHAnsi" w:hAnsiTheme="majorHAnsi" w:cstheme="majorHAnsi"/>
          <w:color w:val="auto"/>
        </w:rPr>
      </w:pPr>
      <m:oMath>
        <m:sSub>
          <m:sSubPr>
            <m:ctrlPr>
              <w:rPr>
                <w:rFonts w:ascii="Cambria Math" w:hAnsi="Cambria Math" w:cstheme="majorHAnsi"/>
                <w:i/>
                <w:color w:val="auto"/>
              </w:rPr>
            </m:ctrlPr>
          </m:sSubPr>
          <m:e>
            <m:r>
              <w:rPr>
                <w:rFonts w:ascii="Cambria Math" w:hAnsi="Cambria Math" w:cstheme="majorHAnsi"/>
                <w:color w:val="auto"/>
              </w:rPr>
              <m:t>d</m:t>
            </m:r>
          </m:e>
          <m:sub>
            <m:r>
              <w:rPr>
                <w:rFonts w:ascii="Cambria Math" w:hAnsi="Cambria Math" w:cstheme="majorHAnsi"/>
                <w:color w:val="auto"/>
              </w:rPr>
              <m:t>ijt</m:t>
            </m:r>
          </m:sub>
        </m:sSub>
      </m:oMath>
      <w:r w:rsidR="002521A7" w:rsidRPr="000D4580">
        <w:rPr>
          <w:rFonts w:asciiTheme="majorHAnsi" w:hAnsiTheme="majorHAnsi" w:cstheme="majorHAnsi"/>
          <w:color w:val="auto"/>
        </w:rPr>
        <w:t xml:space="preserve"> is distance between country </w:t>
      </w:r>
      <m:oMath>
        <m:r>
          <w:rPr>
            <w:rFonts w:ascii="Cambria Math" w:hAnsi="Cambria Math" w:cstheme="majorHAnsi"/>
            <w:color w:val="auto"/>
          </w:rPr>
          <m:t>i</m:t>
        </m:r>
      </m:oMath>
      <w:r w:rsidR="002521A7" w:rsidRPr="000D4580">
        <w:rPr>
          <w:rFonts w:asciiTheme="majorHAnsi" w:hAnsiTheme="majorHAnsi" w:cstheme="majorHAnsi"/>
          <w:color w:val="auto"/>
        </w:rPr>
        <w:t xml:space="preserve"> and country </w:t>
      </w:r>
      <m:oMath>
        <m:r>
          <w:rPr>
            <w:rFonts w:ascii="Cambria Math" w:hAnsi="Cambria Math" w:cstheme="majorHAnsi"/>
            <w:color w:val="auto"/>
          </w:rPr>
          <m:t>j</m:t>
        </m:r>
      </m:oMath>
      <w:r w:rsidR="002521A7" w:rsidRPr="000D4580">
        <w:rPr>
          <w:rFonts w:asciiTheme="majorHAnsi" w:hAnsiTheme="majorHAnsi" w:cstheme="majorHAnsi"/>
          <w:color w:val="auto"/>
        </w:rPr>
        <w:t xml:space="preserve">; </w:t>
      </w:r>
    </w:p>
    <w:p w:rsidR="002521A7" w:rsidRPr="000D4580" w:rsidRDefault="000148C0" w:rsidP="00D140C1">
      <w:pPr>
        <w:pStyle w:val="ListParagraph"/>
        <w:numPr>
          <w:ilvl w:val="0"/>
          <w:numId w:val="1"/>
        </w:numPr>
        <w:spacing w:line="360" w:lineRule="auto"/>
        <w:rPr>
          <w:rFonts w:asciiTheme="majorHAnsi" w:hAnsiTheme="majorHAnsi" w:cstheme="majorHAnsi"/>
          <w:color w:val="auto"/>
        </w:rPr>
      </w:pPr>
      <m:oMath>
        <m:sSub>
          <m:sSubPr>
            <m:ctrlPr>
              <w:rPr>
                <w:rFonts w:ascii="Cambria Math" w:hAnsi="Cambria Math" w:cstheme="majorHAnsi"/>
                <w:i/>
                <w:color w:val="auto"/>
              </w:rPr>
            </m:ctrlPr>
          </m:sSubPr>
          <m:e>
            <m:r>
              <w:rPr>
                <w:rFonts w:ascii="Cambria Math" w:hAnsi="Cambria Math" w:cstheme="majorHAnsi"/>
                <w:color w:val="auto"/>
              </w:rPr>
              <m:t>g</m:t>
            </m:r>
          </m:e>
          <m:sub>
            <m:r>
              <w:rPr>
                <w:rFonts w:ascii="Cambria Math" w:hAnsi="Cambria Math" w:cstheme="majorHAnsi"/>
                <w:color w:val="auto"/>
              </w:rPr>
              <m:t>it</m:t>
            </m:r>
          </m:sub>
        </m:sSub>
      </m:oMath>
      <w:r w:rsidR="002521A7" w:rsidRPr="000D4580">
        <w:rPr>
          <w:rFonts w:asciiTheme="majorHAnsi" w:hAnsiTheme="majorHAnsi" w:cstheme="majorHAnsi"/>
          <w:color w:val="auto"/>
        </w:rPr>
        <w:t xml:space="preserve"> and </w:t>
      </w:r>
      <m:oMath>
        <m:sSub>
          <m:sSubPr>
            <m:ctrlPr>
              <w:rPr>
                <w:rFonts w:ascii="Cambria Math" w:hAnsi="Cambria Math" w:cstheme="majorHAnsi"/>
                <w:i/>
                <w:color w:val="auto"/>
              </w:rPr>
            </m:ctrlPr>
          </m:sSubPr>
          <m:e>
            <m:r>
              <w:rPr>
                <w:rFonts w:ascii="Cambria Math" w:hAnsi="Cambria Math" w:cstheme="majorHAnsi"/>
                <w:color w:val="auto"/>
              </w:rPr>
              <m:t>g</m:t>
            </m:r>
          </m:e>
          <m:sub>
            <m:r>
              <w:rPr>
                <w:rFonts w:ascii="Cambria Math" w:hAnsi="Cambria Math" w:cstheme="majorHAnsi"/>
                <w:color w:val="auto"/>
              </w:rPr>
              <m:t>jt</m:t>
            </m:r>
          </m:sub>
        </m:sSub>
      </m:oMath>
      <w:r w:rsidR="002521A7" w:rsidRPr="000D4580">
        <w:rPr>
          <w:rFonts w:asciiTheme="majorHAnsi" w:hAnsiTheme="majorHAnsi" w:cstheme="majorHAnsi"/>
          <w:color w:val="auto"/>
        </w:rPr>
        <w:t xml:space="preserve"> are GDP of countries </w:t>
      </w:r>
      <m:oMath>
        <m:r>
          <w:rPr>
            <w:rFonts w:ascii="Cambria Math" w:hAnsi="Cambria Math" w:cstheme="majorHAnsi"/>
            <w:color w:val="auto"/>
          </w:rPr>
          <m:t>i</m:t>
        </m:r>
      </m:oMath>
      <w:r w:rsidR="002521A7" w:rsidRPr="000D4580">
        <w:rPr>
          <w:rFonts w:asciiTheme="majorHAnsi" w:hAnsiTheme="majorHAnsi" w:cstheme="majorHAnsi"/>
          <w:color w:val="auto"/>
        </w:rPr>
        <w:t xml:space="preserve"> and </w:t>
      </w:r>
      <m:oMath>
        <m:r>
          <w:rPr>
            <w:rFonts w:ascii="Cambria Math" w:hAnsi="Cambria Math" w:cstheme="majorHAnsi"/>
            <w:color w:val="auto"/>
          </w:rPr>
          <m:t>j</m:t>
        </m:r>
      </m:oMath>
      <w:r w:rsidR="002521A7" w:rsidRPr="000D4580">
        <w:rPr>
          <w:rFonts w:asciiTheme="majorHAnsi" w:hAnsiTheme="majorHAnsi" w:cstheme="majorHAnsi"/>
          <w:color w:val="auto"/>
        </w:rPr>
        <w:t xml:space="preserve"> in year </w:t>
      </w:r>
      <m:oMath>
        <m:r>
          <w:rPr>
            <w:rFonts w:ascii="Cambria Math" w:hAnsi="Cambria Math" w:cstheme="majorHAnsi"/>
            <w:color w:val="auto"/>
          </w:rPr>
          <m:t>t</m:t>
        </m:r>
      </m:oMath>
      <w:r w:rsidR="002521A7" w:rsidRPr="000D4580">
        <w:rPr>
          <w:rFonts w:asciiTheme="majorHAnsi" w:hAnsiTheme="majorHAnsi" w:cstheme="majorHAnsi"/>
          <w:color w:val="auto"/>
        </w:rPr>
        <w:t xml:space="preserve">; </w:t>
      </w:r>
    </w:p>
    <w:p w:rsidR="002521A7" w:rsidRPr="000D4580" w:rsidRDefault="000148C0" w:rsidP="00D140C1">
      <w:pPr>
        <w:pStyle w:val="ListParagraph"/>
        <w:numPr>
          <w:ilvl w:val="0"/>
          <w:numId w:val="1"/>
        </w:numPr>
        <w:spacing w:line="360" w:lineRule="auto"/>
        <w:rPr>
          <w:rFonts w:asciiTheme="majorHAnsi" w:hAnsiTheme="majorHAnsi" w:cstheme="majorHAnsi"/>
          <w:color w:val="auto"/>
        </w:rPr>
      </w:pPr>
      <m:oMath>
        <m:sSub>
          <m:sSubPr>
            <m:ctrlPr>
              <w:rPr>
                <w:rFonts w:ascii="Cambria Math" w:hAnsi="Cambria Math" w:cstheme="majorHAnsi"/>
                <w:i/>
                <w:color w:val="auto"/>
              </w:rPr>
            </m:ctrlPr>
          </m:sSubPr>
          <m:e>
            <m:r>
              <w:rPr>
                <w:rFonts w:ascii="Cambria Math" w:hAnsi="Cambria Math" w:cstheme="majorHAnsi"/>
                <w:color w:val="auto"/>
              </w:rPr>
              <m:t>c</m:t>
            </m:r>
          </m:e>
          <m:sub>
            <m:r>
              <w:rPr>
                <w:rFonts w:ascii="Cambria Math" w:hAnsi="Cambria Math" w:cstheme="majorHAnsi"/>
                <w:color w:val="auto"/>
              </w:rPr>
              <m:t>ij</m:t>
            </m:r>
          </m:sub>
        </m:sSub>
      </m:oMath>
      <w:r w:rsidR="002521A7" w:rsidRPr="000D4580">
        <w:rPr>
          <w:rFonts w:asciiTheme="majorHAnsi" w:hAnsiTheme="majorHAnsi" w:cstheme="majorHAnsi"/>
          <w:color w:val="auto"/>
        </w:rPr>
        <w:t xml:space="preserve"> is an indicator equal to 1 if the two countries are contiguous; </w:t>
      </w:r>
    </w:p>
    <w:p w:rsidR="002521A7" w:rsidRPr="000D4580" w:rsidRDefault="000148C0" w:rsidP="00D140C1">
      <w:pPr>
        <w:pStyle w:val="ListParagraph"/>
        <w:numPr>
          <w:ilvl w:val="0"/>
          <w:numId w:val="1"/>
        </w:numPr>
        <w:spacing w:line="360" w:lineRule="auto"/>
        <w:rPr>
          <w:rFonts w:asciiTheme="majorHAnsi" w:hAnsiTheme="majorHAnsi" w:cstheme="majorHAnsi"/>
          <w:color w:val="auto"/>
        </w:rPr>
      </w:pPr>
      <m:oMath>
        <m:sSub>
          <m:sSubPr>
            <m:ctrlPr>
              <w:rPr>
                <w:rFonts w:ascii="Cambria Math" w:hAnsi="Cambria Math" w:cstheme="majorHAnsi"/>
                <w:i/>
                <w:color w:val="auto"/>
              </w:rPr>
            </m:ctrlPr>
          </m:sSubPr>
          <m:e>
            <m:r>
              <w:rPr>
                <w:rFonts w:ascii="Cambria Math" w:hAnsi="Cambria Math" w:cstheme="majorHAnsi"/>
                <w:color w:val="auto"/>
              </w:rPr>
              <m:t>l</m:t>
            </m:r>
          </m:e>
          <m:sub>
            <m:r>
              <w:rPr>
                <w:rFonts w:ascii="Cambria Math" w:hAnsi="Cambria Math" w:cstheme="majorHAnsi"/>
                <w:color w:val="auto"/>
              </w:rPr>
              <m:t>ij</m:t>
            </m:r>
          </m:sub>
        </m:sSub>
      </m:oMath>
      <w:r w:rsidR="002521A7" w:rsidRPr="000D4580">
        <w:rPr>
          <w:rFonts w:asciiTheme="majorHAnsi" w:hAnsiTheme="majorHAnsi" w:cstheme="majorHAnsi"/>
          <w:color w:val="auto"/>
        </w:rPr>
        <w:t xml:space="preserve"> is an indicator equal to 1 if countries </w:t>
      </w:r>
      <m:oMath>
        <m:r>
          <w:rPr>
            <w:rFonts w:ascii="Cambria Math" w:hAnsi="Cambria Math" w:cstheme="majorHAnsi"/>
            <w:color w:val="auto"/>
          </w:rPr>
          <m:t>i</m:t>
        </m:r>
      </m:oMath>
      <w:r w:rsidR="002521A7" w:rsidRPr="000D4580">
        <w:rPr>
          <w:rFonts w:asciiTheme="majorHAnsi" w:hAnsiTheme="majorHAnsi" w:cstheme="majorHAnsi"/>
          <w:color w:val="auto"/>
        </w:rPr>
        <w:t xml:space="preserve"> and </w:t>
      </w:r>
      <m:oMath>
        <m:r>
          <w:rPr>
            <w:rFonts w:ascii="Cambria Math" w:hAnsi="Cambria Math" w:cstheme="majorHAnsi"/>
            <w:color w:val="auto"/>
          </w:rPr>
          <m:t>j</m:t>
        </m:r>
      </m:oMath>
      <w:r w:rsidR="002521A7" w:rsidRPr="000D4580">
        <w:rPr>
          <w:rFonts w:asciiTheme="majorHAnsi" w:hAnsiTheme="majorHAnsi" w:cstheme="majorHAnsi"/>
          <w:color w:val="auto"/>
        </w:rPr>
        <w:t xml:space="preserve"> share a common language; </w:t>
      </w:r>
    </w:p>
    <w:p w:rsidR="002521A7" w:rsidRPr="000D4580" w:rsidRDefault="000148C0" w:rsidP="00D140C1">
      <w:pPr>
        <w:pStyle w:val="ListParagraph"/>
        <w:numPr>
          <w:ilvl w:val="0"/>
          <w:numId w:val="1"/>
        </w:numPr>
        <w:spacing w:line="360" w:lineRule="auto"/>
        <w:rPr>
          <w:rFonts w:asciiTheme="majorHAnsi" w:hAnsiTheme="majorHAnsi" w:cstheme="majorHAnsi"/>
          <w:color w:val="auto"/>
        </w:rPr>
      </w:pPr>
      <m:oMath>
        <m:sSub>
          <m:sSubPr>
            <m:ctrlPr>
              <w:rPr>
                <w:rFonts w:ascii="Cambria Math" w:hAnsi="Cambria Math" w:cstheme="majorHAnsi"/>
                <w:i/>
                <w:color w:val="auto"/>
              </w:rPr>
            </m:ctrlPr>
          </m:sSubPr>
          <m:e>
            <m:r>
              <m:rPr>
                <m:sty m:val="p"/>
              </m:rPr>
              <w:rPr>
                <w:rFonts w:ascii="Cambria Math" w:hAnsi="Cambria Math" w:cstheme="majorHAnsi"/>
                <w:color w:val="auto"/>
              </w:rPr>
              <m:t>Γ</m:t>
            </m:r>
            <m:ctrlPr>
              <w:rPr>
                <w:rFonts w:ascii="Cambria Math" w:hAnsi="Cambria Math" w:cstheme="majorHAnsi"/>
                <w:color w:val="auto"/>
              </w:rPr>
            </m:ctrlPr>
          </m:e>
          <m:sub>
            <m:sSub>
              <m:sSubPr>
                <m:ctrlPr>
                  <w:rPr>
                    <w:rFonts w:ascii="Cambria Math" w:hAnsi="Cambria Math" w:cstheme="majorHAnsi"/>
                    <w:i/>
                    <w:color w:val="auto"/>
                  </w:rPr>
                </m:ctrlPr>
              </m:sSubPr>
              <m:e>
                <m:r>
                  <w:rPr>
                    <w:rFonts w:ascii="Cambria Math" w:hAnsi="Cambria Math" w:cstheme="majorHAnsi"/>
                    <w:color w:val="auto"/>
                  </w:rPr>
                  <m:t>R</m:t>
                </m:r>
              </m:e>
              <m:sub>
                <m:r>
                  <w:rPr>
                    <w:rFonts w:ascii="Cambria Math" w:hAnsi="Cambria Math" w:cstheme="majorHAnsi"/>
                    <w:color w:val="auto"/>
                  </w:rPr>
                  <m:t>i</m:t>
                </m:r>
              </m:sub>
            </m:sSub>
          </m:sub>
        </m:sSub>
      </m:oMath>
      <w:r w:rsidR="002521A7" w:rsidRPr="000D4580">
        <w:rPr>
          <w:rFonts w:asciiTheme="majorHAnsi" w:hAnsiTheme="majorHAnsi" w:cstheme="majorHAnsi"/>
          <w:color w:val="auto"/>
        </w:rPr>
        <w:t xml:space="preserve"> are fixed effects for the MESSAGEIX region corresponding to country </w:t>
      </w:r>
      <m:oMath>
        <m:r>
          <w:rPr>
            <w:rFonts w:ascii="Cambria Math" w:hAnsi="Cambria Math" w:cstheme="majorHAnsi"/>
            <w:color w:val="auto"/>
          </w:rPr>
          <m:t>i</m:t>
        </m:r>
      </m:oMath>
      <w:r w:rsidR="002521A7" w:rsidRPr="000D4580">
        <w:rPr>
          <w:rFonts w:asciiTheme="majorHAnsi" w:hAnsiTheme="majorHAnsi" w:cstheme="majorHAnsi"/>
          <w:color w:val="auto"/>
        </w:rPr>
        <w:t xml:space="preserve">; </w:t>
      </w:r>
    </w:p>
    <w:p w:rsidR="002521A7" w:rsidRPr="000D4580" w:rsidRDefault="000148C0" w:rsidP="00D140C1">
      <w:pPr>
        <w:pStyle w:val="ListParagraph"/>
        <w:numPr>
          <w:ilvl w:val="0"/>
          <w:numId w:val="1"/>
        </w:numPr>
        <w:spacing w:line="360" w:lineRule="auto"/>
        <w:rPr>
          <w:rFonts w:asciiTheme="majorHAnsi" w:hAnsiTheme="majorHAnsi" w:cstheme="majorHAnsi"/>
          <w:color w:val="auto"/>
        </w:rPr>
      </w:pPr>
      <m:oMath>
        <m:sSub>
          <m:sSubPr>
            <m:ctrlPr>
              <w:rPr>
                <w:rFonts w:ascii="Cambria Math" w:hAnsi="Cambria Math" w:cstheme="majorHAnsi"/>
                <w:i/>
                <w:color w:val="auto"/>
              </w:rPr>
            </m:ctrlPr>
          </m:sSubPr>
          <m:e>
            <m:r>
              <m:rPr>
                <m:sty m:val="p"/>
              </m:rPr>
              <w:rPr>
                <w:rFonts w:ascii="Cambria Math" w:hAnsi="Cambria Math" w:cstheme="majorHAnsi"/>
                <w:color w:val="auto"/>
              </w:rPr>
              <m:t>Θ</m:t>
            </m:r>
            <m:ctrlPr>
              <w:rPr>
                <w:rFonts w:ascii="Cambria Math" w:hAnsi="Cambria Math" w:cstheme="majorHAnsi"/>
                <w:color w:val="auto"/>
              </w:rPr>
            </m:ctrlPr>
          </m:e>
          <m:sub>
            <m:sSub>
              <m:sSubPr>
                <m:ctrlPr>
                  <w:rPr>
                    <w:rFonts w:ascii="Cambria Math" w:hAnsi="Cambria Math" w:cstheme="majorHAnsi"/>
                    <w:i/>
                    <w:color w:val="auto"/>
                  </w:rPr>
                </m:ctrlPr>
              </m:sSubPr>
              <m:e>
                <m:r>
                  <w:rPr>
                    <w:rFonts w:ascii="Cambria Math" w:hAnsi="Cambria Math" w:cstheme="majorHAnsi"/>
                    <w:color w:val="auto"/>
                  </w:rPr>
                  <m:t>R</m:t>
                </m:r>
              </m:e>
              <m:sub>
                <m:r>
                  <w:rPr>
                    <w:rFonts w:ascii="Cambria Math" w:hAnsi="Cambria Math" w:cstheme="majorHAnsi"/>
                    <w:color w:val="auto"/>
                  </w:rPr>
                  <m:t>j</m:t>
                </m:r>
              </m:sub>
            </m:sSub>
          </m:sub>
        </m:sSub>
      </m:oMath>
      <w:r w:rsidR="002521A7" w:rsidRPr="000D4580">
        <w:rPr>
          <w:rFonts w:asciiTheme="majorHAnsi" w:hAnsiTheme="majorHAnsi" w:cstheme="majorHAnsi"/>
          <w:color w:val="auto"/>
        </w:rPr>
        <w:t xml:space="preserve"> are fixed effects for the MESSAGEIX region corresponding to country </w:t>
      </w:r>
      <m:oMath>
        <m:r>
          <w:rPr>
            <w:rFonts w:ascii="Cambria Math" w:hAnsi="Cambria Math" w:cstheme="majorHAnsi"/>
            <w:color w:val="auto"/>
          </w:rPr>
          <m:t>j</m:t>
        </m:r>
      </m:oMath>
      <w:r w:rsidR="002521A7" w:rsidRPr="000D4580">
        <w:rPr>
          <w:rFonts w:asciiTheme="majorHAnsi" w:hAnsiTheme="majorHAnsi" w:cstheme="majorHAnsi"/>
          <w:color w:val="auto"/>
        </w:rPr>
        <w:t xml:space="preserve">; </w:t>
      </w:r>
    </w:p>
    <w:p w:rsidR="002521A7" w:rsidRPr="000D4580" w:rsidRDefault="000148C0" w:rsidP="00D140C1">
      <w:pPr>
        <w:pStyle w:val="ListParagraph"/>
        <w:numPr>
          <w:ilvl w:val="0"/>
          <w:numId w:val="1"/>
        </w:numPr>
        <w:spacing w:line="360" w:lineRule="auto"/>
        <w:rPr>
          <w:rFonts w:asciiTheme="majorHAnsi" w:hAnsiTheme="majorHAnsi" w:cstheme="majorHAnsi"/>
          <w:color w:val="auto"/>
        </w:rPr>
      </w:pPr>
      <m:oMath>
        <m:sSub>
          <m:sSubPr>
            <m:ctrlPr>
              <w:rPr>
                <w:rFonts w:ascii="Cambria Math" w:hAnsi="Cambria Math" w:cstheme="majorHAnsi"/>
                <w:i/>
                <w:color w:val="auto"/>
              </w:rPr>
            </m:ctrlPr>
          </m:sSubPr>
          <m:e>
            <m:r>
              <m:rPr>
                <m:sty m:val="p"/>
              </m:rPr>
              <w:rPr>
                <w:rFonts w:ascii="Cambria Math" w:hAnsi="Cambria Math" w:cstheme="majorHAnsi"/>
                <w:color w:val="auto"/>
              </w:rPr>
              <m:t>Ψ</m:t>
            </m:r>
            <m:ctrlPr>
              <w:rPr>
                <w:rFonts w:ascii="Cambria Math" w:hAnsi="Cambria Math" w:cstheme="majorHAnsi"/>
                <w:color w:val="auto"/>
              </w:rPr>
            </m:ctrlPr>
          </m:e>
          <m:sub>
            <m:r>
              <w:rPr>
                <w:rFonts w:ascii="Cambria Math" w:hAnsi="Cambria Math" w:cstheme="majorHAnsi"/>
                <w:color w:val="auto"/>
              </w:rPr>
              <m:t>t</m:t>
            </m:r>
          </m:sub>
        </m:sSub>
      </m:oMath>
      <w:r w:rsidR="002521A7" w:rsidRPr="000D4580">
        <w:rPr>
          <w:rFonts w:asciiTheme="majorHAnsi" w:hAnsiTheme="majorHAnsi" w:cstheme="majorHAnsi"/>
          <w:color w:val="auto"/>
        </w:rPr>
        <w:t xml:space="preserve"> are year fixed effects; and</w:t>
      </w:r>
    </w:p>
    <w:p w:rsidR="002521A7" w:rsidRPr="000D4580" w:rsidRDefault="002521A7" w:rsidP="00D140C1">
      <w:pPr>
        <w:pStyle w:val="ListParagraph"/>
        <w:numPr>
          <w:ilvl w:val="0"/>
          <w:numId w:val="1"/>
        </w:numPr>
        <w:spacing w:line="360" w:lineRule="auto"/>
        <w:rPr>
          <w:rFonts w:asciiTheme="majorHAnsi" w:hAnsiTheme="majorHAnsi" w:cstheme="majorHAnsi"/>
          <w:color w:val="auto"/>
        </w:rPr>
      </w:pPr>
      <m:oMath>
        <m:r>
          <w:rPr>
            <w:rFonts w:ascii="Cambria Math" w:hAnsi="Cambria Math" w:cstheme="majorHAnsi"/>
            <w:color w:val="auto"/>
          </w:rPr>
          <m:t>ϵ</m:t>
        </m:r>
      </m:oMath>
      <w:r w:rsidRPr="000D4580">
        <w:rPr>
          <w:rFonts w:asciiTheme="majorHAnsi" w:hAnsiTheme="majorHAnsi" w:cstheme="majorHAnsi"/>
          <w:color w:val="auto"/>
        </w:rPr>
        <w:t xml:space="preserve"> </w:t>
      </w:r>
      <w:proofErr w:type="gramStart"/>
      <w:r w:rsidRPr="000D4580">
        <w:rPr>
          <w:rFonts w:asciiTheme="majorHAnsi" w:hAnsiTheme="majorHAnsi" w:cstheme="majorHAnsi"/>
          <w:color w:val="auto"/>
        </w:rPr>
        <w:t>is</w:t>
      </w:r>
      <w:proofErr w:type="gramEnd"/>
      <w:r w:rsidRPr="000D4580">
        <w:rPr>
          <w:rFonts w:asciiTheme="majorHAnsi" w:hAnsiTheme="majorHAnsi" w:cstheme="majorHAnsi"/>
          <w:color w:val="auto"/>
        </w:rPr>
        <w:t xml:space="preserve"> the residual.  </w:t>
      </w:r>
    </w:p>
    <w:p w:rsidR="002521A7" w:rsidRPr="000D4580" w:rsidRDefault="002521A7" w:rsidP="00D140C1">
      <w:pPr>
        <w:spacing w:line="360" w:lineRule="auto"/>
        <w:rPr>
          <w:rFonts w:asciiTheme="majorHAnsi" w:hAnsiTheme="majorHAnsi" w:cstheme="majorHAnsi"/>
        </w:rPr>
      </w:pPr>
    </w:p>
    <w:p w:rsidR="002521A7" w:rsidRPr="000D4580" w:rsidRDefault="002521A7" w:rsidP="00D140C1">
      <w:pPr>
        <w:spacing w:line="360" w:lineRule="auto"/>
        <w:ind w:firstLine="360"/>
        <w:rPr>
          <w:rFonts w:asciiTheme="majorHAnsi" w:hAnsiTheme="majorHAnsi" w:cstheme="majorHAnsi"/>
        </w:rPr>
      </w:pPr>
      <w:r w:rsidRPr="000D4580">
        <w:rPr>
          <w:rFonts w:asciiTheme="majorHAnsi" w:hAnsiTheme="majorHAnsi" w:cstheme="majorHAnsi"/>
        </w:rPr>
        <w:t xml:space="preserve">We run this specification across all energy commodities and by energy commodity. Table 2 presents the results of these six models. Note that our coefficient of interest </w:t>
      </w:r>
      <w:proofErr w:type="gramStart"/>
      <w:r w:rsidRPr="000D4580">
        <w:rPr>
          <w:rFonts w:asciiTheme="majorHAnsi" w:hAnsiTheme="majorHAnsi" w:cstheme="majorHAnsi"/>
        </w:rPr>
        <w:t xml:space="preserve">is </w:t>
      </w:r>
      <w:proofErr w:type="gramEnd"/>
      <m:oMath>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1</m:t>
            </m:r>
          </m:sub>
        </m:sSub>
      </m:oMath>
      <w:r w:rsidRPr="000D4580">
        <w:rPr>
          <w:rFonts w:asciiTheme="majorHAnsi" w:hAnsiTheme="majorHAnsi" w:cstheme="majorHAnsi"/>
        </w:rPr>
        <w:t xml:space="preserve">, or the marginal effect of each 1000km increase in bilateral distance. </w:t>
      </w:r>
    </w:p>
    <w:p w:rsidR="002521A7" w:rsidRPr="000D4580" w:rsidRDefault="002521A7" w:rsidP="00D140C1">
      <w:pPr>
        <w:spacing w:line="360" w:lineRule="auto"/>
        <w:ind w:firstLine="360"/>
        <w:rPr>
          <w:rFonts w:asciiTheme="majorHAnsi" w:hAnsiTheme="majorHAnsi" w:cstheme="majorHAnsi"/>
        </w:rPr>
      </w:pPr>
    </w:p>
    <w:tbl>
      <w:tblPr>
        <w:tblStyle w:val="GridTable1Light-Accent1"/>
        <w:tblW w:w="8275" w:type="dxa"/>
        <w:jc w:val="center"/>
        <w:tblLook w:val="04A0" w:firstRow="1" w:lastRow="0" w:firstColumn="1" w:lastColumn="0" w:noHBand="0" w:noVBand="1"/>
      </w:tblPr>
      <w:tblGrid>
        <w:gridCol w:w="2715"/>
        <w:gridCol w:w="917"/>
        <w:gridCol w:w="1223"/>
        <w:gridCol w:w="990"/>
        <w:gridCol w:w="1170"/>
        <w:gridCol w:w="1260"/>
      </w:tblGrid>
      <w:tr w:rsidR="002521A7" w:rsidRPr="000D4580" w:rsidTr="00B321B9">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15" w:type="dxa"/>
            <w:shd w:val="clear" w:color="auto" w:fill="DEEAF6" w:themeFill="accent5" w:themeFillTint="33"/>
          </w:tcPr>
          <w:p w:rsidR="002521A7" w:rsidRPr="000D4580" w:rsidRDefault="002521A7" w:rsidP="000D4580">
            <w:pPr>
              <w:rPr>
                <w:rFonts w:asciiTheme="majorHAnsi" w:hAnsiTheme="majorHAnsi" w:cstheme="majorHAnsi"/>
                <w:sz w:val="16"/>
                <w:szCs w:val="16"/>
              </w:rPr>
            </w:pPr>
          </w:p>
        </w:tc>
        <w:tc>
          <w:tcPr>
            <w:tcW w:w="917" w:type="dxa"/>
            <w:shd w:val="clear" w:color="auto" w:fill="DEEAF6" w:themeFill="accent5" w:themeFillTint="33"/>
          </w:tcPr>
          <w:p w:rsidR="002521A7" w:rsidRPr="000D4580" w:rsidRDefault="000148C0" w:rsidP="000D458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6"/>
                <w:szCs w:val="16"/>
              </w:rPr>
            </w:pPr>
            <m:oMathPara>
              <m:oMath>
                <m:sSub>
                  <m:sSubPr>
                    <m:ctrlPr>
                      <w:rPr>
                        <w:rFonts w:ascii="Cambria Math" w:hAnsi="Cambria Math" w:cstheme="majorHAnsi"/>
                        <w:i/>
                        <w:sz w:val="16"/>
                        <w:szCs w:val="16"/>
                      </w:rPr>
                    </m:ctrlPr>
                  </m:sSubPr>
                  <m:e>
                    <m:r>
                      <m:rPr>
                        <m:sty m:val="bi"/>
                      </m:rPr>
                      <w:rPr>
                        <w:rFonts w:ascii="Cambria Math" w:hAnsi="Cambria Math" w:cstheme="majorHAnsi"/>
                        <w:sz w:val="16"/>
                        <w:szCs w:val="16"/>
                      </w:rPr>
                      <m:t>β</m:t>
                    </m:r>
                  </m:e>
                  <m:sub>
                    <m:r>
                      <m:rPr>
                        <m:sty m:val="bi"/>
                      </m:rPr>
                      <w:rPr>
                        <w:rFonts w:ascii="Cambria Math" w:hAnsi="Cambria Math" w:cstheme="majorHAnsi"/>
                        <w:sz w:val="16"/>
                        <w:szCs w:val="16"/>
                      </w:rPr>
                      <m:t>1</m:t>
                    </m:r>
                  </m:sub>
                </m:sSub>
              </m:oMath>
            </m:oMathPara>
          </w:p>
        </w:tc>
        <w:tc>
          <w:tcPr>
            <w:tcW w:w="1223" w:type="dxa"/>
            <w:shd w:val="clear" w:color="auto" w:fill="DEEAF6" w:themeFill="accent5" w:themeFillTint="33"/>
          </w:tcPr>
          <w:p w:rsidR="002521A7" w:rsidRPr="000D4580" w:rsidRDefault="002521A7" w:rsidP="000D458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Std. Err.</w:t>
            </w:r>
          </w:p>
        </w:tc>
        <w:tc>
          <w:tcPr>
            <w:tcW w:w="990" w:type="dxa"/>
            <w:shd w:val="clear" w:color="auto" w:fill="DEEAF6" w:themeFill="accent5" w:themeFillTint="33"/>
          </w:tcPr>
          <w:p w:rsidR="002521A7" w:rsidRPr="000D4580" w:rsidRDefault="002521A7" w:rsidP="000D458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t-value</w:t>
            </w:r>
          </w:p>
        </w:tc>
        <w:tc>
          <w:tcPr>
            <w:tcW w:w="1170" w:type="dxa"/>
            <w:shd w:val="clear" w:color="auto" w:fill="DEEAF6" w:themeFill="accent5" w:themeFillTint="33"/>
          </w:tcPr>
          <w:p w:rsidR="002521A7" w:rsidRPr="000D4580" w:rsidRDefault="002521A7" w:rsidP="000D458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6"/>
                <w:szCs w:val="16"/>
              </w:rPr>
            </w:pPr>
            <w:proofErr w:type="spellStart"/>
            <w:r w:rsidRPr="000D4580">
              <w:rPr>
                <w:rFonts w:asciiTheme="majorHAnsi" w:hAnsiTheme="majorHAnsi" w:cstheme="majorHAnsi"/>
                <w:sz w:val="16"/>
                <w:szCs w:val="16"/>
              </w:rPr>
              <w:t>Pr</w:t>
            </w:r>
            <w:proofErr w:type="spellEnd"/>
            <w:r w:rsidRPr="000D4580">
              <w:rPr>
                <w:rFonts w:asciiTheme="majorHAnsi" w:hAnsiTheme="majorHAnsi" w:cstheme="majorHAnsi"/>
                <w:sz w:val="16"/>
                <w:szCs w:val="16"/>
              </w:rPr>
              <w:t>(&gt;|t|)</w:t>
            </w:r>
          </w:p>
        </w:tc>
        <w:tc>
          <w:tcPr>
            <w:tcW w:w="1260" w:type="dxa"/>
            <w:shd w:val="clear" w:color="auto" w:fill="DEEAF6" w:themeFill="accent5" w:themeFillTint="33"/>
          </w:tcPr>
          <w:p w:rsidR="002521A7" w:rsidRPr="000D4580" w:rsidRDefault="002521A7" w:rsidP="000D458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Mean(Y)</w:t>
            </w:r>
          </w:p>
        </w:tc>
      </w:tr>
      <w:tr w:rsidR="002521A7" w:rsidRPr="000D4580" w:rsidTr="00B321B9">
        <w:trPr>
          <w:trHeight w:val="278"/>
          <w:jc w:val="center"/>
        </w:trPr>
        <w:tc>
          <w:tcPr>
            <w:cnfStyle w:val="001000000000" w:firstRow="0" w:lastRow="0" w:firstColumn="1" w:lastColumn="0" w:oddVBand="0" w:evenVBand="0" w:oddHBand="0" w:evenHBand="0" w:firstRowFirstColumn="0" w:firstRowLastColumn="0" w:lastRowFirstColumn="0" w:lastRowLastColumn="0"/>
            <w:tcW w:w="2715" w:type="dxa"/>
            <w:shd w:val="clear" w:color="auto" w:fill="DEEAF6" w:themeFill="accent5" w:themeFillTint="33"/>
          </w:tcPr>
          <w:p w:rsidR="002521A7" w:rsidRPr="000D4580" w:rsidRDefault="002521A7" w:rsidP="000D4580">
            <w:pPr>
              <w:rPr>
                <w:rFonts w:asciiTheme="majorHAnsi" w:hAnsiTheme="majorHAnsi" w:cstheme="majorHAnsi"/>
                <w:sz w:val="16"/>
                <w:szCs w:val="16"/>
              </w:rPr>
            </w:pPr>
            <w:r w:rsidRPr="000D4580">
              <w:rPr>
                <w:rFonts w:asciiTheme="majorHAnsi" w:hAnsiTheme="majorHAnsi" w:cstheme="majorHAnsi"/>
                <w:sz w:val="16"/>
                <w:szCs w:val="16"/>
              </w:rPr>
              <w:t>All energy commodities</w:t>
            </w:r>
          </w:p>
        </w:tc>
        <w:tc>
          <w:tcPr>
            <w:tcW w:w="917"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0.0031</w:t>
            </w:r>
          </w:p>
        </w:tc>
        <w:tc>
          <w:tcPr>
            <w:tcW w:w="1223"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0.0001</w:t>
            </w:r>
          </w:p>
        </w:tc>
        <w:tc>
          <w:tcPr>
            <w:tcW w:w="990"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26.4550</w:t>
            </w:r>
          </w:p>
        </w:tc>
        <w:tc>
          <w:tcPr>
            <w:tcW w:w="1170"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0.0000</w:t>
            </w:r>
          </w:p>
        </w:tc>
        <w:tc>
          <w:tcPr>
            <w:tcW w:w="1260"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326.3215887</w:t>
            </w:r>
          </w:p>
        </w:tc>
      </w:tr>
      <w:tr w:rsidR="002521A7" w:rsidRPr="000D4580" w:rsidTr="00B321B9">
        <w:trPr>
          <w:trHeight w:val="278"/>
          <w:jc w:val="center"/>
        </w:trPr>
        <w:tc>
          <w:tcPr>
            <w:cnfStyle w:val="001000000000" w:firstRow="0" w:lastRow="0" w:firstColumn="1" w:lastColumn="0" w:oddVBand="0" w:evenVBand="0" w:oddHBand="0" w:evenHBand="0" w:firstRowFirstColumn="0" w:firstRowLastColumn="0" w:lastRowFirstColumn="0" w:lastRowLastColumn="0"/>
            <w:tcW w:w="2715" w:type="dxa"/>
            <w:shd w:val="clear" w:color="auto" w:fill="DEEAF6" w:themeFill="accent5" w:themeFillTint="33"/>
          </w:tcPr>
          <w:p w:rsidR="002521A7" w:rsidRPr="000D4580" w:rsidRDefault="002521A7" w:rsidP="000D4580">
            <w:pPr>
              <w:rPr>
                <w:rFonts w:asciiTheme="majorHAnsi" w:hAnsiTheme="majorHAnsi" w:cstheme="majorHAnsi"/>
                <w:sz w:val="16"/>
                <w:szCs w:val="16"/>
              </w:rPr>
            </w:pPr>
            <w:r w:rsidRPr="000D4580">
              <w:rPr>
                <w:rFonts w:asciiTheme="majorHAnsi" w:hAnsiTheme="majorHAnsi" w:cstheme="majorHAnsi"/>
                <w:sz w:val="16"/>
                <w:szCs w:val="16"/>
              </w:rPr>
              <w:t>Coal</w:t>
            </w:r>
          </w:p>
        </w:tc>
        <w:tc>
          <w:tcPr>
            <w:tcW w:w="917"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0.0000</w:t>
            </w:r>
          </w:p>
        </w:tc>
        <w:tc>
          <w:tcPr>
            <w:tcW w:w="1223"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0.0002</w:t>
            </w:r>
          </w:p>
        </w:tc>
        <w:tc>
          <w:tcPr>
            <w:tcW w:w="990"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0.0973</w:t>
            </w:r>
          </w:p>
        </w:tc>
        <w:tc>
          <w:tcPr>
            <w:tcW w:w="1170"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0.9225</w:t>
            </w:r>
          </w:p>
        </w:tc>
        <w:tc>
          <w:tcPr>
            <w:tcW w:w="1260"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255.1141421</w:t>
            </w:r>
          </w:p>
        </w:tc>
      </w:tr>
      <w:tr w:rsidR="002521A7" w:rsidRPr="000D4580" w:rsidTr="00B321B9">
        <w:trPr>
          <w:trHeight w:val="278"/>
          <w:jc w:val="center"/>
        </w:trPr>
        <w:tc>
          <w:tcPr>
            <w:cnfStyle w:val="001000000000" w:firstRow="0" w:lastRow="0" w:firstColumn="1" w:lastColumn="0" w:oddVBand="0" w:evenVBand="0" w:oddHBand="0" w:evenHBand="0" w:firstRowFirstColumn="0" w:firstRowLastColumn="0" w:lastRowFirstColumn="0" w:lastRowLastColumn="0"/>
            <w:tcW w:w="2715" w:type="dxa"/>
            <w:shd w:val="clear" w:color="auto" w:fill="DEEAF6" w:themeFill="accent5" w:themeFillTint="33"/>
          </w:tcPr>
          <w:p w:rsidR="002521A7" w:rsidRPr="000D4580" w:rsidRDefault="002521A7" w:rsidP="000D4580">
            <w:pPr>
              <w:rPr>
                <w:rFonts w:asciiTheme="majorHAnsi" w:hAnsiTheme="majorHAnsi" w:cstheme="majorHAnsi"/>
                <w:sz w:val="16"/>
                <w:szCs w:val="16"/>
              </w:rPr>
            </w:pPr>
            <w:r w:rsidRPr="000D4580">
              <w:rPr>
                <w:rFonts w:asciiTheme="majorHAnsi" w:hAnsiTheme="majorHAnsi" w:cstheme="majorHAnsi"/>
                <w:sz w:val="16"/>
                <w:szCs w:val="16"/>
              </w:rPr>
              <w:t>Crude Oil</w:t>
            </w:r>
          </w:p>
        </w:tc>
        <w:tc>
          <w:tcPr>
            <w:tcW w:w="917"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0.0055</w:t>
            </w:r>
          </w:p>
        </w:tc>
        <w:tc>
          <w:tcPr>
            <w:tcW w:w="1223"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0.0002</w:t>
            </w:r>
          </w:p>
        </w:tc>
        <w:tc>
          <w:tcPr>
            <w:tcW w:w="990"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22.7109</w:t>
            </w:r>
          </w:p>
        </w:tc>
        <w:tc>
          <w:tcPr>
            <w:tcW w:w="1170"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0.0000</w:t>
            </w:r>
          </w:p>
        </w:tc>
        <w:tc>
          <w:tcPr>
            <w:tcW w:w="1260"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181.8138803</w:t>
            </w:r>
          </w:p>
        </w:tc>
      </w:tr>
      <w:tr w:rsidR="002521A7" w:rsidRPr="000D4580" w:rsidTr="00B321B9">
        <w:trPr>
          <w:trHeight w:val="278"/>
          <w:jc w:val="center"/>
        </w:trPr>
        <w:tc>
          <w:tcPr>
            <w:cnfStyle w:val="001000000000" w:firstRow="0" w:lastRow="0" w:firstColumn="1" w:lastColumn="0" w:oddVBand="0" w:evenVBand="0" w:oddHBand="0" w:evenHBand="0" w:firstRowFirstColumn="0" w:firstRowLastColumn="0" w:lastRowFirstColumn="0" w:lastRowLastColumn="0"/>
            <w:tcW w:w="2715" w:type="dxa"/>
            <w:shd w:val="clear" w:color="auto" w:fill="DEEAF6" w:themeFill="accent5" w:themeFillTint="33"/>
          </w:tcPr>
          <w:p w:rsidR="002521A7" w:rsidRPr="000D4580" w:rsidRDefault="002521A7" w:rsidP="000D4580">
            <w:pPr>
              <w:rPr>
                <w:rFonts w:asciiTheme="majorHAnsi" w:hAnsiTheme="majorHAnsi" w:cstheme="majorHAnsi"/>
                <w:sz w:val="16"/>
                <w:szCs w:val="16"/>
              </w:rPr>
            </w:pPr>
            <w:r w:rsidRPr="000D4580">
              <w:rPr>
                <w:rFonts w:asciiTheme="majorHAnsi" w:hAnsiTheme="majorHAnsi" w:cstheme="majorHAnsi"/>
                <w:sz w:val="16"/>
                <w:szCs w:val="16"/>
              </w:rPr>
              <w:t>Petroleum Products</w:t>
            </w:r>
          </w:p>
        </w:tc>
        <w:tc>
          <w:tcPr>
            <w:tcW w:w="917"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0.0036</w:t>
            </w:r>
          </w:p>
        </w:tc>
        <w:tc>
          <w:tcPr>
            <w:tcW w:w="1223"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0.0002</w:t>
            </w:r>
          </w:p>
        </w:tc>
        <w:tc>
          <w:tcPr>
            <w:tcW w:w="990"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21.1065</w:t>
            </w:r>
          </w:p>
        </w:tc>
        <w:tc>
          <w:tcPr>
            <w:tcW w:w="1170"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0.0000</w:t>
            </w:r>
          </w:p>
        </w:tc>
        <w:tc>
          <w:tcPr>
            <w:tcW w:w="1260"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395.9311973</w:t>
            </w:r>
          </w:p>
        </w:tc>
      </w:tr>
      <w:tr w:rsidR="002521A7" w:rsidRPr="000D4580" w:rsidTr="00B321B9">
        <w:trPr>
          <w:trHeight w:val="278"/>
          <w:jc w:val="center"/>
        </w:trPr>
        <w:tc>
          <w:tcPr>
            <w:cnfStyle w:val="001000000000" w:firstRow="0" w:lastRow="0" w:firstColumn="1" w:lastColumn="0" w:oddVBand="0" w:evenVBand="0" w:oddHBand="0" w:evenHBand="0" w:firstRowFirstColumn="0" w:firstRowLastColumn="0" w:lastRowFirstColumn="0" w:lastRowLastColumn="0"/>
            <w:tcW w:w="2715" w:type="dxa"/>
            <w:shd w:val="clear" w:color="auto" w:fill="DEEAF6" w:themeFill="accent5" w:themeFillTint="33"/>
          </w:tcPr>
          <w:p w:rsidR="002521A7" w:rsidRPr="000D4580" w:rsidRDefault="002521A7" w:rsidP="000D4580">
            <w:pPr>
              <w:rPr>
                <w:rFonts w:asciiTheme="majorHAnsi" w:hAnsiTheme="majorHAnsi" w:cstheme="majorHAnsi"/>
                <w:sz w:val="16"/>
                <w:szCs w:val="16"/>
              </w:rPr>
            </w:pPr>
            <w:r w:rsidRPr="000D4580">
              <w:rPr>
                <w:rFonts w:asciiTheme="majorHAnsi" w:hAnsiTheme="majorHAnsi" w:cstheme="majorHAnsi"/>
                <w:sz w:val="16"/>
                <w:szCs w:val="16"/>
              </w:rPr>
              <w:t>LNG</w:t>
            </w:r>
          </w:p>
        </w:tc>
        <w:tc>
          <w:tcPr>
            <w:tcW w:w="917"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0.0032</w:t>
            </w:r>
          </w:p>
        </w:tc>
        <w:tc>
          <w:tcPr>
            <w:tcW w:w="1223"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0.0003</w:t>
            </w:r>
          </w:p>
        </w:tc>
        <w:tc>
          <w:tcPr>
            <w:tcW w:w="990"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10.8340</w:t>
            </w:r>
          </w:p>
        </w:tc>
        <w:tc>
          <w:tcPr>
            <w:tcW w:w="1170" w:type="dxa"/>
          </w:tcPr>
          <w:p w:rsidR="002521A7" w:rsidRPr="000D4580" w:rsidRDefault="002521A7" w:rsidP="000D45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0.0000</w:t>
            </w:r>
          </w:p>
        </w:tc>
        <w:tc>
          <w:tcPr>
            <w:tcW w:w="1260" w:type="dxa"/>
          </w:tcPr>
          <w:p w:rsidR="002521A7" w:rsidRPr="000D4580" w:rsidRDefault="002521A7" w:rsidP="000D4580">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0D4580">
              <w:rPr>
                <w:rFonts w:asciiTheme="majorHAnsi" w:hAnsiTheme="majorHAnsi" w:cstheme="majorHAnsi"/>
                <w:sz w:val="16"/>
                <w:szCs w:val="16"/>
              </w:rPr>
              <w:t>333.1324012</w:t>
            </w:r>
          </w:p>
        </w:tc>
      </w:tr>
    </w:tbl>
    <w:p w:rsidR="002521A7" w:rsidRPr="000D4580" w:rsidRDefault="002521A7" w:rsidP="000D4580">
      <w:pPr>
        <w:pStyle w:val="Caption"/>
        <w:jc w:val="both"/>
        <w:rPr>
          <w:rFonts w:asciiTheme="majorHAnsi" w:hAnsiTheme="majorHAnsi" w:cstheme="majorHAnsi"/>
          <w:i w:val="0"/>
          <w:iCs w:val="0"/>
          <w:color w:val="auto"/>
          <w:sz w:val="20"/>
          <w:szCs w:val="20"/>
        </w:rPr>
      </w:pPr>
      <w:r w:rsidRPr="000D4580">
        <w:rPr>
          <w:rFonts w:asciiTheme="majorHAnsi" w:hAnsiTheme="majorHAnsi" w:cstheme="majorHAnsi"/>
          <w:b/>
          <w:bCs/>
          <w:i w:val="0"/>
          <w:iCs w:val="0"/>
          <w:color w:val="auto"/>
          <w:sz w:val="20"/>
          <w:szCs w:val="20"/>
        </w:rPr>
        <w:t xml:space="preserve">Table </w:t>
      </w:r>
      <w:r w:rsidR="00130412">
        <w:rPr>
          <w:rFonts w:asciiTheme="majorHAnsi" w:hAnsiTheme="majorHAnsi" w:cstheme="majorHAnsi"/>
          <w:b/>
          <w:bCs/>
          <w:i w:val="0"/>
          <w:iCs w:val="0"/>
          <w:color w:val="auto"/>
          <w:sz w:val="20"/>
          <w:szCs w:val="20"/>
        </w:rPr>
        <w:t>5</w:t>
      </w:r>
      <w:r w:rsidRPr="000D4580">
        <w:rPr>
          <w:rFonts w:asciiTheme="majorHAnsi" w:hAnsiTheme="majorHAnsi" w:cstheme="majorHAnsi"/>
          <w:b/>
          <w:bCs/>
          <w:i w:val="0"/>
          <w:iCs w:val="0"/>
          <w:color w:val="auto"/>
          <w:sz w:val="20"/>
          <w:szCs w:val="20"/>
        </w:rPr>
        <w:t>.</w:t>
      </w:r>
      <w:r w:rsidRPr="000D4580">
        <w:rPr>
          <w:rFonts w:asciiTheme="majorHAnsi" w:hAnsiTheme="majorHAnsi" w:cstheme="majorHAnsi"/>
          <w:i w:val="0"/>
          <w:iCs w:val="0"/>
          <w:color w:val="auto"/>
          <w:sz w:val="20"/>
          <w:szCs w:val="20"/>
        </w:rPr>
        <w:t xml:space="preserve"> Results of gravity model-based regression. The first column displays the coefficient on distance, or the marginal effect of distance on trade cost. The second column displays the standard error on this coefficient, the third column displays the t-value, the fourth column displays the p-value, and the fourth displays the mean Y-value ($1000/t of the given commodity). </w:t>
      </w:r>
    </w:p>
    <w:p w:rsidR="002521A7" w:rsidRPr="000D4580" w:rsidRDefault="002521A7" w:rsidP="00D140C1">
      <w:pPr>
        <w:spacing w:line="360" w:lineRule="auto"/>
        <w:rPr>
          <w:rFonts w:asciiTheme="majorHAnsi" w:hAnsiTheme="majorHAnsi" w:cstheme="majorHAnsi"/>
          <w:lang w:eastAsia="en-US"/>
        </w:rPr>
      </w:pPr>
    </w:p>
    <w:p w:rsidR="002521A7" w:rsidRPr="000D4580" w:rsidRDefault="002521A7" w:rsidP="00D140C1">
      <w:pPr>
        <w:spacing w:line="360" w:lineRule="auto"/>
        <w:ind w:firstLine="720"/>
        <w:rPr>
          <w:rFonts w:asciiTheme="majorHAnsi" w:hAnsiTheme="majorHAnsi" w:cstheme="majorHAnsi"/>
        </w:rPr>
      </w:pPr>
      <w:r w:rsidRPr="000D4580">
        <w:rPr>
          <w:rFonts w:asciiTheme="majorHAnsi" w:hAnsiTheme="majorHAnsi" w:cstheme="majorHAnsi"/>
        </w:rPr>
        <w:t xml:space="preserve">Model results suggest that there is significant heterogeneity across energy commodity. For instance, the trade costs of LNG and fuel oil tend to be more sensitive to distance than crude oil. We </w:t>
      </w:r>
      <w:r w:rsidRPr="000D4580">
        <w:rPr>
          <w:rFonts w:asciiTheme="majorHAnsi" w:hAnsiTheme="majorHAnsi" w:cstheme="majorHAnsi"/>
        </w:rPr>
        <w:lastRenderedPageBreak/>
        <w:t>therefore use an energy-specific marginal effect to parameterize the distance-based variable cost.</w:t>
      </w:r>
      <w:r w:rsidRPr="003F6202">
        <w:rPr>
          <w:rStyle w:val="FootnoteReference"/>
        </w:rPr>
        <w:footnoteReference w:id="2"/>
      </w:r>
      <w:r w:rsidRPr="000D4580">
        <w:rPr>
          <w:rFonts w:asciiTheme="majorHAnsi" w:hAnsiTheme="majorHAnsi" w:cstheme="majorHAnsi"/>
        </w:rPr>
        <w:t xml:space="preserve"> For ethanol and methanol, we assume the same distance-based variable cost coefficient as petroleum products. For liquid hydrogen, we assume the same distance-based cost coefficient as LNG. </w:t>
      </w:r>
    </w:p>
    <w:p w:rsidR="002521A7" w:rsidRPr="000D4580" w:rsidRDefault="002521A7" w:rsidP="00D140C1">
      <w:pPr>
        <w:spacing w:line="360" w:lineRule="auto"/>
        <w:ind w:firstLine="720"/>
        <w:rPr>
          <w:rFonts w:asciiTheme="majorHAnsi" w:hAnsiTheme="majorHAnsi" w:cstheme="majorHAnsi"/>
        </w:rPr>
      </w:pPr>
      <w:r w:rsidRPr="000D4580">
        <w:rPr>
          <w:rFonts w:asciiTheme="majorHAnsi" w:hAnsiTheme="majorHAnsi" w:cstheme="majorHAnsi"/>
        </w:rPr>
        <w:t xml:space="preserve">Finally, to build the variable cost parameter used in </w:t>
      </w:r>
      <w:proofErr w:type="spellStart"/>
      <w:r w:rsidRPr="000D4580">
        <w:rPr>
          <w:rFonts w:asciiTheme="majorHAnsi" w:hAnsiTheme="majorHAnsi" w:cstheme="majorHAnsi"/>
        </w:rPr>
        <w:t>MESSAGEix</w:t>
      </w:r>
      <w:proofErr w:type="spellEnd"/>
      <w:r w:rsidRPr="000D4580">
        <w:rPr>
          <w:rFonts w:asciiTheme="majorHAnsi" w:hAnsiTheme="majorHAnsi" w:cstheme="majorHAnsi"/>
        </w:rPr>
        <w:t>, we multiply the region-to-region sea distances by the marginal effect:</w:t>
      </w:r>
    </w:p>
    <w:p w:rsidR="002521A7" w:rsidRPr="000D4580" w:rsidRDefault="002521A7" w:rsidP="00D140C1">
      <w:pPr>
        <w:spacing w:line="360" w:lineRule="auto"/>
        <w:rPr>
          <w:rFonts w:asciiTheme="majorHAnsi" w:hAnsiTheme="majorHAnsi" w:cstheme="majorHAnsi"/>
        </w:rPr>
      </w:pPr>
    </w:p>
    <w:p w:rsidR="002521A7" w:rsidRPr="000D4580" w:rsidRDefault="002521A7" w:rsidP="00D140C1">
      <w:pPr>
        <w:spacing w:line="360" w:lineRule="auto"/>
        <w:rPr>
          <w:rFonts w:asciiTheme="majorHAnsi" w:hAnsiTheme="majorHAnsi" w:cstheme="majorHAnsi"/>
        </w:rPr>
      </w:pPr>
      <m:oMathPara>
        <m:oMath>
          <m:r>
            <w:rPr>
              <w:rFonts w:ascii="Cambria Math" w:hAnsi="Cambria Math" w:cstheme="majorHAnsi"/>
            </w:rPr>
            <m:t>varcos</m:t>
          </m:r>
          <m:sSub>
            <m:sSubPr>
              <m:ctrlPr>
                <w:rPr>
                  <w:rFonts w:ascii="Cambria Math" w:hAnsi="Cambria Math" w:cstheme="majorHAnsi"/>
                  <w:i/>
                </w:rPr>
              </m:ctrlPr>
            </m:sSubPr>
            <m:e>
              <m:r>
                <w:rPr>
                  <w:rFonts w:ascii="Cambria Math" w:hAnsi="Cambria Math" w:cstheme="majorHAnsi"/>
                </w:rPr>
                <m:t>t</m:t>
              </m:r>
            </m:e>
            <m: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i</m:t>
                  </m:r>
                </m:sub>
              </m:s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j</m:t>
                  </m:r>
                </m:sub>
              </m:sSub>
              <m:r>
                <w:rPr>
                  <w:rFonts w:ascii="Cambria Math" w:hAnsi="Cambria Math" w:cstheme="majorHAnsi"/>
                </w:rPr>
                <m:t>kt</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1k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d</m:t>
              </m:r>
            </m:e>
            <m: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i</m:t>
                  </m:r>
                </m:sub>
              </m:s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j</m:t>
                  </m:r>
                </m:sub>
              </m:sSub>
              <m:r>
                <w:rPr>
                  <w:rFonts w:ascii="Cambria Math" w:hAnsi="Cambria Math" w:cstheme="majorHAnsi"/>
                </w:rPr>
                <m:t>kt</m:t>
              </m:r>
            </m:sub>
          </m:sSub>
        </m:oMath>
      </m:oMathPara>
    </w:p>
    <w:p w:rsidR="002521A7" w:rsidRPr="000D4580" w:rsidRDefault="002521A7" w:rsidP="00D140C1">
      <w:pPr>
        <w:spacing w:line="360" w:lineRule="auto"/>
        <w:rPr>
          <w:rFonts w:asciiTheme="majorHAnsi" w:hAnsiTheme="majorHAnsi" w:cstheme="majorHAnsi"/>
        </w:rPr>
      </w:pPr>
    </w:p>
    <w:p w:rsidR="002521A7" w:rsidRPr="000D4580" w:rsidRDefault="002521A7" w:rsidP="00D140C1">
      <w:pPr>
        <w:spacing w:line="360" w:lineRule="auto"/>
        <w:rPr>
          <w:rFonts w:asciiTheme="majorHAnsi" w:hAnsiTheme="majorHAnsi" w:cstheme="majorHAnsi"/>
        </w:rPr>
      </w:pPr>
      <w:r w:rsidRPr="000D4580">
        <w:rPr>
          <w:rFonts w:asciiTheme="majorHAnsi" w:hAnsiTheme="majorHAnsi" w:cstheme="majorHAnsi"/>
        </w:rPr>
        <w:t>Note that variable cost is identified by exporting region (</w:t>
      </w:r>
      <m:oMath>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i</m:t>
            </m:r>
          </m:sub>
        </m:sSub>
      </m:oMath>
      <w:r w:rsidRPr="000D4580">
        <w:rPr>
          <w:rFonts w:asciiTheme="majorHAnsi" w:hAnsiTheme="majorHAnsi" w:cstheme="majorHAnsi"/>
        </w:rPr>
        <w:t>), importing region (</w:t>
      </w:r>
      <m:oMath>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j</m:t>
            </m:r>
          </m:sub>
        </m:sSub>
      </m:oMath>
      <w:r w:rsidRPr="000D4580">
        <w:rPr>
          <w:rFonts w:asciiTheme="majorHAnsi" w:hAnsiTheme="majorHAnsi" w:cstheme="majorHAnsi"/>
        </w:rPr>
        <w:t xml:space="preserve">), energy </w:t>
      </w:r>
      <w:proofErr w:type="gramStart"/>
      <w:r w:rsidRPr="000D4580">
        <w:rPr>
          <w:rFonts w:asciiTheme="majorHAnsi" w:hAnsiTheme="majorHAnsi" w:cstheme="majorHAnsi"/>
        </w:rPr>
        <w:t xml:space="preserve">commodity </w:t>
      </w:r>
      <w:proofErr w:type="gramEnd"/>
      <m:oMath>
        <m:r>
          <w:rPr>
            <w:rFonts w:ascii="Cambria Math" w:hAnsi="Cambria Math" w:cstheme="majorHAnsi"/>
          </w:rPr>
          <m:t>k</m:t>
        </m:r>
      </m:oMath>
      <w:r w:rsidRPr="000D4580">
        <w:rPr>
          <w:rFonts w:asciiTheme="majorHAnsi" w:hAnsiTheme="majorHAnsi" w:cstheme="majorHAnsi"/>
        </w:rPr>
        <w:t xml:space="preserve">, and year </w:t>
      </w:r>
      <m:oMath>
        <m:r>
          <w:rPr>
            <w:rFonts w:ascii="Cambria Math" w:hAnsi="Cambria Math" w:cstheme="majorHAnsi"/>
          </w:rPr>
          <m:t>t</m:t>
        </m:r>
      </m:oMath>
      <w:r w:rsidRPr="000D4580">
        <w:rPr>
          <w:rFonts w:asciiTheme="majorHAnsi" w:hAnsiTheme="majorHAnsi" w:cstheme="majorHAnsi"/>
        </w:rPr>
        <w:t xml:space="preserve">. This is because the sea distance we calculated is differentiated by region pairs and energy commodity. Figure 4 below presents the distribution of distance-based variable costs. </w:t>
      </w:r>
    </w:p>
    <w:p w:rsidR="002521A7" w:rsidRPr="000D4580" w:rsidRDefault="002521A7" w:rsidP="00D140C1">
      <w:pPr>
        <w:spacing w:line="360" w:lineRule="auto"/>
        <w:rPr>
          <w:rFonts w:asciiTheme="majorHAnsi" w:hAnsiTheme="majorHAnsi" w:cstheme="majorHAnsi"/>
        </w:rPr>
      </w:pPr>
    </w:p>
    <w:p w:rsidR="002521A7" w:rsidRPr="000D4580" w:rsidRDefault="002521A7" w:rsidP="00D140C1">
      <w:pPr>
        <w:keepNext/>
        <w:spacing w:line="360" w:lineRule="auto"/>
        <w:jc w:val="center"/>
        <w:rPr>
          <w:rFonts w:asciiTheme="majorHAnsi" w:hAnsiTheme="majorHAnsi" w:cstheme="majorHAnsi"/>
        </w:rPr>
      </w:pPr>
      <w:r w:rsidRPr="000D4580">
        <w:rPr>
          <w:rFonts w:asciiTheme="majorHAnsi" w:hAnsiTheme="majorHAnsi" w:cstheme="majorHAnsi"/>
          <w:noProof/>
        </w:rPr>
        <w:drawing>
          <wp:inline distT="0" distB="0" distL="0" distR="0" wp14:anchorId="47C549CF" wp14:editId="76AD6F80">
            <wp:extent cx="4219575" cy="2953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0226" cy="2960689"/>
                    </a:xfrm>
                    <a:prstGeom prst="rect">
                      <a:avLst/>
                    </a:prstGeom>
                  </pic:spPr>
                </pic:pic>
              </a:graphicData>
            </a:graphic>
          </wp:inline>
        </w:drawing>
      </w:r>
    </w:p>
    <w:p w:rsidR="002521A7" w:rsidRPr="000543C6" w:rsidRDefault="002521A7" w:rsidP="000543C6">
      <w:pPr>
        <w:pStyle w:val="Caption"/>
        <w:jc w:val="both"/>
        <w:rPr>
          <w:rFonts w:asciiTheme="majorHAnsi" w:hAnsiTheme="majorHAnsi" w:cstheme="majorHAnsi"/>
          <w:i w:val="0"/>
          <w:color w:val="auto"/>
          <w:sz w:val="20"/>
          <w:szCs w:val="20"/>
        </w:rPr>
      </w:pPr>
      <w:r w:rsidRPr="000D4580">
        <w:rPr>
          <w:rFonts w:asciiTheme="majorHAnsi" w:hAnsiTheme="majorHAnsi" w:cstheme="majorHAnsi"/>
          <w:b/>
          <w:i w:val="0"/>
          <w:color w:val="auto"/>
          <w:sz w:val="20"/>
          <w:szCs w:val="20"/>
        </w:rPr>
        <w:t xml:space="preserve">Fig. </w:t>
      </w:r>
      <w:r w:rsidR="00130412">
        <w:rPr>
          <w:rFonts w:asciiTheme="majorHAnsi" w:hAnsiTheme="majorHAnsi" w:cstheme="majorHAnsi"/>
          <w:b/>
          <w:i w:val="0"/>
          <w:color w:val="auto"/>
          <w:sz w:val="20"/>
          <w:szCs w:val="20"/>
        </w:rPr>
        <w:t>3</w:t>
      </w:r>
      <w:r w:rsidRPr="000D4580">
        <w:rPr>
          <w:rFonts w:asciiTheme="majorHAnsi" w:hAnsiTheme="majorHAnsi" w:cstheme="majorHAnsi"/>
          <w:b/>
          <w:i w:val="0"/>
          <w:color w:val="auto"/>
          <w:sz w:val="20"/>
          <w:szCs w:val="20"/>
        </w:rPr>
        <w:t>.</w:t>
      </w:r>
      <w:r w:rsidRPr="000D4580">
        <w:rPr>
          <w:rFonts w:asciiTheme="majorHAnsi" w:hAnsiTheme="majorHAnsi" w:cstheme="majorHAnsi"/>
          <w:i w:val="0"/>
          <w:color w:val="auto"/>
          <w:sz w:val="20"/>
          <w:szCs w:val="20"/>
        </w:rPr>
        <w:t xml:space="preserve"> Distribution of estimated variable costs based on regression analysis. This is the distance-based variable cost, so the product of </w:t>
      </w:r>
      <m:oMath>
        <m:sSub>
          <m:sSubPr>
            <m:ctrlPr>
              <w:rPr>
                <w:rFonts w:ascii="Cambria Math" w:hAnsi="Cambria Math" w:cstheme="majorHAnsi"/>
                <w:i w:val="0"/>
                <w:color w:val="auto"/>
                <w:sz w:val="20"/>
                <w:szCs w:val="20"/>
              </w:rPr>
            </m:ctrlPr>
          </m:sSubPr>
          <m:e>
            <m:r>
              <w:rPr>
                <w:rFonts w:ascii="Cambria Math" w:hAnsi="Cambria Math" w:cstheme="majorHAnsi"/>
                <w:color w:val="auto"/>
                <w:sz w:val="20"/>
                <w:szCs w:val="20"/>
              </w:rPr>
              <m:t>β</m:t>
            </m:r>
          </m:e>
          <m:sub>
            <m:r>
              <w:rPr>
                <w:rFonts w:ascii="Cambria Math" w:hAnsi="Cambria Math" w:cstheme="majorHAnsi"/>
                <w:color w:val="auto"/>
                <w:sz w:val="20"/>
                <w:szCs w:val="20"/>
              </w:rPr>
              <m:t>1</m:t>
            </m:r>
          </m:sub>
        </m:sSub>
      </m:oMath>
      <w:r w:rsidRPr="000D4580">
        <w:rPr>
          <w:rFonts w:asciiTheme="majorHAnsi" w:eastAsiaTheme="minorEastAsia" w:hAnsiTheme="majorHAnsi" w:cstheme="majorHAnsi"/>
          <w:i w:val="0"/>
          <w:color w:val="auto"/>
          <w:sz w:val="20"/>
          <w:szCs w:val="20"/>
        </w:rPr>
        <w:t xml:space="preserve"> and bilateral distance, where </w:t>
      </w:r>
      <m:oMath>
        <m:sSub>
          <m:sSubPr>
            <m:ctrlPr>
              <w:rPr>
                <w:rFonts w:ascii="Cambria Math" w:hAnsi="Cambria Math" w:cstheme="majorHAnsi"/>
                <w:i w:val="0"/>
                <w:color w:val="auto"/>
                <w:sz w:val="20"/>
                <w:szCs w:val="20"/>
              </w:rPr>
            </m:ctrlPr>
          </m:sSubPr>
          <m:e>
            <m:r>
              <w:rPr>
                <w:rFonts w:ascii="Cambria Math" w:hAnsi="Cambria Math" w:cstheme="majorHAnsi"/>
                <w:color w:val="auto"/>
                <w:sz w:val="20"/>
                <w:szCs w:val="20"/>
              </w:rPr>
              <m:t>β</m:t>
            </m:r>
          </m:e>
          <m:sub>
            <m:r>
              <w:rPr>
                <w:rFonts w:ascii="Cambria Math" w:hAnsi="Cambria Math" w:cstheme="majorHAnsi"/>
                <w:color w:val="auto"/>
                <w:sz w:val="20"/>
                <w:szCs w:val="20"/>
              </w:rPr>
              <m:t>1</m:t>
            </m:r>
          </m:sub>
        </m:sSub>
      </m:oMath>
      <w:r w:rsidRPr="000D4580">
        <w:rPr>
          <w:rFonts w:asciiTheme="majorHAnsi" w:eastAsiaTheme="minorEastAsia" w:hAnsiTheme="majorHAnsi" w:cstheme="majorHAnsi"/>
          <w:i w:val="0"/>
          <w:color w:val="auto"/>
          <w:sz w:val="20"/>
          <w:szCs w:val="20"/>
        </w:rPr>
        <w:t xml:space="preserve"> is differentiated by energy commodity. Variable costs will therefore be uniquely identified by region, energy commodity, and year. </w:t>
      </w:r>
    </w:p>
    <w:p w:rsidR="001E608F" w:rsidRPr="000D4580" w:rsidRDefault="009F0E6C" w:rsidP="00D140C1">
      <w:pPr>
        <w:pStyle w:val="Heading1"/>
        <w:spacing w:line="360" w:lineRule="auto"/>
        <w:rPr>
          <w:rFonts w:cstheme="majorHAnsi"/>
        </w:rPr>
      </w:pPr>
      <w:r w:rsidRPr="000D4580">
        <w:rPr>
          <w:rFonts w:cstheme="majorHAnsi"/>
        </w:rPr>
        <w:lastRenderedPageBreak/>
        <w:t>8</w:t>
      </w:r>
      <w:r w:rsidR="001E608F" w:rsidRPr="000D4580">
        <w:rPr>
          <w:rFonts w:cstheme="majorHAnsi"/>
        </w:rPr>
        <w:tab/>
        <w:t xml:space="preserve">Shipping </w:t>
      </w:r>
      <w:r w:rsidR="00B038CA" w:rsidRPr="000D4580">
        <w:rPr>
          <w:rFonts w:cstheme="majorHAnsi"/>
        </w:rPr>
        <w:t>constraints, assumptions,</w:t>
      </w:r>
      <w:r w:rsidR="001E608F" w:rsidRPr="000D4580">
        <w:rPr>
          <w:rFonts w:cstheme="majorHAnsi"/>
        </w:rPr>
        <w:t xml:space="preserve"> and costs</w:t>
      </w:r>
      <w:bookmarkEnd w:id="6"/>
    </w:p>
    <w:p w:rsidR="00B038CA" w:rsidRPr="000D4580" w:rsidRDefault="00B038CA" w:rsidP="00D140C1">
      <w:pPr>
        <w:spacing w:line="360" w:lineRule="auto"/>
        <w:rPr>
          <w:rFonts w:asciiTheme="majorHAnsi" w:hAnsiTheme="majorHAnsi" w:cstheme="majorHAnsi"/>
        </w:rPr>
      </w:pPr>
    </w:p>
    <w:p w:rsidR="00B038CA" w:rsidRPr="000D4580" w:rsidRDefault="00B038CA" w:rsidP="00D140C1">
      <w:pPr>
        <w:spacing w:line="360" w:lineRule="auto"/>
        <w:ind w:firstLine="720"/>
        <w:rPr>
          <w:rFonts w:asciiTheme="majorHAnsi" w:hAnsiTheme="majorHAnsi" w:cstheme="majorHAnsi"/>
        </w:rPr>
      </w:pPr>
      <w:r w:rsidRPr="000D4580">
        <w:rPr>
          <w:rFonts w:asciiTheme="majorHAnsi" w:hAnsiTheme="majorHAnsi" w:cstheme="majorHAnsi"/>
        </w:rPr>
        <w:t xml:space="preserve">We add the following constraints in </w:t>
      </w:r>
      <w:proofErr w:type="spellStart"/>
      <w:r w:rsidRPr="000D4580">
        <w:rPr>
          <w:rFonts w:asciiTheme="majorHAnsi" w:hAnsiTheme="majorHAnsi" w:cstheme="majorHAnsi"/>
        </w:rPr>
        <w:t>MESSAGEix</w:t>
      </w:r>
      <w:proofErr w:type="spellEnd"/>
      <w:r w:rsidR="00D140C1" w:rsidRPr="000D4580">
        <w:rPr>
          <w:rFonts w:asciiTheme="majorHAnsi" w:hAnsiTheme="majorHAnsi" w:cstheme="majorHAnsi"/>
        </w:rPr>
        <w:t xml:space="preserve"> to represent global shipping capacities:</w:t>
      </w:r>
    </w:p>
    <w:p w:rsidR="00B038CA" w:rsidRPr="000D4580" w:rsidRDefault="000148C0" w:rsidP="00D140C1">
      <w:pPr>
        <w:spacing w:line="360" w:lineRule="auto"/>
        <w:rPr>
          <w:rFonts w:asciiTheme="majorHAnsi" w:hAnsiTheme="majorHAnsi" w:cstheme="majorHAnsi"/>
        </w:rPr>
      </w:pPr>
      <m:oMathPara>
        <m:oMath>
          <m:nary>
            <m:naryPr>
              <m:chr m:val="∑"/>
              <m:limLoc m:val="undOvr"/>
              <m:supHide m:val="1"/>
              <m:ctrlPr>
                <w:rPr>
                  <w:rFonts w:ascii="Cambria Math" w:hAnsi="Cambria Math" w:cstheme="majorHAnsi"/>
                  <w:i/>
                </w:rPr>
              </m:ctrlPr>
            </m:naryPr>
            <m:sub>
              <m:sSup>
                <m:sSupPr>
                  <m:ctrlPr>
                    <w:rPr>
                      <w:rFonts w:ascii="Cambria Math" w:hAnsi="Cambria Math" w:cstheme="majorHAnsi"/>
                      <w:i/>
                    </w:rPr>
                  </m:ctrlPr>
                </m:sSupPr>
                <m:e>
                  <m:r>
                    <w:rPr>
                      <w:rFonts w:ascii="Cambria Math" w:hAnsi="Cambria Math" w:cstheme="majorHAnsi"/>
                    </w:rPr>
                    <m:t>k</m:t>
                  </m:r>
                </m:e>
                <m:sup>
                  <m:r>
                    <w:rPr>
                      <w:rFonts w:ascii="Cambria Math" w:hAnsi="Cambria Math" w:cstheme="majorHAnsi"/>
                    </w:rPr>
                    <m:t>liquid</m:t>
                  </m:r>
                </m:sup>
              </m:sSup>
            </m:sub>
            <m:sup/>
            <m:e>
              <m:d>
                <m:dPr>
                  <m:ctrlPr>
                    <w:rPr>
                      <w:rFonts w:ascii="Cambria Math" w:hAnsi="Cambria Math" w:cstheme="majorHAnsi"/>
                      <w:i/>
                    </w:rPr>
                  </m:ctrlPr>
                </m:dPr>
                <m:e>
                  <m:r>
                    <w:rPr>
                      <w:rFonts w:ascii="Cambria Math" w:hAnsi="Cambria Math" w:cstheme="majorHAnsi"/>
                    </w:rPr>
                    <m:t>liquid_shippin</m:t>
                  </m:r>
                  <m:sSub>
                    <m:sSubPr>
                      <m:ctrlPr>
                        <w:rPr>
                          <w:rFonts w:ascii="Cambria Math" w:hAnsi="Cambria Math" w:cstheme="majorHAnsi"/>
                          <w:i/>
                        </w:rPr>
                      </m:ctrlPr>
                    </m:sSubPr>
                    <m:e>
                      <m:r>
                        <w:rPr>
                          <w:rFonts w:ascii="Cambria Math" w:hAnsi="Cambria Math" w:cstheme="majorHAnsi"/>
                        </w:rPr>
                        <m:t>g</m:t>
                      </m:r>
                    </m:e>
                    <m: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i</m:t>
                          </m:r>
                        </m:sub>
                      </m:sSub>
                      <m:r>
                        <w:rPr>
                          <w:rFonts w:ascii="Cambria Math" w:hAnsi="Cambria Math" w:cstheme="majorHAnsi"/>
                        </w:rPr>
                        <m:t>ft</m:t>
                      </m:r>
                    </m:sub>
                  </m:sSub>
                </m:e>
              </m:d>
              <m:r>
                <w:rPr>
                  <w:rFonts w:ascii="Cambria Math" w:hAnsi="Cambria Math" w:cstheme="majorHAnsi"/>
                </w:rPr>
                <m:t>-</m:t>
              </m:r>
              <m:d>
                <m:dPr>
                  <m:ctrlPr>
                    <w:rPr>
                      <w:rFonts w:ascii="Cambria Math" w:hAnsi="Cambria Math" w:cstheme="majorHAnsi"/>
                      <w:i/>
                    </w:rPr>
                  </m:ctrlPr>
                </m:dPr>
                <m:e>
                  <m:r>
                    <w:rPr>
                      <w:rFonts w:ascii="Cambria Math" w:hAnsi="Cambria Math" w:cstheme="majorHAnsi"/>
                    </w:rPr>
                    <m:t>h</m:t>
                  </m:r>
                  <m:sSub>
                    <m:sSubPr>
                      <m:ctrlPr>
                        <w:rPr>
                          <w:rFonts w:ascii="Cambria Math" w:hAnsi="Cambria Math" w:cstheme="majorHAnsi"/>
                          <w:i/>
                        </w:rPr>
                      </m:ctrlPr>
                    </m:sSubPr>
                    <m:e>
                      <m:r>
                        <w:rPr>
                          <w:rFonts w:ascii="Cambria Math" w:hAnsi="Cambria Math" w:cstheme="majorHAnsi"/>
                        </w:rPr>
                        <m:t>v</m:t>
                      </m:r>
                    </m:e>
                    <m: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i</m:t>
                          </m:r>
                        </m:sub>
                      </m:sSub>
                      <m:r>
                        <w:rPr>
                          <w:rFonts w:ascii="Cambria Math" w:hAnsi="Cambria Math" w:cstheme="majorHAnsi"/>
                        </w:rPr>
                        <m:t>ft</m:t>
                      </m:r>
                    </m:sub>
                  </m:sSub>
                  <m:r>
                    <w:rPr>
                      <w:rFonts w:ascii="Cambria Math" w:hAnsi="Cambria Math" w:cstheme="majorHAnsi"/>
                    </w:rPr>
                    <m:t> ×AC</m:t>
                  </m:r>
                  <m:sSub>
                    <m:sSubPr>
                      <m:ctrlPr>
                        <w:rPr>
                          <w:rFonts w:ascii="Cambria Math" w:hAnsi="Cambria Math" w:cstheme="majorHAnsi"/>
                          <w:i/>
                        </w:rPr>
                      </m:ctrlPr>
                    </m:sSubPr>
                    <m:e>
                      <m:r>
                        <w:rPr>
                          <w:rFonts w:ascii="Cambria Math" w:hAnsi="Cambria Math" w:cstheme="majorHAnsi"/>
                        </w:rPr>
                        <m:t>T</m:t>
                      </m:r>
                    </m:e>
                    <m: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i</m:t>
                          </m:r>
                        </m:sub>
                      </m:s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j</m:t>
                          </m:r>
                        </m:sub>
                      </m:sSub>
                      <m:sSup>
                        <m:sSupPr>
                          <m:ctrlPr>
                            <w:rPr>
                              <w:rFonts w:ascii="Cambria Math" w:hAnsi="Cambria Math" w:cstheme="majorHAnsi"/>
                              <w:i/>
                            </w:rPr>
                          </m:ctrlPr>
                        </m:sSupPr>
                        <m:e>
                          <m:r>
                            <w:rPr>
                              <w:rFonts w:ascii="Cambria Math" w:hAnsi="Cambria Math" w:cstheme="majorHAnsi"/>
                            </w:rPr>
                            <m:t>k</m:t>
                          </m:r>
                        </m:e>
                        <m:sup>
                          <m:r>
                            <w:rPr>
                              <w:rFonts w:ascii="Cambria Math" w:hAnsi="Cambria Math" w:cstheme="majorHAnsi"/>
                            </w:rPr>
                            <m:t>liquid</m:t>
                          </m:r>
                        </m:sup>
                      </m:sSup>
                    </m:sub>
                  </m:sSub>
                </m:e>
              </m:d>
              <m:r>
                <w:rPr>
                  <w:rFonts w:ascii="Cambria Math" w:hAnsi="Cambria Math" w:cstheme="majorHAnsi"/>
                </w:rPr>
                <m:t>≥0</m:t>
              </m:r>
            </m:e>
          </m:nary>
          <m:r>
            <w:rPr>
              <w:rFonts w:ascii="Cambria Math" w:hAnsi="Cambria Math" w:cstheme="majorHAnsi"/>
            </w:rPr>
            <m:t>∀ t</m:t>
          </m:r>
        </m:oMath>
      </m:oMathPara>
    </w:p>
    <w:p w:rsidR="00B038CA" w:rsidRPr="000D4580" w:rsidRDefault="000148C0" w:rsidP="00D140C1">
      <w:pPr>
        <w:spacing w:line="360" w:lineRule="auto"/>
        <w:rPr>
          <w:rFonts w:asciiTheme="majorHAnsi" w:hAnsiTheme="majorHAnsi" w:cstheme="majorHAnsi"/>
        </w:rPr>
      </w:pPr>
      <m:oMathPara>
        <m:oMath>
          <m:nary>
            <m:naryPr>
              <m:chr m:val="∑"/>
              <m:limLoc m:val="undOvr"/>
              <m:supHide m:val="1"/>
              <m:ctrlPr>
                <w:rPr>
                  <w:rFonts w:ascii="Cambria Math" w:hAnsi="Cambria Math" w:cstheme="majorHAnsi"/>
                  <w:i/>
                </w:rPr>
              </m:ctrlPr>
            </m:naryPr>
            <m:sub>
              <m:sSup>
                <m:sSupPr>
                  <m:ctrlPr>
                    <w:rPr>
                      <w:rFonts w:ascii="Cambria Math" w:hAnsi="Cambria Math" w:cstheme="majorHAnsi"/>
                      <w:i/>
                    </w:rPr>
                  </m:ctrlPr>
                </m:sSupPr>
                <m:e>
                  <m:r>
                    <w:rPr>
                      <w:rFonts w:ascii="Cambria Math" w:hAnsi="Cambria Math" w:cstheme="majorHAnsi"/>
                    </w:rPr>
                    <m:t>k</m:t>
                  </m:r>
                </m:e>
                <m:sup>
                  <m:r>
                    <w:rPr>
                      <w:rFonts w:ascii="Cambria Math" w:hAnsi="Cambria Math" w:cstheme="majorHAnsi"/>
                    </w:rPr>
                    <m:t>solid</m:t>
                  </m:r>
                </m:sup>
              </m:sSup>
            </m:sub>
            <m:sup/>
            <m:e>
              <m:d>
                <m:dPr>
                  <m:ctrlPr>
                    <w:rPr>
                      <w:rFonts w:ascii="Cambria Math" w:hAnsi="Cambria Math" w:cstheme="majorHAnsi"/>
                      <w:i/>
                    </w:rPr>
                  </m:ctrlPr>
                </m:dPr>
                <m:e>
                  <m:r>
                    <w:rPr>
                      <w:rFonts w:ascii="Cambria Math" w:hAnsi="Cambria Math" w:cstheme="majorHAnsi"/>
                    </w:rPr>
                    <m:t>solid_shippin</m:t>
                  </m:r>
                  <m:sSub>
                    <m:sSubPr>
                      <m:ctrlPr>
                        <w:rPr>
                          <w:rFonts w:ascii="Cambria Math" w:hAnsi="Cambria Math" w:cstheme="majorHAnsi"/>
                          <w:i/>
                        </w:rPr>
                      </m:ctrlPr>
                    </m:sSubPr>
                    <m:e>
                      <m:r>
                        <w:rPr>
                          <w:rFonts w:ascii="Cambria Math" w:hAnsi="Cambria Math" w:cstheme="majorHAnsi"/>
                        </w:rPr>
                        <m:t>g</m:t>
                      </m:r>
                    </m:e>
                    <m: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i</m:t>
                          </m:r>
                        </m:sub>
                      </m:sSub>
                      <m:r>
                        <w:rPr>
                          <w:rFonts w:ascii="Cambria Math" w:hAnsi="Cambria Math" w:cstheme="majorHAnsi"/>
                        </w:rPr>
                        <m:t>ft</m:t>
                      </m:r>
                    </m:sub>
                  </m:sSub>
                </m:e>
              </m:d>
              <m:r>
                <w:rPr>
                  <w:rFonts w:ascii="Cambria Math" w:hAnsi="Cambria Math" w:cstheme="majorHAnsi"/>
                </w:rPr>
                <m:t>-</m:t>
              </m:r>
              <m:d>
                <m:dPr>
                  <m:ctrlPr>
                    <w:rPr>
                      <w:rFonts w:ascii="Cambria Math" w:hAnsi="Cambria Math" w:cstheme="majorHAnsi"/>
                      <w:i/>
                    </w:rPr>
                  </m:ctrlPr>
                </m:dPr>
                <m:e>
                  <m:r>
                    <w:rPr>
                      <w:rFonts w:ascii="Cambria Math" w:hAnsi="Cambria Math" w:cstheme="majorHAnsi"/>
                    </w:rPr>
                    <m:t>h</m:t>
                  </m:r>
                  <m:sSub>
                    <m:sSubPr>
                      <m:ctrlPr>
                        <w:rPr>
                          <w:rFonts w:ascii="Cambria Math" w:hAnsi="Cambria Math" w:cstheme="majorHAnsi"/>
                          <w:i/>
                        </w:rPr>
                      </m:ctrlPr>
                    </m:sSubPr>
                    <m:e>
                      <m:r>
                        <w:rPr>
                          <w:rFonts w:ascii="Cambria Math" w:hAnsi="Cambria Math" w:cstheme="majorHAnsi"/>
                        </w:rPr>
                        <m:t>v</m:t>
                      </m:r>
                    </m:e>
                    <m: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i</m:t>
                          </m:r>
                        </m:sub>
                      </m:sSub>
                      <m:r>
                        <w:rPr>
                          <w:rFonts w:ascii="Cambria Math" w:hAnsi="Cambria Math" w:cstheme="majorHAnsi"/>
                        </w:rPr>
                        <m:t>ft</m:t>
                      </m:r>
                    </m:sub>
                  </m:sSub>
                  <m:r>
                    <w:rPr>
                      <w:rFonts w:ascii="Cambria Math" w:hAnsi="Cambria Math" w:cstheme="majorHAnsi"/>
                    </w:rPr>
                    <m:t> ×AC</m:t>
                  </m:r>
                  <m:sSub>
                    <m:sSubPr>
                      <m:ctrlPr>
                        <w:rPr>
                          <w:rFonts w:ascii="Cambria Math" w:hAnsi="Cambria Math" w:cstheme="majorHAnsi"/>
                          <w:i/>
                        </w:rPr>
                      </m:ctrlPr>
                    </m:sSubPr>
                    <m:e>
                      <m:r>
                        <w:rPr>
                          <w:rFonts w:ascii="Cambria Math" w:hAnsi="Cambria Math" w:cstheme="majorHAnsi"/>
                        </w:rPr>
                        <m:t>T</m:t>
                      </m:r>
                    </m:e>
                    <m: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i</m:t>
                          </m:r>
                        </m:sub>
                      </m:s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j</m:t>
                          </m:r>
                        </m:sub>
                      </m:sSub>
                      <m:sSup>
                        <m:sSupPr>
                          <m:ctrlPr>
                            <w:rPr>
                              <w:rFonts w:ascii="Cambria Math" w:hAnsi="Cambria Math" w:cstheme="majorHAnsi"/>
                              <w:i/>
                            </w:rPr>
                          </m:ctrlPr>
                        </m:sSupPr>
                        <m:e>
                          <m:r>
                            <w:rPr>
                              <w:rFonts w:ascii="Cambria Math" w:hAnsi="Cambria Math" w:cstheme="majorHAnsi"/>
                            </w:rPr>
                            <m:t>k</m:t>
                          </m:r>
                        </m:e>
                        <m:sup>
                          <m:r>
                            <w:rPr>
                              <w:rFonts w:ascii="Cambria Math" w:hAnsi="Cambria Math" w:cstheme="majorHAnsi"/>
                            </w:rPr>
                            <m:t>solid</m:t>
                          </m:r>
                        </m:sup>
                      </m:sSup>
                    </m:sub>
                  </m:sSub>
                </m:e>
              </m:d>
              <m:r>
                <w:rPr>
                  <w:rFonts w:ascii="Cambria Math" w:hAnsi="Cambria Math" w:cstheme="majorHAnsi"/>
                </w:rPr>
                <m:t>≥0</m:t>
              </m:r>
            </m:e>
          </m:nary>
          <m:r>
            <w:rPr>
              <w:rFonts w:ascii="Cambria Math" w:hAnsi="Cambria Math" w:cstheme="majorHAnsi"/>
            </w:rPr>
            <m:t>∀ t</m:t>
          </m:r>
        </m:oMath>
      </m:oMathPara>
    </w:p>
    <w:p w:rsidR="00B038CA" w:rsidRPr="000D4580" w:rsidRDefault="000148C0" w:rsidP="00D140C1">
      <w:pPr>
        <w:spacing w:line="360" w:lineRule="auto"/>
        <w:rPr>
          <w:rFonts w:asciiTheme="majorHAnsi" w:hAnsiTheme="majorHAnsi" w:cstheme="majorHAnsi"/>
        </w:rPr>
      </w:pPr>
      <m:oMathPara>
        <m:oMath>
          <m:nary>
            <m:naryPr>
              <m:chr m:val="∑"/>
              <m:limLoc m:val="undOvr"/>
              <m:supHide m:val="1"/>
              <m:ctrlPr>
                <w:rPr>
                  <w:rFonts w:ascii="Cambria Math" w:hAnsi="Cambria Math" w:cstheme="majorHAnsi"/>
                  <w:i/>
                </w:rPr>
              </m:ctrlPr>
            </m:naryPr>
            <m:sub>
              <m:sSup>
                <m:sSupPr>
                  <m:ctrlPr>
                    <w:rPr>
                      <w:rFonts w:ascii="Cambria Math" w:hAnsi="Cambria Math" w:cstheme="majorHAnsi"/>
                      <w:i/>
                    </w:rPr>
                  </m:ctrlPr>
                </m:sSupPr>
                <m:e>
                  <m:r>
                    <w:rPr>
                      <w:rFonts w:ascii="Cambria Math" w:hAnsi="Cambria Math" w:cstheme="majorHAnsi"/>
                    </w:rPr>
                    <m:t>k</m:t>
                  </m:r>
                </m:e>
                <m:sup>
                  <m:r>
                    <w:rPr>
                      <w:rFonts w:ascii="Cambria Math" w:hAnsi="Cambria Math" w:cstheme="majorHAnsi"/>
                    </w:rPr>
                    <m:t>LNG</m:t>
                  </m:r>
                </m:sup>
              </m:sSup>
            </m:sub>
            <m:sup/>
            <m:e>
              <m:d>
                <m:dPr>
                  <m:ctrlPr>
                    <w:rPr>
                      <w:rFonts w:ascii="Cambria Math" w:hAnsi="Cambria Math" w:cstheme="majorHAnsi"/>
                      <w:i/>
                    </w:rPr>
                  </m:ctrlPr>
                </m:dPr>
                <m:e>
                  <m:r>
                    <w:rPr>
                      <w:rFonts w:ascii="Cambria Math" w:hAnsi="Cambria Math" w:cstheme="majorHAnsi"/>
                    </w:rPr>
                    <m:t>LNG_shippin</m:t>
                  </m:r>
                  <m:sSub>
                    <m:sSubPr>
                      <m:ctrlPr>
                        <w:rPr>
                          <w:rFonts w:ascii="Cambria Math" w:hAnsi="Cambria Math" w:cstheme="majorHAnsi"/>
                          <w:i/>
                        </w:rPr>
                      </m:ctrlPr>
                    </m:sSubPr>
                    <m:e>
                      <m:r>
                        <w:rPr>
                          <w:rFonts w:ascii="Cambria Math" w:hAnsi="Cambria Math" w:cstheme="majorHAnsi"/>
                        </w:rPr>
                        <m:t>g</m:t>
                      </m:r>
                    </m:e>
                    <m: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i</m:t>
                          </m:r>
                        </m:sub>
                      </m:sSub>
                      <m:r>
                        <w:rPr>
                          <w:rFonts w:ascii="Cambria Math" w:hAnsi="Cambria Math" w:cstheme="majorHAnsi"/>
                        </w:rPr>
                        <m:t>ft</m:t>
                      </m:r>
                    </m:sub>
                  </m:sSub>
                </m:e>
              </m:d>
              <m:r>
                <w:rPr>
                  <w:rFonts w:ascii="Cambria Math" w:hAnsi="Cambria Math" w:cstheme="majorHAnsi"/>
                </w:rPr>
                <m:t>-</m:t>
              </m:r>
              <m:d>
                <m:dPr>
                  <m:ctrlPr>
                    <w:rPr>
                      <w:rFonts w:ascii="Cambria Math" w:hAnsi="Cambria Math" w:cstheme="majorHAnsi"/>
                      <w:i/>
                    </w:rPr>
                  </m:ctrlPr>
                </m:dPr>
                <m:e>
                  <m:r>
                    <w:rPr>
                      <w:rFonts w:ascii="Cambria Math" w:hAnsi="Cambria Math" w:cstheme="majorHAnsi"/>
                    </w:rPr>
                    <m:t>h</m:t>
                  </m:r>
                  <m:sSub>
                    <m:sSubPr>
                      <m:ctrlPr>
                        <w:rPr>
                          <w:rFonts w:ascii="Cambria Math" w:hAnsi="Cambria Math" w:cstheme="majorHAnsi"/>
                          <w:i/>
                        </w:rPr>
                      </m:ctrlPr>
                    </m:sSubPr>
                    <m:e>
                      <m:r>
                        <w:rPr>
                          <w:rFonts w:ascii="Cambria Math" w:hAnsi="Cambria Math" w:cstheme="majorHAnsi"/>
                        </w:rPr>
                        <m:t>v</m:t>
                      </m:r>
                    </m:e>
                    <m: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i</m:t>
                          </m:r>
                        </m:sub>
                      </m:sSub>
                      <m:r>
                        <w:rPr>
                          <w:rFonts w:ascii="Cambria Math" w:hAnsi="Cambria Math" w:cstheme="majorHAnsi"/>
                        </w:rPr>
                        <m:t>ft</m:t>
                      </m:r>
                    </m:sub>
                  </m:sSub>
                  <m:r>
                    <w:rPr>
                      <w:rFonts w:ascii="Cambria Math" w:hAnsi="Cambria Math" w:cstheme="majorHAnsi"/>
                    </w:rPr>
                    <m:t> ×AC</m:t>
                  </m:r>
                  <m:sSub>
                    <m:sSubPr>
                      <m:ctrlPr>
                        <w:rPr>
                          <w:rFonts w:ascii="Cambria Math" w:hAnsi="Cambria Math" w:cstheme="majorHAnsi"/>
                          <w:i/>
                        </w:rPr>
                      </m:ctrlPr>
                    </m:sSubPr>
                    <m:e>
                      <m:r>
                        <w:rPr>
                          <w:rFonts w:ascii="Cambria Math" w:hAnsi="Cambria Math" w:cstheme="majorHAnsi"/>
                        </w:rPr>
                        <m:t>T</m:t>
                      </m:r>
                    </m:e>
                    <m: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i</m:t>
                          </m:r>
                        </m:sub>
                      </m:s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j</m:t>
                          </m:r>
                        </m:sub>
                      </m:sSub>
                      <m:sSup>
                        <m:sSupPr>
                          <m:ctrlPr>
                            <w:rPr>
                              <w:rFonts w:ascii="Cambria Math" w:hAnsi="Cambria Math" w:cstheme="majorHAnsi"/>
                              <w:i/>
                            </w:rPr>
                          </m:ctrlPr>
                        </m:sSupPr>
                        <m:e>
                          <m:r>
                            <w:rPr>
                              <w:rFonts w:ascii="Cambria Math" w:hAnsi="Cambria Math" w:cstheme="majorHAnsi"/>
                            </w:rPr>
                            <m:t>k</m:t>
                          </m:r>
                        </m:e>
                        <m:sup>
                          <m:r>
                            <w:rPr>
                              <w:rFonts w:ascii="Cambria Math" w:hAnsi="Cambria Math" w:cstheme="majorHAnsi"/>
                            </w:rPr>
                            <m:t>LNG</m:t>
                          </m:r>
                        </m:sup>
                      </m:sSup>
                    </m:sub>
                  </m:sSub>
                </m:e>
              </m:d>
              <m:r>
                <w:rPr>
                  <w:rFonts w:ascii="Cambria Math" w:hAnsi="Cambria Math" w:cstheme="majorHAnsi"/>
                </w:rPr>
                <m:t>≥0</m:t>
              </m:r>
            </m:e>
          </m:nary>
          <m:r>
            <w:rPr>
              <w:rFonts w:ascii="Cambria Math" w:hAnsi="Cambria Math" w:cstheme="majorHAnsi"/>
            </w:rPr>
            <m:t>∀ t</m:t>
          </m:r>
        </m:oMath>
      </m:oMathPara>
    </w:p>
    <w:p w:rsidR="00B038CA" w:rsidRPr="000D4580" w:rsidRDefault="000148C0" w:rsidP="00D140C1">
      <w:pPr>
        <w:spacing w:line="360" w:lineRule="auto"/>
        <w:rPr>
          <w:rFonts w:asciiTheme="majorHAnsi" w:hAnsiTheme="majorHAnsi" w:cstheme="majorHAnsi"/>
        </w:rPr>
      </w:pPr>
      <m:oMathPara>
        <m:oMath>
          <m:nary>
            <m:naryPr>
              <m:chr m:val="∑"/>
              <m:limLoc m:val="undOvr"/>
              <m:supHide m:val="1"/>
              <m:ctrlPr>
                <w:rPr>
                  <w:rFonts w:ascii="Cambria Math" w:hAnsi="Cambria Math" w:cstheme="majorHAnsi"/>
                  <w:i/>
                </w:rPr>
              </m:ctrlPr>
            </m:naryPr>
            <m:sub>
              <m:sSup>
                <m:sSupPr>
                  <m:ctrlPr>
                    <w:rPr>
                      <w:rFonts w:ascii="Cambria Math" w:hAnsi="Cambria Math" w:cstheme="majorHAnsi"/>
                      <w:i/>
                    </w:rPr>
                  </m:ctrlPr>
                </m:sSupPr>
                <m:e>
                  <m:r>
                    <w:rPr>
                      <w:rFonts w:ascii="Cambria Math" w:hAnsi="Cambria Math" w:cstheme="majorHAnsi"/>
                    </w:rPr>
                    <m:t>k</m:t>
                  </m:r>
                </m:e>
                <m:sup>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2</m:t>
                      </m:r>
                    </m:sub>
                  </m:sSub>
                </m:sup>
              </m:sSup>
            </m:sub>
            <m:sup/>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2</m:t>
                      </m:r>
                    </m:sub>
                  </m:sSub>
                  <m:r>
                    <w:rPr>
                      <w:rFonts w:ascii="Cambria Math" w:hAnsi="Cambria Math" w:cstheme="majorHAnsi"/>
                    </w:rPr>
                    <m:t>_shippin</m:t>
                  </m:r>
                  <m:sSub>
                    <m:sSubPr>
                      <m:ctrlPr>
                        <w:rPr>
                          <w:rFonts w:ascii="Cambria Math" w:hAnsi="Cambria Math" w:cstheme="majorHAnsi"/>
                          <w:i/>
                        </w:rPr>
                      </m:ctrlPr>
                    </m:sSubPr>
                    <m:e>
                      <m:r>
                        <w:rPr>
                          <w:rFonts w:ascii="Cambria Math" w:hAnsi="Cambria Math" w:cstheme="majorHAnsi"/>
                        </w:rPr>
                        <m:t>g</m:t>
                      </m:r>
                    </m:e>
                    <m: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i</m:t>
                          </m:r>
                        </m:sub>
                      </m:sSub>
                      <m:r>
                        <w:rPr>
                          <w:rFonts w:ascii="Cambria Math" w:hAnsi="Cambria Math" w:cstheme="majorHAnsi"/>
                        </w:rPr>
                        <m:t>ft</m:t>
                      </m:r>
                    </m:sub>
                  </m:sSub>
                </m:e>
              </m:d>
              <m:r>
                <w:rPr>
                  <w:rFonts w:ascii="Cambria Math" w:hAnsi="Cambria Math" w:cstheme="majorHAnsi"/>
                </w:rPr>
                <m:t>-</m:t>
              </m:r>
              <m:d>
                <m:dPr>
                  <m:ctrlPr>
                    <w:rPr>
                      <w:rFonts w:ascii="Cambria Math" w:hAnsi="Cambria Math" w:cstheme="majorHAnsi"/>
                      <w:i/>
                    </w:rPr>
                  </m:ctrlPr>
                </m:dPr>
                <m:e>
                  <m:r>
                    <w:rPr>
                      <w:rFonts w:ascii="Cambria Math" w:hAnsi="Cambria Math" w:cstheme="majorHAnsi"/>
                    </w:rPr>
                    <m:t>h</m:t>
                  </m:r>
                  <m:sSub>
                    <m:sSubPr>
                      <m:ctrlPr>
                        <w:rPr>
                          <w:rFonts w:ascii="Cambria Math" w:hAnsi="Cambria Math" w:cstheme="majorHAnsi"/>
                          <w:i/>
                        </w:rPr>
                      </m:ctrlPr>
                    </m:sSubPr>
                    <m:e>
                      <m:r>
                        <w:rPr>
                          <w:rFonts w:ascii="Cambria Math" w:hAnsi="Cambria Math" w:cstheme="majorHAnsi"/>
                        </w:rPr>
                        <m:t>v</m:t>
                      </m:r>
                    </m:e>
                    <m: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i</m:t>
                          </m:r>
                        </m:sub>
                      </m:sSub>
                      <m:r>
                        <w:rPr>
                          <w:rFonts w:ascii="Cambria Math" w:hAnsi="Cambria Math" w:cstheme="majorHAnsi"/>
                        </w:rPr>
                        <m:t>ft</m:t>
                      </m:r>
                    </m:sub>
                  </m:sSub>
                  <m:r>
                    <w:rPr>
                      <w:rFonts w:ascii="Cambria Math" w:hAnsi="Cambria Math" w:cstheme="majorHAnsi"/>
                    </w:rPr>
                    <m:t> ×AC</m:t>
                  </m:r>
                  <m:sSub>
                    <m:sSubPr>
                      <m:ctrlPr>
                        <w:rPr>
                          <w:rFonts w:ascii="Cambria Math" w:hAnsi="Cambria Math" w:cstheme="majorHAnsi"/>
                          <w:i/>
                        </w:rPr>
                      </m:ctrlPr>
                    </m:sSubPr>
                    <m:e>
                      <m:r>
                        <w:rPr>
                          <w:rFonts w:ascii="Cambria Math" w:hAnsi="Cambria Math" w:cstheme="majorHAnsi"/>
                        </w:rPr>
                        <m:t>T</m:t>
                      </m:r>
                    </m:e>
                    <m: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i</m:t>
                          </m:r>
                        </m:sub>
                      </m:s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j</m:t>
                          </m:r>
                        </m:sub>
                      </m:sSub>
                      <m:sSup>
                        <m:sSupPr>
                          <m:ctrlPr>
                            <w:rPr>
                              <w:rFonts w:ascii="Cambria Math" w:hAnsi="Cambria Math" w:cstheme="majorHAnsi"/>
                              <w:i/>
                            </w:rPr>
                          </m:ctrlPr>
                        </m:sSupPr>
                        <m:e>
                          <m:r>
                            <w:rPr>
                              <w:rFonts w:ascii="Cambria Math" w:hAnsi="Cambria Math" w:cstheme="majorHAnsi"/>
                            </w:rPr>
                            <m:t>k</m:t>
                          </m:r>
                        </m:e>
                        <m:sup>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2</m:t>
                              </m:r>
                            </m:sub>
                          </m:sSub>
                        </m:sup>
                      </m:sSup>
                    </m:sub>
                  </m:sSub>
                </m:e>
              </m:d>
              <m:r>
                <w:rPr>
                  <w:rFonts w:ascii="Cambria Math" w:hAnsi="Cambria Math" w:cstheme="majorHAnsi"/>
                </w:rPr>
                <m:t>≥0</m:t>
              </m:r>
            </m:e>
          </m:nary>
          <m:r>
            <w:rPr>
              <w:rFonts w:ascii="Cambria Math" w:hAnsi="Cambria Math" w:cstheme="majorHAnsi"/>
            </w:rPr>
            <m:t>∀ t</m:t>
          </m:r>
        </m:oMath>
      </m:oMathPara>
    </w:p>
    <w:p w:rsidR="00B038CA" w:rsidRPr="000D4580" w:rsidRDefault="00B038CA" w:rsidP="00D140C1">
      <w:pPr>
        <w:spacing w:line="360" w:lineRule="auto"/>
        <w:ind w:firstLine="720"/>
        <w:rPr>
          <w:rFonts w:asciiTheme="majorHAnsi" w:hAnsiTheme="majorHAnsi" w:cstheme="majorHAnsi"/>
        </w:rPr>
      </w:pPr>
      <w:r w:rsidRPr="000D4580">
        <w:rPr>
          <w:rFonts w:asciiTheme="majorHAnsi" w:hAnsiTheme="majorHAnsi" w:cstheme="majorHAnsi"/>
        </w:rPr>
        <w:t>These equations dictate that the capacity of shipping (e.g</w:t>
      </w:r>
      <w:proofErr w:type="gramStart"/>
      <w:r w:rsidRPr="000D4580">
        <w:rPr>
          <w:rFonts w:asciiTheme="majorHAnsi" w:hAnsiTheme="majorHAnsi" w:cstheme="majorHAnsi"/>
        </w:rPr>
        <w:t xml:space="preserve">. </w:t>
      </w:r>
      <w:proofErr w:type="gramEnd"/>
      <m:oMath>
        <m:r>
          <w:rPr>
            <w:rFonts w:ascii="Cambria Math" w:hAnsi="Cambria Math" w:cstheme="majorHAnsi"/>
          </w:rPr>
          <m:t>liquid_shipping</m:t>
        </m:r>
      </m:oMath>
      <w:r w:rsidRPr="000D4580">
        <w:rPr>
          <w:rFonts w:asciiTheme="majorHAnsi" w:hAnsiTheme="majorHAnsi" w:cstheme="majorHAnsi"/>
        </w:rPr>
        <w:t xml:space="preserve">) summed across all exporting regions (i.e. global capacity) must be greater than the global trade activity for a given type of commodity </w:t>
      </w:r>
      <m:oMath>
        <m:sSup>
          <m:sSupPr>
            <m:ctrlPr>
              <w:rPr>
                <w:rFonts w:ascii="Cambria Math" w:hAnsi="Cambria Math" w:cstheme="majorHAnsi"/>
                <w:i/>
              </w:rPr>
            </m:ctrlPr>
          </m:sSupPr>
          <m:e>
            <m:r>
              <w:rPr>
                <w:rFonts w:ascii="Cambria Math" w:hAnsi="Cambria Math" w:cstheme="majorHAnsi"/>
              </w:rPr>
              <m:t>k</m:t>
            </m:r>
          </m:e>
          <m:sup>
            <m:r>
              <w:rPr>
                <w:rFonts w:ascii="Cambria Math" w:hAnsi="Cambria Math" w:cstheme="majorHAnsi"/>
              </w:rPr>
              <m:t>*</m:t>
            </m:r>
          </m:sup>
        </m:sSup>
      </m:oMath>
      <w:r w:rsidRPr="000D4580">
        <w:rPr>
          <w:rFonts w:asciiTheme="majorHAnsi" w:hAnsiTheme="majorHAnsi" w:cstheme="majorHAnsi"/>
        </w:rPr>
        <w:t>. Here we differentiate shipping capacity by what they carry (</w:t>
      </w:r>
      <m:oMath>
        <m:sSup>
          <m:sSupPr>
            <m:ctrlPr>
              <w:rPr>
                <w:rFonts w:ascii="Cambria Math" w:hAnsi="Cambria Math" w:cstheme="majorHAnsi"/>
                <w:i/>
              </w:rPr>
            </m:ctrlPr>
          </m:sSupPr>
          <m:e>
            <m:r>
              <w:rPr>
                <w:rFonts w:ascii="Cambria Math" w:hAnsi="Cambria Math" w:cstheme="majorHAnsi"/>
              </w:rPr>
              <m:t>k</m:t>
            </m:r>
          </m:e>
          <m:sup>
            <m:r>
              <w:rPr>
                <w:rFonts w:ascii="Cambria Math" w:hAnsi="Cambria Math" w:cstheme="majorHAnsi"/>
              </w:rPr>
              <m:t>*</m:t>
            </m:r>
          </m:sup>
        </m:sSup>
      </m:oMath>
      <w:r w:rsidRPr="000D4580">
        <w:rPr>
          <w:rFonts w:asciiTheme="majorHAnsi" w:hAnsiTheme="majorHAnsi" w:cstheme="majorHAnsi"/>
        </w:rPr>
        <w:t>) and the fuel they use (</w:t>
      </w:r>
      <m:oMath>
        <m:r>
          <w:rPr>
            <w:rFonts w:ascii="Cambria Math" w:hAnsi="Cambria Math" w:cstheme="majorHAnsi"/>
          </w:rPr>
          <m:t>f</m:t>
        </m:r>
      </m:oMath>
      <w:r w:rsidRPr="000D4580">
        <w:rPr>
          <w:rFonts w:asciiTheme="majorHAnsi" w:hAnsiTheme="majorHAnsi" w:cstheme="majorHAnsi"/>
        </w:rPr>
        <w:t xml:space="preserve">). In this study, </w:t>
      </w:r>
      <m:oMath>
        <m:sSup>
          <m:sSupPr>
            <m:ctrlPr>
              <w:rPr>
                <w:rFonts w:ascii="Cambria Math" w:hAnsi="Cambria Math" w:cstheme="majorHAnsi"/>
                <w:i/>
              </w:rPr>
            </m:ctrlPr>
          </m:sSupPr>
          <m:e>
            <m:r>
              <w:rPr>
                <w:rFonts w:ascii="Cambria Math" w:hAnsi="Cambria Math" w:cstheme="majorHAnsi"/>
              </w:rPr>
              <m:t>k</m:t>
            </m:r>
          </m:e>
          <m:sup>
            <m:r>
              <w:rPr>
                <w:rFonts w:ascii="Cambria Math" w:hAnsi="Cambria Math" w:cstheme="majorHAnsi"/>
              </w:rPr>
              <m:t>liquid</m:t>
            </m:r>
          </m:sup>
        </m:sSup>
      </m:oMath>
      <w:r w:rsidRPr="000D4580">
        <w:rPr>
          <w:rFonts w:asciiTheme="majorHAnsi" w:hAnsiTheme="majorHAnsi" w:cstheme="majorHAnsi"/>
        </w:rPr>
        <w:t xml:space="preserve"> includes crude oil, light oil, and fuel oil; </w:t>
      </w:r>
      <m:oMath>
        <m:sSup>
          <m:sSupPr>
            <m:ctrlPr>
              <w:rPr>
                <w:rFonts w:ascii="Cambria Math" w:hAnsi="Cambria Math" w:cstheme="majorHAnsi"/>
                <w:i/>
              </w:rPr>
            </m:ctrlPr>
          </m:sSupPr>
          <m:e>
            <m:r>
              <w:rPr>
                <w:rFonts w:ascii="Cambria Math" w:hAnsi="Cambria Math" w:cstheme="majorHAnsi"/>
              </w:rPr>
              <m:t>k</m:t>
            </m:r>
          </m:e>
          <m:sup>
            <m:r>
              <w:rPr>
                <w:rFonts w:ascii="Cambria Math" w:hAnsi="Cambria Math" w:cstheme="majorHAnsi"/>
              </w:rPr>
              <m:t>solid</m:t>
            </m:r>
          </m:sup>
        </m:sSup>
      </m:oMath>
      <w:r w:rsidRPr="000D4580">
        <w:rPr>
          <w:rFonts w:asciiTheme="majorHAnsi" w:hAnsiTheme="majorHAnsi" w:cstheme="majorHAnsi"/>
        </w:rPr>
        <w:t xml:space="preserve"> includes coal; and </w:t>
      </w:r>
      <m:oMath>
        <m:sSup>
          <m:sSupPr>
            <m:ctrlPr>
              <w:rPr>
                <w:rFonts w:ascii="Cambria Math" w:hAnsi="Cambria Math" w:cstheme="majorHAnsi"/>
                <w:i/>
              </w:rPr>
            </m:ctrlPr>
          </m:sSupPr>
          <m:e>
            <m:r>
              <w:rPr>
                <w:rFonts w:ascii="Cambria Math" w:hAnsi="Cambria Math" w:cstheme="majorHAnsi"/>
              </w:rPr>
              <m:t>k</m:t>
            </m:r>
          </m:e>
          <m:sup>
            <m:r>
              <w:rPr>
                <w:rFonts w:ascii="Cambria Math" w:hAnsi="Cambria Math" w:cstheme="majorHAnsi"/>
              </w:rPr>
              <m:t>LNG</m:t>
            </m:r>
          </m:sup>
        </m:sSup>
      </m:oMath>
      <w:r w:rsidRPr="000D4580">
        <w:rPr>
          <w:rFonts w:asciiTheme="majorHAnsi" w:hAnsiTheme="majorHAnsi" w:cstheme="majorHAnsi"/>
        </w:rPr>
        <w:t xml:space="preserve"> includes LNG. </w:t>
      </w:r>
      <m:oMath>
        <m:r>
          <w:rPr>
            <w:rFonts w:ascii="Cambria Math" w:hAnsi="Cambria Math" w:cstheme="majorHAnsi"/>
          </w:rPr>
          <m:t>f</m:t>
        </m:r>
      </m:oMath>
      <w:r w:rsidRPr="000D4580">
        <w:rPr>
          <w:rFonts w:asciiTheme="majorHAnsi" w:hAnsiTheme="majorHAnsi" w:cstheme="majorHAnsi"/>
        </w:rPr>
        <w:t xml:space="preserve"> </w:t>
      </w:r>
      <w:proofErr w:type="gramStart"/>
      <w:r w:rsidRPr="000D4580">
        <w:rPr>
          <w:rFonts w:asciiTheme="majorHAnsi" w:hAnsiTheme="majorHAnsi" w:cstheme="majorHAnsi"/>
        </w:rPr>
        <w:t>can</w:t>
      </w:r>
      <w:proofErr w:type="gramEnd"/>
      <w:r w:rsidRPr="000D4580">
        <w:rPr>
          <w:rFonts w:asciiTheme="majorHAnsi" w:hAnsiTheme="majorHAnsi" w:cstheme="majorHAnsi"/>
        </w:rPr>
        <w:t xml:space="preserve"> be fuel oil (i.e. diesel), LNG, or electricity. Heavy crude has historically been the primary fuel for maritime shipping. Interest has increased more recently in LNG-fueled vessels </w:t>
      </w:r>
      <w:r w:rsidRPr="000D4580">
        <w:rPr>
          <w:rFonts w:asciiTheme="majorHAnsi" w:hAnsiTheme="majorHAnsi" w:cstheme="majorHAnsi"/>
        </w:rPr>
        <w:fldChar w:fldCharType="begin" w:fldLock="1"/>
      </w:r>
      <w:r w:rsidRPr="000D4580">
        <w:rPr>
          <w:rFonts w:asciiTheme="majorHAnsi" w:hAnsiTheme="majorHAnsi" w:cstheme="majorHAnsi"/>
        </w:rPr>
        <w:instrText>ADDIN CSL_CITATION {"citationItems":[{"id":"ITEM-1","itemData":{"DOI":"10.1016/j.oceaneng.2016.04.031","ISSN":"00298018","abstract":"Regulatory initiatives obligate maritime operators to reduce emission via retrofitting propulsion and exhaust treatment systems or by using alternative fuels. Although these initiatives facilitate the emergence of LNG as a marine fuel, the proliferation of LNG technology is dependent on the relationship that defines the competitiveness of conventionally fueled and LNG-fueled ships. This article proposes a methodology to evaluate the commercial incentives that are required to promote LNG as a marine fuel, which can be used to assess policy initiatives that encourage the use of alternative technologies and estimate their market impact. To develop the context and support this methodology, the following areas are discussed: (1) international regulatory frameworks and regional initiatives supporting the use of LNG as a marine fuel; (2) commercial and operational attributes that determine the competitiveness of LNG-fueled ships; and (3) challenges preventing the adoption of LNG as a marine fuel, including the uncertainties and less-quantifiable concerns expressed by the maritime operators.","author":[{"dropping-particle":"","family":"Schinas","given":"O.","non-dropping-particle":"","parse-names":false,"suffix":""},{"dropping-particle":"","family":"Butler","given":"M.","non-dropping-particle":"","parse-names":false,"suffix":""}],"container-title":"Ocean Engineering","id":"ITEM-1","issued":{"date-parts":[["2016"]]},"title":"Feasibility and commercial considerations of LNG-fueled ships","type":"article-journal"},"uris":["http://www.mendeley.com/documents/?uuid=1fe92d35-a19f-4f80-a9fd-54c7e350d4e5"]},{"id":"ITEM-2","itemData":{"author":[{"dropping-particle":"","family":"Parfomak","given":"Paul W.","non-dropping-particle":"","parse-names":false,"suffix":""},{"dropping-particle":"","family":"Fritelli","given":"John","non-dropping-particle":"","parse-names":false,"suffix":""},{"dropping-particle":"","family":"Lattanzio","given":"Richard","non-dropping-particle":"","parse-names":false,"suffix":""},{"dropping-particle":"","family":"Ratner","given":"Michael","non-dropping-particle":"","parse-names":false,"suffix":""}],"id":"ITEM-2","issued":{"date-parts":[["2019"]]},"publisher-place":"Washington, DC","title":"LNG as a Maritime Fuel: Prospects and Policy","type":"report"},"uris":["http://www.mendeley.com/documents/?uuid=abc377b8-e17f-4a88-916c-eebe095b770f"]}],"mendeley":{"formattedCitation":"[27,28]","plainTextFormattedCitation":"[27,28]","previouslyFormattedCitation":"[27,28]"},"properties":{"noteIndex":0},"schema":"https://github.com/citation-style-language/schema/raw/master/csl-citation.json"}</w:instrText>
      </w:r>
      <w:r w:rsidRPr="000D4580">
        <w:rPr>
          <w:rFonts w:asciiTheme="majorHAnsi" w:hAnsiTheme="majorHAnsi" w:cstheme="majorHAnsi"/>
        </w:rPr>
        <w:fldChar w:fldCharType="separate"/>
      </w:r>
      <w:r w:rsidRPr="000D4580">
        <w:rPr>
          <w:rFonts w:asciiTheme="majorHAnsi" w:hAnsiTheme="majorHAnsi" w:cstheme="majorHAnsi"/>
          <w:noProof/>
        </w:rPr>
        <w:t>[27,28]</w:t>
      </w:r>
      <w:r w:rsidRPr="000D4580">
        <w:rPr>
          <w:rFonts w:asciiTheme="majorHAnsi" w:hAnsiTheme="majorHAnsi" w:cstheme="majorHAnsi"/>
        </w:rPr>
        <w:fldChar w:fldCharType="end"/>
      </w:r>
      <w:r w:rsidRPr="000D4580">
        <w:rPr>
          <w:rFonts w:asciiTheme="majorHAnsi" w:hAnsiTheme="majorHAnsi" w:cstheme="majorHAnsi"/>
        </w:rPr>
        <w:t xml:space="preserve">. Electricity-powered vessels are still not in development, but we include this as an option (albeit an expensive one) for the latter period of the model horizon (post-2030). We include hydrogen-based transport as another possible but still prohibitively expensive option. </w:t>
      </w:r>
      <m:oMath>
        <m:r>
          <w:rPr>
            <w:rFonts w:ascii="Cambria Math" w:hAnsi="Cambria Math" w:cstheme="majorHAnsi"/>
          </w:rPr>
          <m:t>h</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kt</m:t>
            </m:r>
          </m:sub>
        </m:sSub>
      </m:oMath>
      <w:r w:rsidRPr="000D4580">
        <w:rPr>
          <w:rFonts w:asciiTheme="majorHAnsi" w:hAnsiTheme="majorHAnsi" w:cstheme="majorHAnsi"/>
        </w:rPr>
        <w:t xml:space="preserve"> </w:t>
      </w:r>
      <w:proofErr w:type="gramStart"/>
      <w:r w:rsidRPr="000D4580">
        <w:rPr>
          <w:rFonts w:asciiTheme="majorHAnsi" w:hAnsiTheme="majorHAnsi" w:cstheme="majorHAnsi"/>
        </w:rPr>
        <w:t>is</w:t>
      </w:r>
      <w:proofErr w:type="gramEnd"/>
      <w:r w:rsidRPr="000D4580">
        <w:rPr>
          <w:rFonts w:asciiTheme="majorHAnsi" w:hAnsiTheme="majorHAnsi" w:cstheme="majorHAnsi"/>
        </w:rPr>
        <w:t xml:space="preserve"> the conversion factor for a given energy commodity </w:t>
      </w:r>
      <m:oMath>
        <m:r>
          <w:rPr>
            <w:rFonts w:ascii="Cambria Math" w:hAnsi="Cambria Math" w:cstheme="majorHAnsi"/>
          </w:rPr>
          <m:t>k</m:t>
        </m:r>
      </m:oMath>
      <w:r w:rsidRPr="000D4580">
        <w:rPr>
          <w:rFonts w:asciiTheme="majorHAnsi" w:hAnsiTheme="majorHAnsi" w:cstheme="majorHAnsi"/>
        </w:rPr>
        <w:t xml:space="preserve"> from the exporting region (</w:t>
      </w:r>
      <m:oMath>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i</m:t>
            </m:r>
          </m:sub>
        </m:sSub>
      </m:oMath>
      <w:r w:rsidRPr="000D4580">
        <w:rPr>
          <w:rFonts w:asciiTheme="majorHAnsi" w:hAnsiTheme="majorHAnsi" w:cstheme="majorHAnsi"/>
        </w:rPr>
        <w:t xml:space="preserve">) in time </w:t>
      </w:r>
      <m:oMath>
        <m:r>
          <w:rPr>
            <w:rFonts w:ascii="Cambria Math" w:hAnsi="Cambria Math" w:cstheme="majorHAnsi"/>
          </w:rPr>
          <m:t>t</m:t>
        </m:r>
      </m:oMath>
      <w:r w:rsidRPr="000D4580">
        <w:rPr>
          <w:rFonts w:asciiTheme="majorHAnsi" w:hAnsiTheme="majorHAnsi" w:cstheme="majorHAnsi"/>
        </w:rPr>
        <w:t xml:space="preserve">; we derive these values from the IEA NCV dataset. This allows us to have consistent units. </w:t>
      </w:r>
    </w:p>
    <w:p w:rsidR="001E608F" w:rsidRPr="000D4580" w:rsidRDefault="001E608F" w:rsidP="00D140C1">
      <w:pPr>
        <w:spacing w:line="360" w:lineRule="auto"/>
        <w:rPr>
          <w:rFonts w:asciiTheme="majorHAnsi" w:hAnsiTheme="majorHAnsi" w:cstheme="majorHAnsi"/>
        </w:rPr>
      </w:pPr>
      <w:r w:rsidRPr="000D4580">
        <w:rPr>
          <w:rFonts w:asciiTheme="majorHAnsi" w:hAnsiTheme="majorHAnsi" w:cstheme="majorHAnsi"/>
        </w:rPr>
        <w:t>The following tables include costs, parameters, and assumptions used to build the constraints related to global shipping capacity in the re-parameterized MESSAGE model. More information on the shipping constraints can be found in the Methods section of the main text.</w:t>
      </w:r>
    </w:p>
    <w:p w:rsidR="001E608F" w:rsidRDefault="001E608F" w:rsidP="00D140C1">
      <w:pPr>
        <w:spacing w:line="360" w:lineRule="auto"/>
        <w:rPr>
          <w:rFonts w:asciiTheme="majorHAnsi" w:hAnsiTheme="majorHAnsi" w:cstheme="majorHAnsi"/>
        </w:rPr>
      </w:pPr>
    </w:p>
    <w:p w:rsidR="000D4580" w:rsidRPr="000D4580" w:rsidRDefault="000D4580" w:rsidP="00D140C1">
      <w:pPr>
        <w:spacing w:line="360" w:lineRule="auto"/>
        <w:rPr>
          <w:rFonts w:asciiTheme="majorHAnsi" w:hAnsiTheme="majorHAnsi" w:cstheme="majorHAnsi"/>
        </w:rPr>
      </w:pPr>
    </w:p>
    <w:tbl>
      <w:tblPr>
        <w:tblW w:w="10260" w:type="dxa"/>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185"/>
        <w:gridCol w:w="1500"/>
        <w:gridCol w:w="2250"/>
        <w:gridCol w:w="2435"/>
        <w:gridCol w:w="1890"/>
      </w:tblGrid>
      <w:tr w:rsidR="001E608F" w:rsidRPr="000D4580" w:rsidTr="00B321B9">
        <w:trPr>
          <w:trHeight w:val="300"/>
          <w:jc w:val="center"/>
        </w:trPr>
        <w:tc>
          <w:tcPr>
            <w:tcW w:w="2185" w:type="dxa"/>
            <w:vMerge w:val="restart"/>
            <w:shd w:val="clear" w:color="auto" w:fill="B4C6E7" w:themeFill="accent1" w:themeFillTint="66"/>
            <w:noWrap/>
            <w:vAlign w:val="center"/>
            <w:hideMark/>
          </w:tcPr>
          <w:p w:rsidR="001E608F" w:rsidRPr="000D4580" w:rsidRDefault="001E608F" w:rsidP="00D140C1">
            <w:pPr>
              <w:spacing w:after="0" w:line="360" w:lineRule="auto"/>
              <w:jc w:val="center"/>
              <w:rPr>
                <w:rFonts w:asciiTheme="majorHAnsi" w:eastAsia="Times New Roman" w:hAnsiTheme="majorHAnsi" w:cstheme="majorHAnsi"/>
                <w:b/>
                <w:bCs/>
                <w:color w:val="000000"/>
                <w:sz w:val="18"/>
                <w:szCs w:val="18"/>
              </w:rPr>
            </w:pPr>
            <w:r w:rsidRPr="000D4580">
              <w:rPr>
                <w:rFonts w:asciiTheme="majorHAnsi" w:eastAsia="Times New Roman" w:hAnsiTheme="majorHAnsi" w:cstheme="majorHAnsi"/>
                <w:b/>
                <w:bCs/>
                <w:color w:val="000000"/>
                <w:sz w:val="18"/>
                <w:szCs w:val="18"/>
              </w:rPr>
              <w:lastRenderedPageBreak/>
              <w:t>Type of shipping</w:t>
            </w:r>
          </w:p>
        </w:tc>
        <w:tc>
          <w:tcPr>
            <w:tcW w:w="1500" w:type="dxa"/>
            <w:vMerge w:val="restart"/>
            <w:shd w:val="clear" w:color="auto" w:fill="B4C6E7" w:themeFill="accent1" w:themeFillTint="66"/>
            <w:noWrap/>
            <w:vAlign w:val="center"/>
            <w:hideMark/>
          </w:tcPr>
          <w:p w:rsidR="001E608F" w:rsidRPr="000D4580" w:rsidRDefault="001E608F" w:rsidP="00D140C1">
            <w:pPr>
              <w:spacing w:after="0" w:line="360" w:lineRule="auto"/>
              <w:jc w:val="center"/>
              <w:rPr>
                <w:rFonts w:asciiTheme="majorHAnsi" w:eastAsia="Times New Roman" w:hAnsiTheme="majorHAnsi" w:cstheme="majorHAnsi"/>
                <w:b/>
                <w:bCs/>
                <w:color w:val="000000"/>
                <w:sz w:val="18"/>
                <w:szCs w:val="18"/>
              </w:rPr>
            </w:pPr>
          </w:p>
          <w:p w:rsidR="001E608F" w:rsidRPr="000D4580" w:rsidRDefault="001E608F" w:rsidP="00D140C1">
            <w:pPr>
              <w:spacing w:after="0" w:line="360" w:lineRule="auto"/>
              <w:jc w:val="center"/>
              <w:rPr>
                <w:rFonts w:asciiTheme="majorHAnsi" w:eastAsia="Times New Roman" w:hAnsiTheme="majorHAnsi" w:cstheme="majorHAnsi"/>
                <w:b/>
                <w:bCs/>
                <w:color w:val="000000"/>
                <w:sz w:val="18"/>
                <w:szCs w:val="18"/>
              </w:rPr>
            </w:pPr>
            <w:r w:rsidRPr="000D4580">
              <w:rPr>
                <w:rFonts w:asciiTheme="majorHAnsi" w:eastAsia="Times New Roman" w:hAnsiTheme="majorHAnsi" w:cstheme="majorHAnsi"/>
                <w:b/>
                <w:bCs/>
                <w:color w:val="000000"/>
                <w:sz w:val="18"/>
                <w:szCs w:val="18"/>
              </w:rPr>
              <w:t>Type of fuel</w:t>
            </w:r>
          </w:p>
        </w:tc>
        <w:tc>
          <w:tcPr>
            <w:tcW w:w="6575" w:type="dxa"/>
            <w:gridSpan w:val="3"/>
            <w:shd w:val="clear" w:color="auto" w:fill="B4C6E7" w:themeFill="accent1" w:themeFillTint="66"/>
            <w:vAlign w:val="center"/>
          </w:tcPr>
          <w:p w:rsidR="001E608F" w:rsidRPr="000D4580" w:rsidRDefault="001E608F" w:rsidP="00D140C1">
            <w:pPr>
              <w:spacing w:after="0" w:line="360" w:lineRule="auto"/>
              <w:jc w:val="center"/>
              <w:rPr>
                <w:rFonts w:asciiTheme="majorHAnsi" w:eastAsia="Times New Roman" w:hAnsiTheme="majorHAnsi" w:cstheme="majorHAnsi"/>
                <w:b/>
                <w:bCs/>
                <w:color w:val="000000"/>
                <w:sz w:val="18"/>
                <w:szCs w:val="18"/>
              </w:rPr>
            </w:pPr>
            <w:r w:rsidRPr="000D4580">
              <w:rPr>
                <w:rFonts w:asciiTheme="majorHAnsi" w:eastAsia="Times New Roman" w:hAnsiTheme="majorHAnsi" w:cstheme="majorHAnsi"/>
                <w:b/>
                <w:bCs/>
                <w:color w:val="000000"/>
                <w:sz w:val="18"/>
                <w:szCs w:val="18"/>
              </w:rPr>
              <w:t xml:space="preserve">Fuel input </w:t>
            </w:r>
            <w:r w:rsidRPr="000D4580">
              <w:rPr>
                <w:rFonts w:asciiTheme="majorHAnsi" w:eastAsia="Times New Roman" w:hAnsiTheme="majorHAnsi" w:cstheme="majorHAnsi"/>
                <w:b/>
                <w:bCs/>
                <w:color w:val="000000"/>
                <w:sz w:val="18"/>
                <w:szCs w:val="18"/>
              </w:rPr>
              <w:br/>
              <w:t>(kg/</w:t>
            </w:r>
            <w:proofErr w:type="spellStart"/>
            <w:r w:rsidRPr="000D4580">
              <w:rPr>
                <w:rFonts w:asciiTheme="majorHAnsi" w:eastAsia="Times New Roman" w:hAnsiTheme="majorHAnsi" w:cstheme="majorHAnsi"/>
                <w:b/>
                <w:bCs/>
                <w:color w:val="000000"/>
                <w:sz w:val="18"/>
                <w:szCs w:val="18"/>
              </w:rPr>
              <w:t>bton</w:t>
            </w:r>
            <w:proofErr w:type="spellEnd"/>
            <w:r w:rsidRPr="000D4580">
              <w:rPr>
                <w:rFonts w:asciiTheme="majorHAnsi" w:eastAsia="Times New Roman" w:hAnsiTheme="majorHAnsi" w:cstheme="majorHAnsi"/>
                <w:b/>
                <w:bCs/>
                <w:color w:val="000000"/>
                <w:sz w:val="18"/>
                <w:szCs w:val="18"/>
              </w:rPr>
              <w:t>-km-y)</w:t>
            </w:r>
          </w:p>
        </w:tc>
      </w:tr>
      <w:tr w:rsidR="001E608F" w:rsidRPr="000D4580" w:rsidTr="00B321B9">
        <w:trPr>
          <w:trHeight w:val="640"/>
          <w:jc w:val="center"/>
        </w:trPr>
        <w:tc>
          <w:tcPr>
            <w:tcW w:w="2185" w:type="dxa"/>
            <w:vMerge/>
            <w:shd w:val="clear" w:color="auto" w:fill="B4C6E7" w:themeFill="accent1" w:themeFillTint="66"/>
            <w:vAlign w:val="center"/>
            <w:hideMark/>
          </w:tcPr>
          <w:p w:rsidR="001E608F" w:rsidRPr="000D4580" w:rsidRDefault="001E608F" w:rsidP="00D140C1">
            <w:pPr>
              <w:spacing w:after="0" w:line="360" w:lineRule="auto"/>
              <w:rPr>
                <w:rFonts w:asciiTheme="majorHAnsi" w:eastAsia="Times New Roman" w:hAnsiTheme="majorHAnsi" w:cstheme="majorHAnsi"/>
                <w:b/>
                <w:bCs/>
                <w:color w:val="000000"/>
                <w:sz w:val="18"/>
                <w:szCs w:val="18"/>
              </w:rPr>
            </w:pPr>
          </w:p>
        </w:tc>
        <w:tc>
          <w:tcPr>
            <w:tcW w:w="1500" w:type="dxa"/>
            <w:vMerge/>
            <w:shd w:val="clear" w:color="auto" w:fill="D9E2F3" w:themeFill="accent1" w:themeFillTint="33"/>
            <w:noWrap/>
            <w:vAlign w:val="center"/>
            <w:hideMark/>
          </w:tcPr>
          <w:p w:rsidR="001E608F" w:rsidRPr="000D4580" w:rsidRDefault="001E608F" w:rsidP="00D140C1">
            <w:pPr>
              <w:spacing w:after="0" w:line="360" w:lineRule="auto"/>
              <w:jc w:val="center"/>
              <w:rPr>
                <w:rFonts w:asciiTheme="majorHAnsi" w:eastAsia="Times New Roman" w:hAnsiTheme="majorHAnsi" w:cstheme="majorHAnsi"/>
                <w:b/>
                <w:bCs/>
                <w:color w:val="000000"/>
                <w:sz w:val="18"/>
                <w:szCs w:val="18"/>
              </w:rPr>
            </w:pPr>
          </w:p>
        </w:tc>
        <w:tc>
          <w:tcPr>
            <w:tcW w:w="2250" w:type="dxa"/>
            <w:shd w:val="clear" w:color="auto" w:fill="D9E2F3" w:themeFill="accent1" w:themeFillTint="33"/>
            <w:vAlign w:val="center"/>
            <w:hideMark/>
          </w:tcPr>
          <w:p w:rsidR="001E608F" w:rsidRPr="000D4580" w:rsidRDefault="001E608F" w:rsidP="00D140C1">
            <w:pPr>
              <w:spacing w:after="0" w:line="360" w:lineRule="auto"/>
              <w:jc w:val="center"/>
              <w:rPr>
                <w:rFonts w:asciiTheme="majorHAnsi" w:eastAsia="Times New Roman" w:hAnsiTheme="majorHAnsi" w:cstheme="majorHAnsi"/>
                <w:b/>
                <w:bCs/>
                <w:color w:val="000000"/>
                <w:sz w:val="18"/>
                <w:szCs w:val="18"/>
              </w:rPr>
            </w:pPr>
            <w:r w:rsidRPr="000D4580">
              <w:rPr>
                <w:rFonts w:asciiTheme="majorHAnsi" w:eastAsia="Times New Roman" w:hAnsiTheme="majorHAnsi" w:cstheme="majorHAnsi"/>
                <w:b/>
                <w:bCs/>
                <w:color w:val="000000"/>
                <w:sz w:val="18"/>
                <w:szCs w:val="18"/>
              </w:rPr>
              <w:t>By weight</w:t>
            </w:r>
            <w:r w:rsidRPr="000D4580">
              <w:rPr>
                <w:rFonts w:asciiTheme="majorHAnsi" w:eastAsia="Times New Roman" w:hAnsiTheme="majorHAnsi" w:cstheme="majorHAnsi"/>
                <w:b/>
                <w:bCs/>
                <w:color w:val="000000"/>
                <w:sz w:val="18"/>
                <w:szCs w:val="18"/>
              </w:rPr>
              <w:br/>
              <w:t>(kg/</w:t>
            </w:r>
            <w:proofErr w:type="spellStart"/>
            <w:r w:rsidRPr="000D4580">
              <w:rPr>
                <w:rFonts w:asciiTheme="majorHAnsi" w:eastAsia="Times New Roman" w:hAnsiTheme="majorHAnsi" w:cstheme="majorHAnsi"/>
                <w:b/>
                <w:bCs/>
                <w:color w:val="000000"/>
                <w:sz w:val="18"/>
                <w:szCs w:val="18"/>
              </w:rPr>
              <w:t>bton</w:t>
            </w:r>
            <w:proofErr w:type="spellEnd"/>
            <w:r w:rsidRPr="000D4580">
              <w:rPr>
                <w:rFonts w:asciiTheme="majorHAnsi" w:eastAsia="Times New Roman" w:hAnsiTheme="majorHAnsi" w:cstheme="majorHAnsi"/>
                <w:b/>
                <w:bCs/>
                <w:color w:val="000000"/>
                <w:sz w:val="18"/>
                <w:szCs w:val="18"/>
              </w:rPr>
              <w:t>-km-y)</w:t>
            </w:r>
          </w:p>
        </w:tc>
        <w:tc>
          <w:tcPr>
            <w:tcW w:w="2435" w:type="dxa"/>
            <w:shd w:val="clear" w:color="auto" w:fill="D9E2F3" w:themeFill="accent1" w:themeFillTint="33"/>
            <w:vAlign w:val="center"/>
            <w:hideMark/>
          </w:tcPr>
          <w:p w:rsidR="001E608F" w:rsidRPr="000D4580" w:rsidRDefault="001E608F" w:rsidP="00D140C1">
            <w:pPr>
              <w:spacing w:after="0" w:line="360" w:lineRule="auto"/>
              <w:jc w:val="center"/>
              <w:rPr>
                <w:rFonts w:asciiTheme="majorHAnsi" w:eastAsia="Times New Roman" w:hAnsiTheme="majorHAnsi" w:cstheme="majorHAnsi"/>
                <w:b/>
                <w:bCs/>
                <w:color w:val="000000"/>
                <w:sz w:val="18"/>
                <w:szCs w:val="18"/>
              </w:rPr>
            </w:pPr>
            <w:r w:rsidRPr="000D4580">
              <w:rPr>
                <w:rFonts w:asciiTheme="majorHAnsi" w:eastAsia="Times New Roman" w:hAnsiTheme="majorHAnsi" w:cstheme="majorHAnsi"/>
                <w:b/>
                <w:bCs/>
                <w:color w:val="000000"/>
                <w:sz w:val="18"/>
                <w:szCs w:val="18"/>
              </w:rPr>
              <w:t>By energy</w:t>
            </w:r>
            <w:r w:rsidRPr="000D4580">
              <w:rPr>
                <w:rFonts w:asciiTheme="majorHAnsi" w:eastAsia="Times New Roman" w:hAnsiTheme="majorHAnsi" w:cstheme="majorHAnsi"/>
                <w:b/>
                <w:bCs/>
                <w:color w:val="000000"/>
                <w:sz w:val="18"/>
                <w:szCs w:val="18"/>
              </w:rPr>
              <w:br/>
              <w:t>(</w:t>
            </w:r>
            <w:proofErr w:type="spellStart"/>
            <w:r w:rsidRPr="000D4580">
              <w:rPr>
                <w:rFonts w:asciiTheme="majorHAnsi" w:eastAsia="Times New Roman" w:hAnsiTheme="majorHAnsi" w:cstheme="majorHAnsi"/>
                <w:b/>
                <w:bCs/>
                <w:color w:val="000000"/>
                <w:sz w:val="18"/>
                <w:szCs w:val="18"/>
              </w:rPr>
              <w:t>GWa</w:t>
            </w:r>
            <w:proofErr w:type="spellEnd"/>
            <w:r w:rsidRPr="000D4580">
              <w:rPr>
                <w:rFonts w:asciiTheme="majorHAnsi" w:eastAsia="Times New Roman" w:hAnsiTheme="majorHAnsi" w:cstheme="majorHAnsi"/>
                <w:b/>
                <w:bCs/>
                <w:color w:val="000000"/>
                <w:sz w:val="18"/>
                <w:szCs w:val="18"/>
              </w:rPr>
              <w:t>/</w:t>
            </w:r>
            <w:proofErr w:type="spellStart"/>
            <w:r w:rsidRPr="000D4580">
              <w:rPr>
                <w:rFonts w:asciiTheme="majorHAnsi" w:eastAsia="Times New Roman" w:hAnsiTheme="majorHAnsi" w:cstheme="majorHAnsi"/>
                <w:b/>
                <w:bCs/>
                <w:color w:val="000000"/>
                <w:sz w:val="18"/>
                <w:szCs w:val="18"/>
              </w:rPr>
              <w:t>bton</w:t>
            </w:r>
            <w:proofErr w:type="spellEnd"/>
            <w:r w:rsidRPr="000D4580">
              <w:rPr>
                <w:rFonts w:asciiTheme="majorHAnsi" w:eastAsia="Times New Roman" w:hAnsiTheme="majorHAnsi" w:cstheme="majorHAnsi"/>
                <w:b/>
                <w:bCs/>
                <w:color w:val="000000"/>
                <w:sz w:val="18"/>
                <w:szCs w:val="18"/>
              </w:rPr>
              <w:t>-km-y)</w:t>
            </w:r>
          </w:p>
        </w:tc>
        <w:tc>
          <w:tcPr>
            <w:tcW w:w="1890" w:type="dxa"/>
            <w:shd w:val="clear" w:color="auto" w:fill="D9E2F3" w:themeFill="accent1" w:themeFillTint="33"/>
            <w:vAlign w:val="center"/>
            <w:hideMark/>
          </w:tcPr>
          <w:p w:rsidR="001E608F" w:rsidRPr="000D4580" w:rsidRDefault="001E608F" w:rsidP="00D140C1">
            <w:pPr>
              <w:spacing w:after="0" w:line="360" w:lineRule="auto"/>
              <w:jc w:val="center"/>
              <w:rPr>
                <w:rFonts w:asciiTheme="majorHAnsi" w:eastAsia="Times New Roman" w:hAnsiTheme="majorHAnsi" w:cstheme="majorHAnsi"/>
                <w:b/>
                <w:bCs/>
                <w:color w:val="000000"/>
                <w:sz w:val="18"/>
                <w:szCs w:val="18"/>
              </w:rPr>
            </w:pPr>
            <w:r w:rsidRPr="000D4580">
              <w:rPr>
                <w:rFonts w:asciiTheme="majorHAnsi" w:eastAsia="Times New Roman" w:hAnsiTheme="majorHAnsi" w:cstheme="majorHAnsi"/>
                <w:b/>
                <w:bCs/>
                <w:color w:val="000000"/>
                <w:sz w:val="18"/>
                <w:szCs w:val="18"/>
              </w:rPr>
              <w:t xml:space="preserve">Emissions factor </w:t>
            </w:r>
            <w:r w:rsidRPr="000D4580">
              <w:rPr>
                <w:rFonts w:asciiTheme="majorHAnsi" w:eastAsia="Times New Roman" w:hAnsiTheme="majorHAnsi" w:cstheme="majorHAnsi"/>
                <w:b/>
                <w:bCs/>
                <w:color w:val="000000"/>
                <w:sz w:val="18"/>
                <w:szCs w:val="18"/>
              </w:rPr>
              <w:br/>
              <w:t>(Mt/</w:t>
            </w:r>
            <w:proofErr w:type="spellStart"/>
            <w:r w:rsidRPr="000D4580">
              <w:rPr>
                <w:rFonts w:asciiTheme="majorHAnsi" w:eastAsia="Times New Roman" w:hAnsiTheme="majorHAnsi" w:cstheme="majorHAnsi"/>
                <w:b/>
                <w:bCs/>
                <w:color w:val="000000"/>
                <w:sz w:val="18"/>
                <w:szCs w:val="18"/>
              </w:rPr>
              <w:t>bton</w:t>
            </w:r>
            <w:proofErr w:type="spellEnd"/>
            <w:r w:rsidRPr="000D4580">
              <w:rPr>
                <w:rFonts w:asciiTheme="majorHAnsi" w:eastAsia="Times New Roman" w:hAnsiTheme="majorHAnsi" w:cstheme="majorHAnsi"/>
                <w:b/>
                <w:bCs/>
                <w:color w:val="000000"/>
                <w:sz w:val="18"/>
                <w:szCs w:val="18"/>
              </w:rPr>
              <w:t>-km-y)</w:t>
            </w:r>
          </w:p>
        </w:tc>
      </w:tr>
      <w:tr w:rsidR="001E608F" w:rsidRPr="000D4580" w:rsidTr="00B321B9">
        <w:trPr>
          <w:trHeight w:val="300"/>
          <w:jc w:val="center"/>
        </w:trPr>
        <w:tc>
          <w:tcPr>
            <w:tcW w:w="2185"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Liquid</w:t>
            </w:r>
          </w:p>
        </w:tc>
        <w:tc>
          <w:tcPr>
            <w:tcW w:w="150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Diesel</w:t>
            </w:r>
          </w:p>
        </w:tc>
        <w:tc>
          <w:tcPr>
            <w:tcW w:w="2250"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6894865.04</w:t>
            </w:r>
          </w:p>
        </w:tc>
        <w:tc>
          <w:tcPr>
            <w:tcW w:w="243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0.01</w:t>
            </w:r>
          </w:p>
        </w:tc>
        <w:tc>
          <w:tcPr>
            <w:tcW w:w="1890"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0.02</w:t>
            </w:r>
          </w:p>
        </w:tc>
      </w:tr>
      <w:tr w:rsidR="001E608F" w:rsidRPr="000D4580" w:rsidTr="00B321B9">
        <w:trPr>
          <w:trHeight w:val="300"/>
          <w:jc w:val="center"/>
        </w:trPr>
        <w:tc>
          <w:tcPr>
            <w:tcW w:w="2185"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Liquid</w:t>
            </w:r>
          </w:p>
        </w:tc>
        <w:tc>
          <w:tcPr>
            <w:tcW w:w="150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LNG</w:t>
            </w:r>
          </w:p>
        </w:tc>
        <w:tc>
          <w:tcPr>
            <w:tcW w:w="2250"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3678751.33</w:t>
            </w:r>
          </w:p>
        </w:tc>
        <w:tc>
          <w:tcPr>
            <w:tcW w:w="243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0.00</w:t>
            </w:r>
          </w:p>
        </w:tc>
        <w:tc>
          <w:tcPr>
            <w:tcW w:w="1890"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0.01</w:t>
            </w:r>
          </w:p>
        </w:tc>
      </w:tr>
      <w:tr w:rsidR="001E608F" w:rsidRPr="000D4580" w:rsidTr="00B321B9">
        <w:trPr>
          <w:trHeight w:val="300"/>
          <w:jc w:val="center"/>
        </w:trPr>
        <w:tc>
          <w:tcPr>
            <w:tcW w:w="2185"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Liquid</w:t>
            </w:r>
          </w:p>
        </w:tc>
        <w:tc>
          <w:tcPr>
            <w:tcW w:w="150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Electricity</w:t>
            </w:r>
          </w:p>
        </w:tc>
        <w:tc>
          <w:tcPr>
            <w:tcW w:w="2250"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NA</w:t>
            </w:r>
          </w:p>
        </w:tc>
        <w:tc>
          <w:tcPr>
            <w:tcW w:w="243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0.00</w:t>
            </w:r>
          </w:p>
        </w:tc>
        <w:tc>
          <w:tcPr>
            <w:tcW w:w="1890"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0.00</w:t>
            </w:r>
          </w:p>
        </w:tc>
      </w:tr>
      <w:tr w:rsidR="001E608F" w:rsidRPr="000D4580" w:rsidTr="00B321B9">
        <w:trPr>
          <w:trHeight w:val="300"/>
          <w:jc w:val="center"/>
        </w:trPr>
        <w:tc>
          <w:tcPr>
            <w:tcW w:w="2185"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Solid</w:t>
            </w:r>
          </w:p>
        </w:tc>
        <w:tc>
          <w:tcPr>
            <w:tcW w:w="150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Diesel</w:t>
            </w:r>
          </w:p>
        </w:tc>
        <w:tc>
          <w:tcPr>
            <w:tcW w:w="2250"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7283748.84</w:t>
            </w:r>
          </w:p>
        </w:tc>
        <w:tc>
          <w:tcPr>
            <w:tcW w:w="243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0.01</w:t>
            </w:r>
          </w:p>
        </w:tc>
        <w:tc>
          <w:tcPr>
            <w:tcW w:w="1890"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0.02</w:t>
            </w:r>
          </w:p>
        </w:tc>
      </w:tr>
      <w:tr w:rsidR="001E608F" w:rsidRPr="000D4580" w:rsidTr="00B321B9">
        <w:trPr>
          <w:trHeight w:val="300"/>
          <w:jc w:val="center"/>
        </w:trPr>
        <w:tc>
          <w:tcPr>
            <w:tcW w:w="2185"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Solid</w:t>
            </w:r>
          </w:p>
        </w:tc>
        <w:tc>
          <w:tcPr>
            <w:tcW w:w="150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LNG</w:t>
            </w:r>
          </w:p>
        </w:tc>
        <w:tc>
          <w:tcPr>
            <w:tcW w:w="2250"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3052216.32</w:t>
            </w:r>
          </w:p>
        </w:tc>
        <w:tc>
          <w:tcPr>
            <w:tcW w:w="243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0.00</w:t>
            </w:r>
          </w:p>
        </w:tc>
        <w:tc>
          <w:tcPr>
            <w:tcW w:w="1890"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0.01</w:t>
            </w:r>
          </w:p>
        </w:tc>
      </w:tr>
      <w:tr w:rsidR="001E608F" w:rsidRPr="000D4580" w:rsidTr="00B321B9">
        <w:trPr>
          <w:trHeight w:val="300"/>
          <w:jc w:val="center"/>
        </w:trPr>
        <w:tc>
          <w:tcPr>
            <w:tcW w:w="2185"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Solid</w:t>
            </w:r>
          </w:p>
        </w:tc>
        <w:tc>
          <w:tcPr>
            <w:tcW w:w="150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Electricity</w:t>
            </w:r>
          </w:p>
        </w:tc>
        <w:tc>
          <w:tcPr>
            <w:tcW w:w="2250"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NA</w:t>
            </w:r>
          </w:p>
        </w:tc>
        <w:tc>
          <w:tcPr>
            <w:tcW w:w="243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0.00</w:t>
            </w:r>
          </w:p>
        </w:tc>
        <w:tc>
          <w:tcPr>
            <w:tcW w:w="1890"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0.00</w:t>
            </w:r>
          </w:p>
        </w:tc>
      </w:tr>
      <w:tr w:rsidR="001E608F" w:rsidRPr="000D4580" w:rsidTr="00B321B9">
        <w:trPr>
          <w:trHeight w:val="300"/>
          <w:jc w:val="center"/>
        </w:trPr>
        <w:tc>
          <w:tcPr>
            <w:tcW w:w="2185"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LNG</w:t>
            </w:r>
          </w:p>
        </w:tc>
        <w:tc>
          <w:tcPr>
            <w:tcW w:w="150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Diesel</w:t>
            </w:r>
          </w:p>
        </w:tc>
        <w:tc>
          <w:tcPr>
            <w:tcW w:w="2250"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16810656.90</w:t>
            </w:r>
          </w:p>
        </w:tc>
        <w:tc>
          <w:tcPr>
            <w:tcW w:w="243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0.02</w:t>
            </w:r>
          </w:p>
        </w:tc>
        <w:tc>
          <w:tcPr>
            <w:tcW w:w="1890"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0.05</w:t>
            </w:r>
          </w:p>
        </w:tc>
      </w:tr>
      <w:tr w:rsidR="001E608F" w:rsidRPr="000D4580" w:rsidTr="00B321B9">
        <w:trPr>
          <w:trHeight w:val="300"/>
          <w:jc w:val="center"/>
        </w:trPr>
        <w:tc>
          <w:tcPr>
            <w:tcW w:w="2185"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LNG</w:t>
            </w:r>
          </w:p>
        </w:tc>
        <w:tc>
          <w:tcPr>
            <w:tcW w:w="150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LNG</w:t>
            </w:r>
          </w:p>
        </w:tc>
        <w:tc>
          <w:tcPr>
            <w:tcW w:w="2250"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5594115.78</w:t>
            </w:r>
          </w:p>
        </w:tc>
        <w:tc>
          <w:tcPr>
            <w:tcW w:w="243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0.01</w:t>
            </w:r>
          </w:p>
        </w:tc>
        <w:tc>
          <w:tcPr>
            <w:tcW w:w="1890"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0.01</w:t>
            </w:r>
          </w:p>
        </w:tc>
      </w:tr>
      <w:tr w:rsidR="001E608F" w:rsidRPr="000D4580" w:rsidTr="00B321B9">
        <w:trPr>
          <w:trHeight w:val="300"/>
          <w:jc w:val="center"/>
        </w:trPr>
        <w:tc>
          <w:tcPr>
            <w:tcW w:w="2185"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LNG</w:t>
            </w:r>
          </w:p>
        </w:tc>
        <w:tc>
          <w:tcPr>
            <w:tcW w:w="150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Electricity</w:t>
            </w:r>
          </w:p>
        </w:tc>
        <w:tc>
          <w:tcPr>
            <w:tcW w:w="2250"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NA</w:t>
            </w:r>
          </w:p>
        </w:tc>
        <w:tc>
          <w:tcPr>
            <w:tcW w:w="243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0.00</w:t>
            </w:r>
          </w:p>
        </w:tc>
        <w:tc>
          <w:tcPr>
            <w:tcW w:w="1890" w:type="dxa"/>
            <w:shd w:val="clear" w:color="000000" w:fill="FFFFFF"/>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0.00</w:t>
            </w:r>
          </w:p>
        </w:tc>
      </w:tr>
    </w:tbl>
    <w:p w:rsidR="001E608F" w:rsidRPr="000D4580" w:rsidRDefault="001E608F" w:rsidP="000D4580">
      <w:pPr>
        <w:pStyle w:val="Caption"/>
        <w:rPr>
          <w:rFonts w:asciiTheme="majorHAnsi" w:hAnsiTheme="majorHAnsi" w:cstheme="majorHAnsi"/>
          <w:i w:val="0"/>
          <w:color w:val="auto"/>
          <w:sz w:val="20"/>
          <w:szCs w:val="20"/>
        </w:rPr>
      </w:pPr>
      <w:r w:rsidRPr="000D4580">
        <w:rPr>
          <w:rFonts w:asciiTheme="majorHAnsi" w:hAnsiTheme="majorHAnsi" w:cstheme="majorHAnsi"/>
          <w:b/>
          <w:i w:val="0"/>
          <w:color w:val="auto"/>
          <w:sz w:val="20"/>
          <w:szCs w:val="20"/>
        </w:rPr>
        <w:t xml:space="preserve">Table </w:t>
      </w:r>
      <w:r w:rsidR="00130412">
        <w:rPr>
          <w:rFonts w:asciiTheme="majorHAnsi" w:hAnsiTheme="majorHAnsi" w:cstheme="majorHAnsi"/>
          <w:b/>
          <w:i w:val="0"/>
          <w:color w:val="auto"/>
          <w:sz w:val="20"/>
          <w:szCs w:val="20"/>
        </w:rPr>
        <w:t>6</w:t>
      </w:r>
      <w:r w:rsidRPr="000D4580">
        <w:rPr>
          <w:rFonts w:asciiTheme="majorHAnsi" w:hAnsiTheme="majorHAnsi" w:cstheme="majorHAnsi"/>
          <w:b/>
          <w:i w:val="0"/>
          <w:color w:val="auto"/>
          <w:sz w:val="20"/>
          <w:szCs w:val="20"/>
        </w:rPr>
        <w:t xml:space="preserve">. </w:t>
      </w:r>
      <w:r w:rsidRPr="000D4580">
        <w:rPr>
          <w:rFonts w:asciiTheme="majorHAnsi" w:hAnsiTheme="majorHAnsi" w:cstheme="majorHAnsi"/>
          <w:i w:val="0"/>
          <w:color w:val="auto"/>
          <w:sz w:val="20"/>
          <w:szCs w:val="20"/>
        </w:rPr>
        <w:t xml:space="preserve">Fuel input required by type of shipping. Based on author calculations using data from </w:t>
      </w:r>
      <w:proofErr w:type="spellStart"/>
      <w:r w:rsidRPr="000D4580">
        <w:rPr>
          <w:rFonts w:asciiTheme="majorHAnsi" w:hAnsiTheme="majorHAnsi" w:cstheme="majorHAnsi"/>
          <w:i w:val="0"/>
          <w:color w:val="auto"/>
          <w:sz w:val="20"/>
          <w:szCs w:val="20"/>
        </w:rPr>
        <w:t>Johannson</w:t>
      </w:r>
      <w:proofErr w:type="spellEnd"/>
      <w:r w:rsidRPr="000D4580">
        <w:rPr>
          <w:rFonts w:asciiTheme="majorHAnsi" w:hAnsiTheme="majorHAnsi" w:cstheme="majorHAnsi"/>
          <w:i w:val="0"/>
          <w:color w:val="auto"/>
          <w:sz w:val="20"/>
          <w:szCs w:val="20"/>
        </w:rPr>
        <w:t xml:space="preserve"> et al. (2017), International Energy Agency, International Maritime Organization, and DNV-GL </w:t>
      </w:r>
      <w:r w:rsidRPr="000D4580">
        <w:rPr>
          <w:rFonts w:asciiTheme="majorHAnsi" w:hAnsiTheme="majorHAnsi" w:cstheme="majorHAnsi"/>
          <w:i w:val="0"/>
          <w:color w:val="auto"/>
          <w:sz w:val="20"/>
          <w:szCs w:val="20"/>
        </w:rPr>
        <w:fldChar w:fldCharType="begin" w:fldLock="1"/>
      </w:r>
      <w:r w:rsidRPr="000D4580">
        <w:rPr>
          <w:rFonts w:asciiTheme="majorHAnsi" w:hAnsiTheme="majorHAnsi" w:cstheme="majorHAnsi"/>
          <w:i w:val="0"/>
          <w:color w:val="auto"/>
          <w:sz w:val="20"/>
          <w:szCs w:val="20"/>
        </w:rPr>
        <w:instrText>ADDIN CSL_CITATION {"citationItems":[{"id":"ITEM-1","itemData":{"DOI":"10.1016/j.atmosenv.2017.08.042","ISSN":"18732844","abstract":"We present a comprehensive global shipping emission inventory and the global activities of ships for the year 2015. The emissions were evaluated using the Ship Traffic Emission Assessment Model (STEAM3), which uses Automatic Identification System data to describe the traffic activities of ships. We have improved the model regarding (i) the evaluation of the missing technical specifications of ships, and (ii) the treatment of shipping activities in case of sparse satellite AIS-data. We have developed a model for the collection and processing of available information on the technical specifications, using data assimilation techniques. We have also developed a path regeneration model that constructs, whenever necessary, the detailed geometry of the ship routes. The presented results for fuel consumption were qualitatively in agreement both with those in the 3rd Greenhouse Gas Study of the International Maritime Organisation and those reported by the International Energy Agency. We have also presented high-resolution global spatial distributions of the shipping emissions of NOx, CO2, SO2and PM2.5. The emissions were also analysed in terms of selected sea areas, ship categories, the sizes of ships and flag states. The emission datasets provided by this study are available upon request; the datasets produced by the model can be utilized as input data for air quality modelling on a global scale, including the full temporal and spatial variation of shipping emissions for the first time. Dispersion modelling using this inventory as input can be used to assess the impacts of various emission abatement scenarios. The emission computation methods presented in this paper could also be used, e.g., to provide annual updates of the global ship emissions.","author":[{"dropping-particle":"","family":"Johansson","given":"Lasse","non-dropping-particle":"","parse-names":false,"suffix":""},{"dropping-particle":"","family":"Jalkanen","given":"Jukka Pekka","non-dropping-particle":"","parse-names":false,"suffix":""},{"dropping-particle":"","family":"Kukkonen","given":"Jaakko","non-dropping-particle":"","parse-names":false,"suffix":""}],"container-title":"Atmospheric Environment","id":"ITEM-1","issued":{"date-parts":[["2017"]]},"title":"Global assessment of shipping emissions in 2015 on a high spatial and temporal resolution","type":"article-journal"},"uris":["http://www.mendeley.com/documents/?uuid=127fb05d-c98f-4082-8137-6695c11a2644"]},{"id":"ITEM-2","itemData":{"author":[{"dropping-particle":"","family":"Erhorn","given":"Torben","non-dropping-particle":"","parse-names":false,"suffix":""},{"dropping-particle":"","family":"Schnack","given":"Petra","non-dropping-particle":"","parse-names":false,"suffix":""},{"dropping-particle":"","family":"Krüger","given":"Marcus","non-dropping-particle":"","parse-names":false,"suffix":""}],"id":"ITEM-2","issued":{"date-parts":[["2014"]]},"publisher-place":"Hamburg","title":"LNG Ship Fuel: The Future Today","type":"report"},"uris":["http://www.mendeley.com/documents/?uuid=7538367e-e26e-46ad-b9c1-88fb553aa03f"]},{"id":"ITEM-3","itemData":{"author":[{"dropping-particle":"","family":"Energy Technology Systems Analysis Programme","given":"","non-dropping-particle":"","parse-names":false,"suffix":""}],"id":"ITEM-3","issued":{"date-parts":[["2011"]]},"publisher-place":"Paris","title":"Shipping Transport","type":"report"},"uris":["http://www.mendeley.com/documents/?uuid=42a27c47-be81-429b-a0e8-bc073c8247c5"]},{"id":"ITEM-4","itemData":{"DOI":"10.1787/energy_tech-2014-en","ISBN":"978-92-64-17488-7","abstract":"Demonstate how technologies can contribute towards the 2C target; 20 Million electrical vehicles 2020; CLEAN ENERGY MINISTERIAL; SEAD Super Efficient Equipment and Appliance and Deployment Initiative - global best practices in building energy energy codes;","author":[{"dropping-particle":"","family":"International Energy Agency","given":"","non-dropping-particle":"","parse-names":false,"suffix":""}],"container-title":"Technology","id":"ITEM-4","issued":{"date-parts":[["2017"]]},"title":"Tracking Clean Energy Progress","type":"article-journal"},"uris":["http://www.mendeley.com/documents/?uuid=caa71fb2-4c09-46f9-a7bc-8d34d73a70fd"]},{"id":"ITEM-5","itemData":{"author":[{"dropping-particle":"","family":"International Maritime Organization","given":"","non-dropping-particle":"","parse-names":false,"suffix":""}],"container-title":"Global maritime energy eﬀiciency partnerships","id":"ITEM-5","issued":{"date-parts":[["2019"]]},"title":"Fleet and CO2 Calculator","type":"webpage"},"uris":["http://www.mendeley.com/documents/?uuid=bdd13837-9438-4d29-9f80-761076a44e96"]}],"mendeley":{"formattedCitation":"[1–5]","plainTextFormattedCitation":"[1–5]"},"properties":{"noteIndex":0},"schema":"https://github.com/citation-style-language/schema/raw/master/csl-citation.json"}</w:instrText>
      </w:r>
      <w:r w:rsidRPr="000D4580">
        <w:rPr>
          <w:rFonts w:asciiTheme="majorHAnsi" w:hAnsiTheme="majorHAnsi" w:cstheme="majorHAnsi"/>
          <w:i w:val="0"/>
          <w:color w:val="auto"/>
          <w:sz w:val="20"/>
          <w:szCs w:val="20"/>
        </w:rPr>
        <w:fldChar w:fldCharType="separate"/>
      </w:r>
      <w:r w:rsidRPr="000D4580">
        <w:rPr>
          <w:rFonts w:asciiTheme="majorHAnsi" w:hAnsiTheme="majorHAnsi" w:cstheme="majorHAnsi"/>
          <w:i w:val="0"/>
          <w:noProof/>
          <w:color w:val="auto"/>
          <w:sz w:val="20"/>
          <w:szCs w:val="20"/>
        </w:rPr>
        <w:t>[1–5]</w:t>
      </w:r>
      <w:r w:rsidRPr="000D4580">
        <w:rPr>
          <w:rFonts w:asciiTheme="majorHAnsi" w:hAnsiTheme="majorHAnsi" w:cstheme="majorHAnsi"/>
          <w:i w:val="0"/>
          <w:color w:val="auto"/>
          <w:sz w:val="20"/>
          <w:szCs w:val="20"/>
        </w:rPr>
        <w:fldChar w:fldCharType="end"/>
      </w:r>
      <w:r w:rsidRPr="000D4580">
        <w:rPr>
          <w:rFonts w:asciiTheme="majorHAnsi" w:hAnsiTheme="majorHAnsi" w:cstheme="majorHAnsi"/>
          <w:i w:val="0"/>
          <w:color w:val="auto"/>
          <w:sz w:val="20"/>
          <w:szCs w:val="20"/>
        </w:rPr>
        <w:t xml:space="preserve">. </w:t>
      </w:r>
    </w:p>
    <w:p w:rsidR="001E608F" w:rsidRPr="000D4580" w:rsidRDefault="001E608F" w:rsidP="00D140C1">
      <w:pPr>
        <w:spacing w:line="360" w:lineRule="auto"/>
        <w:rPr>
          <w:rFonts w:asciiTheme="majorHAnsi" w:hAnsiTheme="majorHAnsi" w:cstheme="majorHAnsi"/>
        </w:rPr>
      </w:pPr>
    </w:p>
    <w:tbl>
      <w:tblPr>
        <w:tblW w:w="10328" w:type="dxa"/>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976"/>
        <w:gridCol w:w="1619"/>
        <w:gridCol w:w="2733"/>
        <w:gridCol w:w="2160"/>
        <w:gridCol w:w="1840"/>
      </w:tblGrid>
      <w:tr w:rsidR="001E608F" w:rsidRPr="000D4580" w:rsidTr="00B321B9">
        <w:trPr>
          <w:trHeight w:val="300"/>
          <w:jc w:val="center"/>
        </w:trPr>
        <w:tc>
          <w:tcPr>
            <w:tcW w:w="1976" w:type="dxa"/>
            <w:vMerge w:val="restart"/>
            <w:shd w:val="clear" w:color="auto" w:fill="B4C6E7" w:themeFill="accent1" w:themeFillTint="66"/>
            <w:vAlign w:val="center"/>
          </w:tcPr>
          <w:p w:rsidR="001E608F" w:rsidRPr="000D4580" w:rsidRDefault="001E608F" w:rsidP="00D140C1">
            <w:pPr>
              <w:spacing w:after="0" w:line="360" w:lineRule="auto"/>
              <w:jc w:val="center"/>
              <w:rPr>
                <w:rFonts w:asciiTheme="majorHAnsi" w:eastAsia="Times New Roman" w:hAnsiTheme="majorHAnsi" w:cstheme="majorHAnsi"/>
                <w:b/>
                <w:bCs/>
                <w:color w:val="000000"/>
                <w:sz w:val="18"/>
                <w:szCs w:val="18"/>
              </w:rPr>
            </w:pPr>
            <w:r w:rsidRPr="000D4580">
              <w:rPr>
                <w:rFonts w:asciiTheme="majorHAnsi" w:eastAsia="Times New Roman" w:hAnsiTheme="majorHAnsi" w:cstheme="majorHAnsi"/>
                <w:b/>
                <w:bCs/>
                <w:color w:val="000000"/>
                <w:sz w:val="18"/>
                <w:szCs w:val="18"/>
              </w:rPr>
              <w:t>Type of shipping</w:t>
            </w:r>
          </w:p>
        </w:tc>
        <w:tc>
          <w:tcPr>
            <w:tcW w:w="1619" w:type="dxa"/>
            <w:vMerge w:val="restart"/>
            <w:shd w:val="clear" w:color="auto" w:fill="B4C6E7" w:themeFill="accent1" w:themeFillTint="66"/>
            <w:vAlign w:val="center"/>
          </w:tcPr>
          <w:p w:rsidR="001E608F" w:rsidRPr="000D4580" w:rsidRDefault="001E608F" w:rsidP="00D140C1">
            <w:pPr>
              <w:spacing w:after="0" w:line="360" w:lineRule="auto"/>
              <w:jc w:val="center"/>
              <w:rPr>
                <w:rFonts w:asciiTheme="majorHAnsi" w:eastAsia="Times New Roman" w:hAnsiTheme="majorHAnsi" w:cstheme="majorHAnsi"/>
                <w:b/>
                <w:bCs/>
                <w:color w:val="000000"/>
                <w:sz w:val="18"/>
                <w:szCs w:val="18"/>
              </w:rPr>
            </w:pPr>
            <w:r w:rsidRPr="000D4580">
              <w:rPr>
                <w:rFonts w:asciiTheme="majorHAnsi" w:eastAsia="Times New Roman" w:hAnsiTheme="majorHAnsi" w:cstheme="majorHAnsi"/>
                <w:b/>
                <w:bCs/>
                <w:color w:val="000000"/>
                <w:sz w:val="18"/>
                <w:szCs w:val="18"/>
              </w:rPr>
              <w:t>Type of fuel</w:t>
            </w:r>
          </w:p>
        </w:tc>
        <w:tc>
          <w:tcPr>
            <w:tcW w:w="6733" w:type="dxa"/>
            <w:gridSpan w:val="3"/>
            <w:shd w:val="clear" w:color="auto" w:fill="B4C6E7" w:themeFill="accent1" w:themeFillTint="66"/>
            <w:noWrap/>
            <w:vAlign w:val="bottom"/>
            <w:hideMark/>
          </w:tcPr>
          <w:p w:rsidR="001E608F" w:rsidRPr="000D4580" w:rsidRDefault="001E608F" w:rsidP="00D140C1">
            <w:pPr>
              <w:spacing w:after="0" w:line="360" w:lineRule="auto"/>
              <w:jc w:val="center"/>
              <w:rPr>
                <w:rFonts w:asciiTheme="majorHAnsi" w:eastAsia="Times New Roman" w:hAnsiTheme="majorHAnsi" w:cstheme="majorHAnsi"/>
                <w:b/>
                <w:bCs/>
                <w:color w:val="000000"/>
                <w:sz w:val="18"/>
                <w:szCs w:val="18"/>
              </w:rPr>
            </w:pPr>
            <w:r w:rsidRPr="000D4580">
              <w:rPr>
                <w:rFonts w:asciiTheme="majorHAnsi" w:eastAsia="Times New Roman" w:hAnsiTheme="majorHAnsi" w:cstheme="majorHAnsi"/>
                <w:b/>
                <w:bCs/>
                <w:color w:val="000000"/>
                <w:sz w:val="18"/>
                <w:szCs w:val="18"/>
              </w:rPr>
              <w:t>Capital cost</w:t>
            </w:r>
          </w:p>
        </w:tc>
      </w:tr>
      <w:tr w:rsidR="001E608F" w:rsidRPr="000D4580" w:rsidTr="00B321B9">
        <w:trPr>
          <w:trHeight w:val="640"/>
          <w:jc w:val="center"/>
        </w:trPr>
        <w:tc>
          <w:tcPr>
            <w:tcW w:w="1976" w:type="dxa"/>
            <w:vMerge/>
            <w:shd w:val="clear" w:color="auto" w:fill="B4C6E7" w:themeFill="accent1" w:themeFillTint="66"/>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p>
        </w:tc>
        <w:tc>
          <w:tcPr>
            <w:tcW w:w="1619" w:type="dxa"/>
            <w:vMerge/>
            <w:shd w:val="clear" w:color="auto" w:fill="D9E2F3" w:themeFill="accent1" w:themeFillTint="33"/>
            <w:vAlign w:val="center"/>
          </w:tcPr>
          <w:p w:rsidR="001E608F" w:rsidRPr="000D4580" w:rsidRDefault="001E608F" w:rsidP="00D140C1">
            <w:pPr>
              <w:spacing w:after="0" w:line="360" w:lineRule="auto"/>
              <w:jc w:val="center"/>
              <w:rPr>
                <w:rFonts w:asciiTheme="majorHAnsi" w:eastAsia="Times New Roman" w:hAnsiTheme="majorHAnsi" w:cstheme="majorHAnsi"/>
                <w:b/>
                <w:bCs/>
                <w:color w:val="000000"/>
                <w:sz w:val="18"/>
                <w:szCs w:val="18"/>
              </w:rPr>
            </w:pPr>
          </w:p>
        </w:tc>
        <w:tc>
          <w:tcPr>
            <w:tcW w:w="2733" w:type="dxa"/>
            <w:shd w:val="clear" w:color="auto" w:fill="D9E2F3" w:themeFill="accent1" w:themeFillTint="33"/>
            <w:vAlign w:val="center"/>
            <w:hideMark/>
          </w:tcPr>
          <w:p w:rsidR="001E608F" w:rsidRPr="000D4580" w:rsidRDefault="001E608F" w:rsidP="00D140C1">
            <w:pPr>
              <w:spacing w:after="0" w:line="360" w:lineRule="auto"/>
              <w:jc w:val="center"/>
              <w:rPr>
                <w:rFonts w:asciiTheme="majorHAnsi" w:eastAsia="Times New Roman" w:hAnsiTheme="majorHAnsi" w:cstheme="majorHAnsi"/>
                <w:b/>
                <w:bCs/>
                <w:color w:val="000000"/>
                <w:sz w:val="18"/>
                <w:szCs w:val="18"/>
              </w:rPr>
            </w:pPr>
            <w:r w:rsidRPr="000D4580">
              <w:rPr>
                <w:rFonts w:asciiTheme="majorHAnsi" w:eastAsia="Times New Roman" w:hAnsiTheme="majorHAnsi" w:cstheme="majorHAnsi"/>
                <w:b/>
                <w:bCs/>
                <w:color w:val="000000"/>
                <w:sz w:val="18"/>
                <w:szCs w:val="18"/>
              </w:rPr>
              <w:t xml:space="preserve">Overnight cost </w:t>
            </w:r>
            <w:r w:rsidRPr="000D4580">
              <w:rPr>
                <w:rFonts w:asciiTheme="majorHAnsi" w:eastAsia="Times New Roman" w:hAnsiTheme="majorHAnsi" w:cstheme="majorHAnsi"/>
                <w:b/>
                <w:bCs/>
                <w:color w:val="000000"/>
                <w:sz w:val="18"/>
                <w:szCs w:val="18"/>
              </w:rPr>
              <w:br/>
              <w:t>($M)</w:t>
            </w:r>
          </w:p>
        </w:tc>
        <w:tc>
          <w:tcPr>
            <w:tcW w:w="2160" w:type="dxa"/>
            <w:shd w:val="clear" w:color="auto" w:fill="D9E2F3" w:themeFill="accent1" w:themeFillTint="33"/>
            <w:vAlign w:val="center"/>
            <w:hideMark/>
          </w:tcPr>
          <w:p w:rsidR="001E608F" w:rsidRPr="000D4580" w:rsidRDefault="001E608F" w:rsidP="00D140C1">
            <w:pPr>
              <w:spacing w:after="0" w:line="360" w:lineRule="auto"/>
              <w:jc w:val="center"/>
              <w:rPr>
                <w:rFonts w:asciiTheme="majorHAnsi" w:eastAsia="Times New Roman" w:hAnsiTheme="majorHAnsi" w:cstheme="majorHAnsi"/>
                <w:b/>
                <w:bCs/>
                <w:color w:val="000000"/>
                <w:sz w:val="18"/>
                <w:szCs w:val="18"/>
              </w:rPr>
            </w:pPr>
            <w:r w:rsidRPr="000D4580">
              <w:rPr>
                <w:rFonts w:asciiTheme="majorHAnsi" w:eastAsia="Times New Roman" w:hAnsiTheme="majorHAnsi" w:cstheme="majorHAnsi"/>
                <w:b/>
                <w:bCs/>
                <w:color w:val="000000"/>
                <w:sz w:val="18"/>
                <w:szCs w:val="18"/>
              </w:rPr>
              <w:t xml:space="preserve">Annualized, 10%DR </w:t>
            </w:r>
            <w:r w:rsidRPr="000D4580">
              <w:rPr>
                <w:rFonts w:asciiTheme="majorHAnsi" w:eastAsia="Times New Roman" w:hAnsiTheme="majorHAnsi" w:cstheme="majorHAnsi"/>
                <w:b/>
                <w:bCs/>
                <w:color w:val="000000"/>
                <w:sz w:val="18"/>
                <w:szCs w:val="18"/>
              </w:rPr>
              <w:br/>
              <w:t>($M/y)</w:t>
            </w:r>
          </w:p>
        </w:tc>
        <w:tc>
          <w:tcPr>
            <w:tcW w:w="1840" w:type="dxa"/>
            <w:shd w:val="clear" w:color="auto" w:fill="D9E2F3" w:themeFill="accent1" w:themeFillTint="33"/>
            <w:vAlign w:val="center"/>
            <w:hideMark/>
          </w:tcPr>
          <w:p w:rsidR="001E608F" w:rsidRPr="000D4580" w:rsidRDefault="001E608F" w:rsidP="00D140C1">
            <w:pPr>
              <w:spacing w:after="0" w:line="360" w:lineRule="auto"/>
              <w:jc w:val="center"/>
              <w:rPr>
                <w:rFonts w:asciiTheme="majorHAnsi" w:eastAsia="Times New Roman" w:hAnsiTheme="majorHAnsi" w:cstheme="majorHAnsi"/>
                <w:b/>
                <w:bCs/>
                <w:color w:val="000000"/>
                <w:sz w:val="18"/>
                <w:szCs w:val="18"/>
              </w:rPr>
            </w:pPr>
            <w:r w:rsidRPr="000D4580">
              <w:rPr>
                <w:rFonts w:asciiTheme="majorHAnsi" w:eastAsia="Times New Roman" w:hAnsiTheme="majorHAnsi" w:cstheme="majorHAnsi"/>
                <w:b/>
                <w:bCs/>
                <w:color w:val="000000"/>
                <w:sz w:val="18"/>
                <w:szCs w:val="18"/>
              </w:rPr>
              <w:t xml:space="preserve">Annualized </w:t>
            </w:r>
            <w:r w:rsidRPr="000D4580">
              <w:rPr>
                <w:rFonts w:asciiTheme="majorHAnsi" w:eastAsia="Times New Roman" w:hAnsiTheme="majorHAnsi" w:cstheme="majorHAnsi"/>
                <w:b/>
                <w:bCs/>
                <w:color w:val="000000"/>
                <w:sz w:val="18"/>
                <w:szCs w:val="18"/>
              </w:rPr>
              <w:br/>
              <w:t>($M/</w:t>
            </w:r>
            <w:proofErr w:type="spellStart"/>
            <w:r w:rsidRPr="000D4580">
              <w:rPr>
                <w:rFonts w:asciiTheme="majorHAnsi" w:eastAsia="Times New Roman" w:hAnsiTheme="majorHAnsi" w:cstheme="majorHAnsi"/>
                <w:b/>
                <w:bCs/>
                <w:color w:val="000000"/>
                <w:sz w:val="18"/>
                <w:szCs w:val="18"/>
              </w:rPr>
              <w:t>bton</w:t>
            </w:r>
            <w:proofErr w:type="spellEnd"/>
            <w:r w:rsidRPr="000D4580">
              <w:rPr>
                <w:rFonts w:asciiTheme="majorHAnsi" w:eastAsia="Times New Roman" w:hAnsiTheme="majorHAnsi" w:cstheme="majorHAnsi"/>
                <w:b/>
                <w:bCs/>
                <w:color w:val="000000"/>
                <w:sz w:val="18"/>
                <w:szCs w:val="18"/>
              </w:rPr>
              <w:t>-km-y)</w:t>
            </w:r>
          </w:p>
        </w:tc>
      </w:tr>
      <w:tr w:rsidR="001E608F" w:rsidRPr="000D4580" w:rsidTr="00B321B9">
        <w:trPr>
          <w:trHeight w:val="300"/>
          <w:jc w:val="center"/>
        </w:trPr>
        <w:tc>
          <w:tcPr>
            <w:tcW w:w="1976"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hAnsiTheme="majorHAnsi" w:cstheme="majorHAnsi"/>
                <w:color w:val="000000"/>
                <w:sz w:val="18"/>
                <w:szCs w:val="18"/>
              </w:rPr>
              <w:t>Liquid</w:t>
            </w:r>
          </w:p>
        </w:tc>
        <w:tc>
          <w:tcPr>
            <w:tcW w:w="1619" w:type="dxa"/>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Diesel</w:t>
            </w:r>
          </w:p>
        </w:tc>
        <w:tc>
          <w:tcPr>
            <w:tcW w:w="2733"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76.00</w:t>
            </w:r>
          </w:p>
        </w:tc>
        <w:tc>
          <w:tcPr>
            <w:tcW w:w="216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8.37</w:t>
            </w:r>
          </w:p>
        </w:tc>
        <w:tc>
          <w:tcPr>
            <w:tcW w:w="184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6.24</w:t>
            </w:r>
          </w:p>
        </w:tc>
      </w:tr>
      <w:tr w:rsidR="001E608F" w:rsidRPr="000D4580" w:rsidTr="00B321B9">
        <w:trPr>
          <w:trHeight w:val="300"/>
          <w:jc w:val="center"/>
        </w:trPr>
        <w:tc>
          <w:tcPr>
            <w:tcW w:w="1976"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hAnsiTheme="majorHAnsi" w:cstheme="majorHAnsi"/>
                <w:color w:val="000000"/>
                <w:sz w:val="18"/>
                <w:szCs w:val="18"/>
              </w:rPr>
              <w:t>Liquid</w:t>
            </w:r>
          </w:p>
        </w:tc>
        <w:tc>
          <w:tcPr>
            <w:tcW w:w="1619" w:type="dxa"/>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LNG</w:t>
            </w:r>
          </w:p>
        </w:tc>
        <w:tc>
          <w:tcPr>
            <w:tcW w:w="2733"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96.00</w:t>
            </w:r>
          </w:p>
        </w:tc>
        <w:tc>
          <w:tcPr>
            <w:tcW w:w="216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10.58</w:t>
            </w:r>
          </w:p>
        </w:tc>
        <w:tc>
          <w:tcPr>
            <w:tcW w:w="184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7.88</w:t>
            </w:r>
          </w:p>
        </w:tc>
      </w:tr>
      <w:tr w:rsidR="001E608F" w:rsidRPr="000D4580" w:rsidTr="00B321B9">
        <w:trPr>
          <w:trHeight w:val="300"/>
          <w:jc w:val="center"/>
        </w:trPr>
        <w:tc>
          <w:tcPr>
            <w:tcW w:w="1976"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hAnsiTheme="majorHAnsi" w:cstheme="majorHAnsi"/>
                <w:color w:val="000000"/>
                <w:sz w:val="18"/>
                <w:szCs w:val="18"/>
              </w:rPr>
              <w:t>Liquid</w:t>
            </w:r>
          </w:p>
        </w:tc>
        <w:tc>
          <w:tcPr>
            <w:tcW w:w="1619" w:type="dxa"/>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Electricity</w:t>
            </w:r>
          </w:p>
        </w:tc>
        <w:tc>
          <w:tcPr>
            <w:tcW w:w="2733"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192000.00</w:t>
            </w:r>
          </w:p>
        </w:tc>
        <w:tc>
          <w:tcPr>
            <w:tcW w:w="216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21152.27</w:t>
            </w:r>
          </w:p>
        </w:tc>
        <w:tc>
          <w:tcPr>
            <w:tcW w:w="184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15758.19</w:t>
            </w:r>
          </w:p>
        </w:tc>
      </w:tr>
      <w:tr w:rsidR="001E608F" w:rsidRPr="000D4580" w:rsidTr="00B321B9">
        <w:trPr>
          <w:trHeight w:val="300"/>
          <w:jc w:val="center"/>
        </w:trPr>
        <w:tc>
          <w:tcPr>
            <w:tcW w:w="1976"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hAnsiTheme="majorHAnsi" w:cstheme="majorHAnsi"/>
                <w:color w:val="000000"/>
                <w:sz w:val="18"/>
                <w:szCs w:val="18"/>
              </w:rPr>
              <w:t>Solid</w:t>
            </w:r>
          </w:p>
        </w:tc>
        <w:tc>
          <w:tcPr>
            <w:tcW w:w="1619" w:type="dxa"/>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Diesel</w:t>
            </w:r>
          </w:p>
        </w:tc>
        <w:tc>
          <w:tcPr>
            <w:tcW w:w="2733"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51.60</w:t>
            </w:r>
          </w:p>
        </w:tc>
        <w:tc>
          <w:tcPr>
            <w:tcW w:w="216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5.68</w:t>
            </w:r>
          </w:p>
        </w:tc>
        <w:tc>
          <w:tcPr>
            <w:tcW w:w="184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4.24</w:t>
            </w:r>
          </w:p>
        </w:tc>
      </w:tr>
      <w:tr w:rsidR="001E608F" w:rsidRPr="000D4580" w:rsidTr="00B321B9">
        <w:trPr>
          <w:trHeight w:val="300"/>
          <w:jc w:val="center"/>
        </w:trPr>
        <w:tc>
          <w:tcPr>
            <w:tcW w:w="1976"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hAnsiTheme="majorHAnsi" w:cstheme="majorHAnsi"/>
                <w:color w:val="000000"/>
                <w:sz w:val="18"/>
                <w:szCs w:val="18"/>
              </w:rPr>
              <w:t>Solid</w:t>
            </w:r>
          </w:p>
        </w:tc>
        <w:tc>
          <w:tcPr>
            <w:tcW w:w="1619" w:type="dxa"/>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LNG</w:t>
            </w:r>
          </w:p>
        </w:tc>
        <w:tc>
          <w:tcPr>
            <w:tcW w:w="2733"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71.60</w:t>
            </w:r>
          </w:p>
        </w:tc>
        <w:tc>
          <w:tcPr>
            <w:tcW w:w="216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7.89</w:t>
            </w:r>
          </w:p>
        </w:tc>
        <w:tc>
          <w:tcPr>
            <w:tcW w:w="184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5.88</w:t>
            </w:r>
          </w:p>
        </w:tc>
      </w:tr>
      <w:tr w:rsidR="001E608F" w:rsidRPr="000D4580" w:rsidTr="00B321B9">
        <w:trPr>
          <w:trHeight w:val="300"/>
          <w:jc w:val="center"/>
        </w:trPr>
        <w:tc>
          <w:tcPr>
            <w:tcW w:w="1976"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hAnsiTheme="majorHAnsi" w:cstheme="majorHAnsi"/>
                <w:color w:val="000000"/>
                <w:sz w:val="18"/>
                <w:szCs w:val="18"/>
              </w:rPr>
              <w:t>Solid</w:t>
            </w:r>
          </w:p>
        </w:tc>
        <w:tc>
          <w:tcPr>
            <w:tcW w:w="1619" w:type="dxa"/>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Electricity</w:t>
            </w:r>
          </w:p>
        </w:tc>
        <w:tc>
          <w:tcPr>
            <w:tcW w:w="2733"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1432000.00</w:t>
            </w:r>
          </w:p>
        </w:tc>
        <w:tc>
          <w:tcPr>
            <w:tcW w:w="216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157760.68</w:t>
            </w:r>
          </w:p>
        </w:tc>
        <w:tc>
          <w:tcPr>
            <w:tcW w:w="184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117529.83</w:t>
            </w:r>
          </w:p>
        </w:tc>
      </w:tr>
      <w:tr w:rsidR="001E608F" w:rsidRPr="000D4580" w:rsidTr="00B321B9">
        <w:trPr>
          <w:trHeight w:val="300"/>
          <w:jc w:val="center"/>
        </w:trPr>
        <w:tc>
          <w:tcPr>
            <w:tcW w:w="1976"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hAnsiTheme="majorHAnsi" w:cstheme="majorHAnsi"/>
                <w:color w:val="000000"/>
                <w:sz w:val="18"/>
                <w:szCs w:val="18"/>
              </w:rPr>
              <w:t>LNG</w:t>
            </w:r>
          </w:p>
        </w:tc>
        <w:tc>
          <w:tcPr>
            <w:tcW w:w="1619" w:type="dxa"/>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Diesel</w:t>
            </w:r>
          </w:p>
        </w:tc>
        <w:tc>
          <w:tcPr>
            <w:tcW w:w="2733"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180.00</w:t>
            </w:r>
          </w:p>
        </w:tc>
        <w:tc>
          <w:tcPr>
            <w:tcW w:w="216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19.83</w:t>
            </w:r>
          </w:p>
        </w:tc>
        <w:tc>
          <w:tcPr>
            <w:tcW w:w="184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14.77</w:t>
            </w:r>
          </w:p>
        </w:tc>
      </w:tr>
      <w:tr w:rsidR="001E608F" w:rsidRPr="000D4580" w:rsidTr="00B321B9">
        <w:trPr>
          <w:trHeight w:val="300"/>
          <w:jc w:val="center"/>
        </w:trPr>
        <w:tc>
          <w:tcPr>
            <w:tcW w:w="1976"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hAnsiTheme="majorHAnsi" w:cstheme="majorHAnsi"/>
                <w:color w:val="000000"/>
                <w:sz w:val="18"/>
                <w:szCs w:val="18"/>
              </w:rPr>
              <w:t>LNG</w:t>
            </w:r>
          </w:p>
        </w:tc>
        <w:tc>
          <w:tcPr>
            <w:tcW w:w="1619" w:type="dxa"/>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LNG</w:t>
            </w:r>
          </w:p>
        </w:tc>
        <w:tc>
          <w:tcPr>
            <w:tcW w:w="2733"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200.00</w:t>
            </w:r>
          </w:p>
        </w:tc>
        <w:tc>
          <w:tcPr>
            <w:tcW w:w="216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22.03</w:t>
            </w:r>
          </w:p>
        </w:tc>
        <w:tc>
          <w:tcPr>
            <w:tcW w:w="184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16.41</w:t>
            </w:r>
          </w:p>
        </w:tc>
      </w:tr>
      <w:tr w:rsidR="001E608F" w:rsidRPr="000D4580" w:rsidTr="00B321B9">
        <w:trPr>
          <w:trHeight w:val="300"/>
          <w:jc w:val="center"/>
        </w:trPr>
        <w:tc>
          <w:tcPr>
            <w:tcW w:w="1976"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hAnsiTheme="majorHAnsi" w:cstheme="majorHAnsi"/>
                <w:color w:val="000000"/>
                <w:sz w:val="18"/>
                <w:szCs w:val="18"/>
              </w:rPr>
              <w:t>LNG</w:t>
            </w:r>
          </w:p>
        </w:tc>
        <w:tc>
          <w:tcPr>
            <w:tcW w:w="1619" w:type="dxa"/>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Electricity</w:t>
            </w:r>
          </w:p>
        </w:tc>
        <w:tc>
          <w:tcPr>
            <w:tcW w:w="2733"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4000000.00</w:t>
            </w:r>
          </w:p>
        </w:tc>
        <w:tc>
          <w:tcPr>
            <w:tcW w:w="216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440672.29</w:t>
            </w:r>
          </w:p>
        </w:tc>
        <w:tc>
          <w:tcPr>
            <w:tcW w:w="184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8"/>
                <w:szCs w:val="18"/>
              </w:rPr>
            </w:pPr>
            <w:r w:rsidRPr="000D4580">
              <w:rPr>
                <w:rFonts w:asciiTheme="majorHAnsi" w:eastAsia="Times New Roman" w:hAnsiTheme="majorHAnsi" w:cstheme="majorHAnsi"/>
                <w:color w:val="000000"/>
                <w:sz w:val="18"/>
                <w:szCs w:val="18"/>
              </w:rPr>
              <w:t>328295.62</w:t>
            </w:r>
          </w:p>
        </w:tc>
      </w:tr>
    </w:tbl>
    <w:p w:rsidR="001E608F" w:rsidRPr="000D4580" w:rsidRDefault="001E608F" w:rsidP="000D4580">
      <w:pPr>
        <w:pStyle w:val="Caption"/>
        <w:rPr>
          <w:rFonts w:asciiTheme="majorHAnsi" w:hAnsiTheme="majorHAnsi" w:cstheme="majorHAnsi"/>
          <w:i w:val="0"/>
          <w:color w:val="auto"/>
          <w:sz w:val="20"/>
          <w:szCs w:val="20"/>
        </w:rPr>
      </w:pPr>
      <w:r w:rsidRPr="000D4580">
        <w:rPr>
          <w:rFonts w:asciiTheme="majorHAnsi" w:hAnsiTheme="majorHAnsi" w:cstheme="majorHAnsi"/>
          <w:b/>
          <w:i w:val="0"/>
          <w:color w:val="auto"/>
          <w:sz w:val="20"/>
          <w:szCs w:val="20"/>
        </w:rPr>
        <w:t xml:space="preserve">Table </w:t>
      </w:r>
      <w:r w:rsidR="00130412">
        <w:rPr>
          <w:rFonts w:asciiTheme="majorHAnsi" w:hAnsiTheme="majorHAnsi" w:cstheme="majorHAnsi"/>
          <w:b/>
          <w:i w:val="0"/>
          <w:color w:val="auto"/>
          <w:sz w:val="20"/>
          <w:szCs w:val="20"/>
        </w:rPr>
        <w:t>7</w:t>
      </w:r>
      <w:r w:rsidRPr="000D4580">
        <w:rPr>
          <w:rFonts w:asciiTheme="majorHAnsi" w:hAnsiTheme="majorHAnsi" w:cstheme="majorHAnsi"/>
          <w:b/>
          <w:i w:val="0"/>
          <w:color w:val="auto"/>
          <w:sz w:val="20"/>
          <w:szCs w:val="20"/>
        </w:rPr>
        <w:t xml:space="preserve">. </w:t>
      </w:r>
      <w:r w:rsidRPr="000D4580">
        <w:rPr>
          <w:rFonts w:asciiTheme="majorHAnsi" w:hAnsiTheme="majorHAnsi" w:cstheme="majorHAnsi"/>
          <w:i w:val="0"/>
          <w:color w:val="auto"/>
          <w:sz w:val="20"/>
          <w:szCs w:val="20"/>
        </w:rPr>
        <w:t xml:space="preserve">Capital costs assumptions by type of shipping and fuel. Based on author calculations using data from </w:t>
      </w:r>
      <w:proofErr w:type="spellStart"/>
      <w:r w:rsidRPr="000D4580">
        <w:rPr>
          <w:rFonts w:asciiTheme="majorHAnsi" w:hAnsiTheme="majorHAnsi" w:cstheme="majorHAnsi"/>
          <w:i w:val="0"/>
          <w:color w:val="auto"/>
          <w:sz w:val="20"/>
          <w:szCs w:val="20"/>
        </w:rPr>
        <w:t>Johannson</w:t>
      </w:r>
      <w:proofErr w:type="spellEnd"/>
      <w:r w:rsidRPr="000D4580">
        <w:rPr>
          <w:rFonts w:asciiTheme="majorHAnsi" w:hAnsiTheme="majorHAnsi" w:cstheme="majorHAnsi"/>
          <w:i w:val="0"/>
          <w:color w:val="auto"/>
          <w:sz w:val="20"/>
          <w:szCs w:val="20"/>
        </w:rPr>
        <w:t xml:space="preserve"> et al. (2017), International Energy Agency, International Maritime Organization, and DNV-GL </w:t>
      </w:r>
      <w:r w:rsidRPr="000D4580">
        <w:rPr>
          <w:rFonts w:asciiTheme="majorHAnsi" w:hAnsiTheme="majorHAnsi" w:cstheme="majorHAnsi"/>
          <w:i w:val="0"/>
          <w:color w:val="auto"/>
          <w:sz w:val="20"/>
          <w:szCs w:val="20"/>
        </w:rPr>
        <w:fldChar w:fldCharType="begin" w:fldLock="1"/>
      </w:r>
      <w:r w:rsidRPr="000D4580">
        <w:rPr>
          <w:rFonts w:asciiTheme="majorHAnsi" w:hAnsiTheme="majorHAnsi" w:cstheme="majorHAnsi"/>
          <w:i w:val="0"/>
          <w:color w:val="auto"/>
          <w:sz w:val="20"/>
          <w:szCs w:val="20"/>
        </w:rPr>
        <w:instrText>ADDIN CSL_CITATION {"citationItems":[{"id":"ITEM-1","itemData":{"DOI":"10.1016/j.atmosenv.2017.08.042","ISSN":"18732844","abstract":"We present a comprehensive global shipping emission inventory and the global activities of ships for the year 2015. The emissions were evaluated using the Ship Traffic Emission Assessment Model (STEAM3), which uses Automatic Identification System data to describe the traffic activities of ships. We have improved the model regarding (i) the evaluation of the missing technical specifications of ships, and (ii) the treatment of shipping activities in case of sparse satellite AIS-data. We have developed a model for the collection and processing of available information on the technical specifications, using data assimilation techniques. We have also developed a path regeneration model that constructs, whenever necessary, the detailed geometry of the ship routes. The presented results for fuel consumption were qualitatively in agreement both with those in the 3rd Greenhouse Gas Study of the International Maritime Organisation and those reported by the International Energy Agency. We have also presented high-resolution global spatial distributions of the shipping emissions of NOx, CO2, SO2and PM2.5. The emissions were also analysed in terms of selected sea areas, ship categories, the sizes of ships and flag states. The emission datasets provided by this study are available upon request; the datasets produced by the model can be utilized as input data for air quality modelling on a global scale, including the full temporal and spatial variation of shipping emissions for the first time. Dispersion modelling using this inventory as input can be used to assess the impacts of various emission abatement scenarios. The emission computation methods presented in this paper could also be used, e.g., to provide annual updates of the global ship emissions.","author":[{"dropping-particle":"","family":"Johansson","given":"Lasse","non-dropping-particle":"","parse-names":false,"suffix":""},{"dropping-particle":"","family":"Jalkanen","given":"Jukka Pekka","non-dropping-particle":"","parse-names":false,"suffix":""},{"dropping-particle":"","family":"Kukkonen","given":"Jaakko","non-dropping-particle":"","parse-names":false,"suffix":""}],"container-title":"Atmospheric Environment","id":"ITEM-1","issued":{"date-parts":[["2017"]]},"title":"Global assessment of shipping emissions in 2015 on a high spatial and temporal resolution","type":"article-journal"},"uris":["http://www.mendeley.com/documents/?uuid=127fb05d-c98f-4082-8137-6695c11a2644"]},{"id":"ITEM-2","itemData":{"author":[{"dropping-particle":"","family":"Erhorn","given":"Torben","non-dropping-particle":"","parse-names":false,"suffix":""},{"dropping-particle":"","family":"Schnack","given":"Petra","non-dropping-particle":"","parse-names":false,"suffix":""},{"dropping-particle":"","family":"Krüger","given":"Marcus","non-dropping-particle":"","parse-names":false,"suffix":""}],"id":"ITEM-2","issued":{"date-parts":[["2014"]]},"publisher-place":"Hamburg","title":"LNG Ship Fuel: The Future Today","type":"report"},"uris":["http://www.mendeley.com/documents/?uuid=7538367e-e26e-46ad-b9c1-88fb553aa03f"]},{"id":"ITEM-3","itemData":{"author":[{"dropping-particle":"","family":"Energy Technology Systems Analysis Programme","given":"","non-dropping-particle":"","parse-names":false,"suffix":""}],"id":"ITEM-3","issued":{"date-parts":[["2011"]]},"publisher-place":"Paris","title":"Shipping Transport","type":"report"},"uris":["http://www.mendeley.com/documents/?uuid=42a27c47-be81-429b-a0e8-bc073c8247c5"]},{"id":"ITEM-4","itemData":{"DOI":"10.1787/energy_tech-2014-en","ISBN":"978-92-64-17488-7","abstract":"Demonstate how technologies can contribute towards the 2C target; 20 Million electrical vehicles 2020; CLEAN ENERGY MINISTERIAL; SEAD Super Efficient Equipment and Appliance and Deployment Initiative - global best practices in building energy energy codes;","author":[{"dropping-particle":"","family":"International Energy Agency","given":"","non-dropping-particle":"","parse-names":false,"suffix":""}],"container-title":"Technology","id":"ITEM-4","issued":{"date-parts":[["2017"]]},"title":"Tracking Clean Energy Progress","type":"article-journal"},"uris":["http://www.mendeley.com/documents/?uuid=caa71fb2-4c09-46f9-a7bc-8d34d73a70fd"]},{"id":"ITEM-5","itemData":{"author":[{"dropping-particle":"","family":"International Maritime Organization","given":"","non-dropping-particle":"","parse-names":false,"suffix":""}],"container-title":"Global maritime energy eﬀiciency partnerships","id":"ITEM-5","issued":{"date-parts":[["2019"]]},"title":"Fleet and CO2 Calculator","type":"webpage"},"uris":["http://www.mendeley.com/documents/?uuid=bdd13837-9438-4d29-9f80-761076a44e96"]}],"mendeley":{"formattedCitation":"[1–5]","plainTextFormattedCitation":"[1–5]"},"properties":{"noteIndex":0},"schema":"https://github.com/citation-style-language/schema/raw/master/csl-citation.json"}</w:instrText>
      </w:r>
      <w:r w:rsidRPr="000D4580">
        <w:rPr>
          <w:rFonts w:asciiTheme="majorHAnsi" w:hAnsiTheme="majorHAnsi" w:cstheme="majorHAnsi"/>
          <w:i w:val="0"/>
          <w:color w:val="auto"/>
          <w:sz w:val="20"/>
          <w:szCs w:val="20"/>
        </w:rPr>
        <w:fldChar w:fldCharType="separate"/>
      </w:r>
      <w:r w:rsidRPr="000D4580">
        <w:rPr>
          <w:rFonts w:asciiTheme="majorHAnsi" w:hAnsiTheme="majorHAnsi" w:cstheme="majorHAnsi"/>
          <w:i w:val="0"/>
          <w:noProof/>
          <w:color w:val="auto"/>
          <w:sz w:val="20"/>
          <w:szCs w:val="20"/>
        </w:rPr>
        <w:t>[1–5]</w:t>
      </w:r>
      <w:r w:rsidRPr="000D4580">
        <w:rPr>
          <w:rFonts w:asciiTheme="majorHAnsi" w:hAnsiTheme="majorHAnsi" w:cstheme="majorHAnsi"/>
          <w:i w:val="0"/>
          <w:color w:val="auto"/>
          <w:sz w:val="20"/>
          <w:szCs w:val="20"/>
        </w:rPr>
        <w:fldChar w:fldCharType="end"/>
      </w:r>
      <w:r w:rsidRPr="000D4580">
        <w:rPr>
          <w:rFonts w:asciiTheme="majorHAnsi" w:hAnsiTheme="majorHAnsi" w:cstheme="majorHAnsi"/>
          <w:i w:val="0"/>
          <w:color w:val="auto"/>
          <w:sz w:val="20"/>
          <w:szCs w:val="20"/>
        </w:rPr>
        <w:t xml:space="preserve">. </w:t>
      </w:r>
    </w:p>
    <w:p w:rsidR="001E608F" w:rsidRPr="000D4580" w:rsidRDefault="001E608F" w:rsidP="00D140C1">
      <w:pPr>
        <w:spacing w:line="360" w:lineRule="auto"/>
        <w:rPr>
          <w:rFonts w:asciiTheme="majorHAnsi" w:hAnsiTheme="majorHAnsi" w:cstheme="majorHAnsi"/>
        </w:rPr>
      </w:pPr>
    </w:p>
    <w:p w:rsidR="001E608F" w:rsidRDefault="001E608F" w:rsidP="00D140C1">
      <w:pPr>
        <w:spacing w:line="360" w:lineRule="auto"/>
        <w:rPr>
          <w:rFonts w:asciiTheme="majorHAnsi" w:hAnsiTheme="majorHAnsi" w:cstheme="majorHAnsi"/>
        </w:rPr>
      </w:pPr>
    </w:p>
    <w:p w:rsidR="000D4580" w:rsidRDefault="000D4580" w:rsidP="00D140C1">
      <w:pPr>
        <w:spacing w:line="360" w:lineRule="auto"/>
        <w:rPr>
          <w:rFonts w:asciiTheme="majorHAnsi" w:hAnsiTheme="majorHAnsi" w:cstheme="majorHAnsi"/>
        </w:rPr>
      </w:pPr>
    </w:p>
    <w:p w:rsidR="000D4580" w:rsidRPr="000D4580" w:rsidRDefault="000D4580" w:rsidP="00D140C1">
      <w:pPr>
        <w:spacing w:line="360" w:lineRule="auto"/>
        <w:rPr>
          <w:rFonts w:asciiTheme="majorHAnsi" w:hAnsiTheme="majorHAnsi" w:cstheme="majorHAnsi"/>
        </w:rPr>
      </w:pPr>
    </w:p>
    <w:tbl>
      <w:tblPr>
        <w:tblW w:w="11070" w:type="dxa"/>
        <w:tblInd w:w="-108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170"/>
        <w:gridCol w:w="1170"/>
        <w:gridCol w:w="810"/>
        <w:gridCol w:w="1710"/>
        <w:gridCol w:w="1710"/>
        <w:gridCol w:w="2415"/>
        <w:gridCol w:w="2085"/>
      </w:tblGrid>
      <w:tr w:rsidR="001E608F" w:rsidRPr="000D4580" w:rsidTr="00B321B9">
        <w:trPr>
          <w:trHeight w:val="300"/>
        </w:trPr>
        <w:tc>
          <w:tcPr>
            <w:tcW w:w="1170" w:type="dxa"/>
            <w:vMerge w:val="restart"/>
            <w:shd w:val="clear" w:color="auto" w:fill="B4C6E7" w:themeFill="accent1" w:themeFillTint="66"/>
            <w:vAlign w:val="center"/>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b/>
                <w:bCs/>
                <w:color w:val="000000"/>
                <w:sz w:val="16"/>
                <w:szCs w:val="16"/>
              </w:rPr>
              <w:lastRenderedPageBreak/>
              <w:t>Type of shipping</w:t>
            </w:r>
          </w:p>
        </w:tc>
        <w:tc>
          <w:tcPr>
            <w:tcW w:w="1170" w:type="dxa"/>
            <w:vMerge w:val="restart"/>
            <w:shd w:val="clear" w:color="auto" w:fill="B4C6E7" w:themeFill="accent1" w:themeFillTint="66"/>
            <w:vAlign w:val="center"/>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b/>
                <w:bCs/>
                <w:color w:val="000000"/>
                <w:sz w:val="16"/>
                <w:szCs w:val="16"/>
              </w:rPr>
              <w:t>Type of fuel</w:t>
            </w:r>
          </w:p>
        </w:tc>
        <w:tc>
          <w:tcPr>
            <w:tcW w:w="8730" w:type="dxa"/>
            <w:gridSpan w:val="5"/>
            <w:shd w:val="clear" w:color="auto" w:fill="B4C6E7" w:themeFill="accent1" w:themeFillTint="66"/>
            <w:noWrap/>
            <w:vAlign w:val="bottom"/>
            <w:hideMark/>
          </w:tcPr>
          <w:p w:rsidR="001E608F" w:rsidRPr="000D4580" w:rsidRDefault="001E608F" w:rsidP="00D140C1">
            <w:pPr>
              <w:spacing w:after="0" w:line="360" w:lineRule="auto"/>
              <w:jc w:val="center"/>
              <w:rPr>
                <w:rFonts w:asciiTheme="majorHAnsi" w:eastAsia="Times New Roman" w:hAnsiTheme="majorHAnsi" w:cstheme="majorHAnsi"/>
                <w:b/>
                <w:bCs/>
                <w:color w:val="000000"/>
                <w:sz w:val="16"/>
                <w:szCs w:val="16"/>
              </w:rPr>
            </w:pPr>
            <w:r w:rsidRPr="000D4580">
              <w:rPr>
                <w:rFonts w:asciiTheme="majorHAnsi" w:eastAsia="Times New Roman" w:hAnsiTheme="majorHAnsi" w:cstheme="majorHAnsi"/>
                <w:b/>
                <w:bCs/>
                <w:color w:val="000000"/>
                <w:sz w:val="16"/>
                <w:szCs w:val="16"/>
              </w:rPr>
              <w:t>Assumptions</w:t>
            </w:r>
          </w:p>
        </w:tc>
      </w:tr>
      <w:tr w:rsidR="001E608F" w:rsidRPr="000D4580" w:rsidTr="00B321B9">
        <w:trPr>
          <w:trHeight w:val="640"/>
        </w:trPr>
        <w:tc>
          <w:tcPr>
            <w:tcW w:w="1170" w:type="dxa"/>
            <w:vMerge/>
            <w:shd w:val="clear" w:color="auto" w:fill="B4C6E7" w:themeFill="accent1" w:themeFillTint="66"/>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p>
        </w:tc>
        <w:tc>
          <w:tcPr>
            <w:tcW w:w="1170" w:type="dxa"/>
            <w:vMerge/>
            <w:shd w:val="clear" w:color="auto" w:fill="B4C6E7" w:themeFill="accent1" w:themeFillTint="66"/>
            <w:vAlign w:val="center"/>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p>
        </w:tc>
        <w:tc>
          <w:tcPr>
            <w:tcW w:w="810" w:type="dxa"/>
            <w:shd w:val="clear" w:color="auto" w:fill="D9E2F3" w:themeFill="accent1" w:themeFillTint="33"/>
            <w:vAlign w:val="center"/>
            <w:hideMark/>
          </w:tcPr>
          <w:p w:rsidR="001E608F" w:rsidRPr="000D4580" w:rsidRDefault="001E608F" w:rsidP="00D140C1">
            <w:pPr>
              <w:spacing w:after="0" w:line="360" w:lineRule="auto"/>
              <w:jc w:val="center"/>
              <w:rPr>
                <w:rFonts w:asciiTheme="majorHAnsi" w:eastAsia="Times New Roman" w:hAnsiTheme="majorHAnsi" w:cstheme="majorHAnsi"/>
                <w:b/>
                <w:bCs/>
                <w:color w:val="000000"/>
                <w:sz w:val="16"/>
                <w:szCs w:val="16"/>
              </w:rPr>
            </w:pPr>
            <w:r w:rsidRPr="000D4580">
              <w:rPr>
                <w:rFonts w:asciiTheme="majorHAnsi" w:eastAsia="Times New Roman" w:hAnsiTheme="majorHAnsi" w:cstheme="majorHAnsi"/>
                <w:b/>
                <w:bCs/>
                <w:color w:val="000000"/>
                <w:sz w:val="16"/>
                <w:szCs w:val="16"/>
              </w:rPr>
              <w:t>DWT</w:t>
            </w:r>
            <w:r w:rsidRPr="000D4580">
              <w:rPr>
                <w:rFonts w:asciiTheme="majorHAnsi" w:eastAsia="Times New Roman" w:hAnsiTheme="majorHAnsi" w:cstheme="majorHAnsi"/>
                <w:b/>
                <w:bCs/>
                <w:color w:val="000000"/>
                <w:sz w:val="16"/>
                <w:szCs w:val="16"/>
              </w:rPr>
              <w:br/>
              <w:t>(ton)</w:t>
            </w:r>
          </w:p>
        </w:tc>
        <w:tc>
          <w:tcPr>
            <w:tcW w:w="1710" w:type="dxa"/>
            <w:shd w:val="clear" w:color="auto" w:fill="D9E2F3" w:themeFill="accent1" w:themeFillTint="33"/>
            <w:vAlign w:val="center"/>
            <w:hideMark/>
          </w:tcPr>
          <w:p w:rsidR="001E608F" w:rsidRPr="000D4580" w:rsidRDefault="001E608F" w:rsidP="00D140C1">
            <w:pPr>
              <w:spacing w:after="0" w:line="360" w:lineRule="auto"/>
              <w:jc w:val="center"/>
              <w:rPr>
                <w:rFonts w:asciiTheme="majorHAnsi" w:eastAsia="Times New Roman" w:hAnsiTheme="majorHAnsi" w:cstheme="majorHAnsi"/>
                <w:b/>
                <w:bCs/>
                <w:color w:val="000000"/>
                <w:sz w:val="16"/>
                <w:szCs w:val="16"/>
              </w:rPr>
            </w:pPr>
            <w:r w:rsidRPr="000D4580">
              <w:rPr>
                <w:rFonts w:asciiTheme="majorHAnsi" w:eastAsia="Times New Roman" w:hAnsiTheme="majorHAnsi" w:cstheme="majorHAnsi"/>
                <w:b/>
                <w:bCs/>
                <w:color w:val="000000"/>
                <w:sz w:val="16"/>
                <w:szCs w:val="16"/>
              </w:rPr>
              <w:t xml:space="preserve">Annual distance </w:t>
            </w:r>
            <w:r w:rsidRPr="000D4580">
              <w:rPr>
                <w:rFonts w:asciiTheme="majorHAnsi" w:eastAsia="Times New Roman" w:hAnsiTheme="majorHAnsi" w:cstheme="majorHAnsi"/>
                <w:b/>
                <w:bCs/>
                <w:color w:val="000000"/>
                <w:sz w:val="16"/>
                <w:szCs w:val="16"/>
              </w:rPr>
              <w:br/>
              <w:t>(10^9km/y)</w:t>
            </w:r>
          </w:p>
        </w:tc>
        <w:tc>
          <w:tcPr>
            <w:tcW w:w="1710" w:type="dxa"/>
            <w:shd w:val="clear" w:color="auto" w:fill="D9E2F3" w:themeFill="accent1" w:themeFillTint="33"/>
            <w:noWrap/>
            <w:vAlign w:val="center"/>
            <w:hideMark/>
          </w:tcPr>
          <w:p w:rsidR="001E608F" w:rsidRPr="000D4580" w:rsidRDefault="001E608F" w:rsidP="00D140C1">
            <w:pPr>
              <w:spacing w:after="0" w:line="360" w:lineRule="auto"/>
              <w:jc w:val="center"/>
              <w:rPr>
                <w:rFonts w:asciiTheme="majorHAnsi" w:eastAsia="Times New Roman" w:hAnsiTheme="majorHAnsi" w:cstheme="majorHAnsi"/>
                <w:b/>
                <w:bCs/>
                <w:color w:val="000000"/>
                <w:sz w:val="16"/>
                <w:szCs w:val="16"/>
              </w:rPr>
            </w:pPr>
            <w:r w:rsidRPr="000D4580">
              <w:rPr>
                <w:rFonts w:asciiTheme="majorHAnsi" w:eastAsia="Times New Roman" w:hAnsiTheme="majorHAnsi" w:cstheme="majorHAnsi"/>
                <w:b/>
                <w:bCs/>
                <w:color w:val="000000"/>
                <w:sz w:val="16"/>
                <w:szCs w:val="16"/>
              </w:rPr>
              <w:t>Number of ships</w:t>
            </w:r>
          </w:p>
        </w:tc>
        <w:tc>
          <w:tcPr>
            <w:tcW w:w="2415" w:type="dxa"/>
            <w:shd w:val="clear" w:color="auto" w:fill="D9E2F3" w:themeFill="accent1" w:themeFillTint="33"/>
            <w:vAlign w:val="center"/>
            <w:hideMark/>
          </w:tcPr>
          <w:p w:rsidR="001E608F" w:rsidRPr="000D4580" w:rsidRDefault="001E608F" w:rsidP="00D140C1">
            <w:pPr>
              <w:spacing w:after="0" w:line="360" w:lineRule="auto"/>
              <w:jc w:val="center"/>
              <w:rPr>
                <w:rFonts w:asciiTheme="majorHAnsi" w:eastAsia="Times New Roman" w:hAnsiTheme="majorHAnsi" w:cstheme="majorHAnsi"/>
                <w:b/>
                <w:bCs/>
                <w:color w:val="000000"/>
                <w:sz w:val="16"/>
                <w:szCs w:val="16"/>
              </w:rPr>
            </w:pPr>
            <w:r w:rsidRPr="000D4580">
              <w:rPr>
                <w:rFonts w:asciiTheme="majorHAnsi" w:eastAsia="Times New Roman" w:hAnsiTheme="majorHAnsi" w:cstheme="majorHAnsi"/>
                <w:b/>
                <w:bCs/>
                <w:color w:val="000000"/>
                <w:sz w:val="16"/>
                <w:szCs w:val="16"/>
              </w:rPr>
              <w:t xml:space="preserve">Mean payload per ship </w:t>
            </w:r>
            <w:r w:rsidRPr="000D4580">
              <w:rPr>
                <w:rFonts w:asciiTheme="majorHAnsi" w:eastAsia="Times New Roman" w:hAnsiTheme="majorHAnsi" w:cstheme="majorHAnsi"/>
                <w:b/>
                <w:bCs/>
                <w:color w:val="000000"/>
                <w:sz w:val="16"/>
                <w:szCs w:val="16"/>
              </w:rPr>
              <w:br/>
              <w:t>(</w:t>
            </w:r>
            <w:proofErr w:type="spellStart"/>
            <w:r w:rsidRPr="000D4580">
              <w:rPr>
                <w:rFonts w:asciiTheme="majorHAnsi" w:eastAsia="Times New Roman" w:hAnsiTheme="majorHAnsi" w:cstheme="majorHAnsi"/>
                <w:b/>
                <w:bCs/>
                <w:color w:val="000000"/>
                <w:sz w:val="16"/>
                <w:szCs w:val="16"/>
              </w:rPr>
              <w:t>bton</w:t>
            </w:r>
            <w:proofErr w:type="spellEnd"/>
            <w:r w:rsidRPr="000D4580">
              <w:rPr>
                <w:rFonts w:asciiTheme="majorHAnsi" w:eastAsia="Times New Roman" w:hAnsiTheme="majorHAnsi" w:cstheme="majorHAnsi"/>
                <w:b/>
                <w:bCs/>
                <w:color w:val="000000"/>
                <w:sz w:val="16"/>
                <w:szCs w:val="16"/>
              </w:rPr>
              <w:t>-km/y)</w:t>
            </w:r>
          </w:p>
        </w:tc>
        <w:tc>
          <w:tcPr>
            <w:tcW w:w="2085" w:type="dxa"/>
            <w:shd w:val="clear" w:color="auto" w:fill="D9E2F3" w:themeFill="accent1" w:themeFillTint="33"/>
            <w:vAlign w:val="center"/>
            <w:hideMark/>
          </w:tcPr>
          <w:p w:rsidR="001E608F" w:rsidRPr="000D4580" w:rsidRDefault="001E608F" w:rsidP="00D140C1">
            <w:pPr>
              <w:spacing w:after="0" w:line="360" w:lineRule="auto"/>
              <w:jc w:val="center"/>
              <w:rPr>
                <w:rFonts w:asciiTheme="majorHAnsi" w:eastAsia="Times New Roman" w:hAnsiTheme="majorHAnsi" w:cstheme="majorHAnsi"/>
                <w:b/>
                <w:bCs/>
                <w:color w:val="000000"/>
                <w:sz w:val="16"/>
                <w:szCs w:val="16"/>
              </w:rPr>
            </w:pPr>
            <w:r w:rsidRPr="000D4580">
              <w:rPr>
                <w:rFonts w:asciiTheme="majorHAnsi" w:eastAsia="Times New Roman" w:hAnsiTheme="majorHAnsi" w:cstheme="majorHAnsi"/>
                <w:b/>
                <w:bCs/>
                <w:color w:val="000000"/>
                <w:sz w:val="16"/>
                <w:szCs w:val="16"/>
              </w:rPr>
              <w:t xml:space="preserve">Mean distance traveled </w:t>
            </w:r>
            <w:r w:rsidRPr="000D4580">
              <w:rPr>
                <w:rFonts w:asciiTheme="majorHAnsi" w:eastAsia="Times New Roman" w:hAnsiTheme="majorHAnsi" w:cstheme="majorHAnsi"/>
                <w:b/>
                <w:bCs/>
                <w:color w:val="000000"/>
                <w:sz w:val="16"/>
                <w:szCs w:val="16"/>
              </w:rPr>
              <w:br/>
              <w:t>(km/y)</w:t>
            </w:r>
          </w:p>
        </w:tc>
      </w:tr>
      <w:tr w:rsidR="001E608F" w:rsidRPr="000D4580" w:rsidTr="00B321B9">
        <w:trPr>
          <w:trHeight w:val="300"/>
        </w:trPr>
        <w:tc>
          <w:tcPr>
            <w:tcW w:w="1170"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hAnsiTheme="majorHAnsi" w:cstheme="majorHAnsi"/>
                <w:color w:val="000000"/>
                <w:sz w:val="16"/>
                <w:szCs w:val="16"/>
              </w:rPr>
              <w:t>Liquid</w:t>
            </w:r>
          </w:p>
        </w:tc>
        <w:tc>
          <w:tcPr>
            <w:tcW w:w="1170"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Diesel</w:t>
            </w:r>
          </w:p>
        </w:tc>
        <w:tc>
          <w:tcPr>
            <w:tcW w:w="8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100000</w:t>
            </w:r>
          </w:p>
        </w:tc>
        <w:tc>
          <w:tcPr>
            <w:tcW w:w="17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5.05</w:t>
            </w:r>
          </w:p>
        </w:tc>
        <w:tc>
          <w:tcPr>
            <w:tcW w:w="17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376219</w:t>
            </w:r>
          </w:p>
        </w:tc>
        <w:tc>
          <w:tcPr>
            <w:tcW w:w="241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1.34</w:t>
            </w:r>
          </w:p>
        </w:tc>
        <w:tc>
          <w:tcPr>
            <w:tcW w:w="208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13423.03</w:t>
            </w:r>
          </w:p>
        </w:tc>
      </w:tr>
      <w:tr w:rsidR="001E608F" w:rsidRPr="000D4580" w:rsidTr="00B321B9">
        <w:trPr>
          <w:trHeight w:val="300"/>
        </w:trPr>
        <w:tc>
          <w:tcPr>
            <w:tcW w:w="1170"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hAnsiTheme="majorHAnsi" w:cstheme="majorHAnsi"/>
                <w:color w:val="000000"/>
                <w:sz w:val="16"/>
                <w:szCs w:val="16"/>
              </w:rPr>
              <w:t>Liquid</w:t>
            </w:r>
          </w:p>
        </w:tc>
        <w:tc>
          <w:tcPr>
            <w:tcW w:w="1170"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LNG</w:t>
            </w:r>
          </w:p>
        </w:tc>
        <w:tc>
          <w:tcPr>
            <w:tcW w:w="8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100000</w:t>
            </w:r>
          </w:p>
        </w:tc>
        <w:tc>
          <w:tcPr>
            <w:tcW w:w="17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5.05</w:t>
            </w:r>
          </w:p>
        </w:tc>
        <w:tc>
          <w:tcPr>
            <w:tcW w:w="17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376219</w:t>
            </w:r>
          </w:p>
        </w:tc>
        <w:tc>
          <w:tcPr>
            <w:tcW w:w="241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1.34</w:t>
            </w:r>
          </w:p>
        </w:tc>
        <w:tc>
          <w:tcPr>
            <w:tcW w:w="208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13423.03</w:t>
            </w:r>
          </w:p>
        </w:tc>
      </w:tr>
      <w:tr w:rsidR="001E608F" w:rsidRPr="000D4580" w:rsidTr="00B321B9">
        <w:trPr>
          <w:trHeight w:val="300"/>
        </w:trPr>
        <w:tc>
          <w:tcPr>
            <w:tcW w:w="1170"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hAnsiTheme="majorHAnsi" w:cstheme="majorHAnsi"/>
                <w:color w:val="000000"/>
                <w:sz w:val="16"/>
                <w:szCs w:val="16"/>
              </w:rPr>
              <w:t>Liquid</w:t>
            </w:r>
          </w:p>
        </w:tc>
        <w:tc>
          <w:tcPr>
            <w:tcW w:w="1170"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Electricity</w:t>
            </w:r>
          </w:p>
        </w:tc>
        <w:tc>
          <w:tcPr>
            <w:tcW w:w="8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100000</w:t>
            </w:r>
          </w:p>
        </w:tc>
        <w:tc>
          <w:tcPr>
            <w:tcW w:w="17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5.05</w:t>
            </w:r>
          </w:p>
        </w:tc>
        <w:tc>
          <w:tcPr>
            <w:tcW w:w="17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376219</w:t>
            </w:r>
          </w:p>
        </w:tc>
        <w:tc>
          <w:tcPr>
            <w:tcW w:w="241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1.34</w:t>
            </w:r>
          </w:p>
        </w:tc>
        <w:tc>
          <w:tcPr>
            <w:tcW w:w="208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13423.03</w:t>
            </w:r>
          </w:p>
        </w:tc>
      </w:tr>
      <w:tr w:rsidR="001E608F" w:rsidRPr="000D4580" w:rsidTr="00B321B9">
        <w:trPr>
          <w:trHeight w:val="300"/>
        </w:trPr>
        <w:tc>
          <w:tcPr>
            <w:tcW w:w="1170"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hAnsiTheme="majorHAnsi" w:cstheme="majorHAnsi"/>
                <w:color w:val="000000"/>
                <w:sz w:val="16"/>
                <w:szCs w:val="16"/>
              </w:rPr>
              <w:t>Solid</w:t>
            </w:r>
          </w:p>
        </w:tc>
        <w:tc>
          <w:tcPr>
            <w:tcW w:w="1170"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Diesel</w:t>
            </w:r>
          </w:p>
        </w:tc>
        <w:tc>
          <w:tcPr>
            <w:tcW w:w="8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100000</w:t>
            </w:r>
          </w:p>
        </w:tc>
        <w:tc>
          <w:tcPr>
            <w:tcW w:w="17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5.05</w:t>
            </w:r>
          </w:p>
        </w:tc>
        <w:tc>
          <w:tcPr>
            <w:tcW w:w="17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376219</w:t>
            </w:r>
          </w:p>
        </w:tc>
        <w:tc>
          <w:tcPr>
            <w:tcW w:w="241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1.34</w:t>
            </w:r>
          </w:p>
        </w:tc>
        <w:tc>
          <w:tcPr>
            <w:tcW w:w="208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13423.03</w:t>
            </w:r>
          </w:p>
        </w:tc>
      </w:tr>
      <w:tr w:rsidR="001E608F" w:rsidRPr="000D4580" w:rsidTr="00B321B9">
        <w:trPr>
          <w:trHeight w:val="300"/>
        </w:trPr>
        <w:tc>
          <w:tcPr>
            <w:tcW w:w="1170"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hAnsiTheme="majorHAnsi" w:cstheme="majorHAnsi"/>
                <w:color w:val="000000"/>
                <w:sz w:val="16"/>
                <w:szCs w:val="16"/>
              </w:rPr>
              <w:t>Solid</w:t>
            </w:r>
          </w:p>
        </w:tc>
        <w:tc>
          <w:tcPr>
            <w:tcW w:w="1170"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LNG</w:t>
            </w:r>
          </w:p>
        </w:tc>
        <w:tc>
          <w:tcPr>
            <w:tcW w:w="8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100000</w:t>
            </w:r>
          </w:p>
        </w:tc>
        <w:tc>
          <w:tcPr>
            <w:tcW w:w="17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5.05</w:t>
            </w:r>
          </w:p>
        </w:tc>
        <w:tc>
          <w:tcPr>
            <w:tcW w:w="17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376219</w:t>
            </w:r>
          </w:p>
        </w:tc>
        <w:tc>
          <w:tcPr>
            <w:tcW w:w="241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1.34</w:t>
            </w:r>
          </w:p>
        </w:tc>
        <w:tc>
          <w:tcPr>
            <w:tcW w:w="208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13423.03</w:t>
            </w:r>
          </w:p>
        </w:tc>
      </w:tr>
      <w:tr w:rsidR="001E608F" w:rsidRPr="000D4580" w:rsidTr="00B321B9">
        <w:trPr>
          <w:trHeight w:val="300"/>
        </w:trPr>
        <w:tc>
          <w:tcPr>
            <w:tcW w:w="1170"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hAnsiTheme="majorHAnsi" w:cstheme="majorHAnsi"/>
                <w:color w:val="000000"/>
                <w:sz w:val="16"/>
                <w:szCs w:val="16"/>
              </w:rPr>
              <w:t>Solid</w:t>
            </w:r>
          </w:p>
        </w:tc>
        <w:tc>
          <w:tcPr>
            <w:tcW w:w="1170"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Electricity</w:t>
            </w:r>
          </w:p>
        </w:tc>
        <w:tc>
          <w:tcPr>
            <w:tcW w:w="8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100000</w:t>
            </w:r>
          </w:p>
        </w:tc>
        <w:tc>
          <w:tcPr>
            <w:tcW w:w="17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5.05</w:t>
            </w:r>
          </w:p>
        </w:tc>
        <w:tc>
          <w:tcPr>
            <w:tcW w:w="17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376219</w:t>
            </w:r>
          </w:p>
        </w:tc>
        <w:tc>
          <w:tcPr>
            <w:tcW w:w="241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1.34</w:t>
            </w:r>
          </w:p>
        </w:tc>
        <w:tc>
          <w:tcPr>
            <w:tcW w:w="208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13423.03</w:t>
            </w:r>
          </w:p>
        </w:tc>
      </w:tr>
      <w:tr w:rsidR="001E608F" w:rsidRPr="000D4580" w:rsidTr="00B321B9">
        <w:trPr>
          <w:trHeight w:val="300"/>
        </w:trPr>
        <w:tc>
          <w:tcPr>
            <w:tcW w:w="1170"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hAnsiTheme="majorHAnsi" w:cstheme="majorHAnsi"/>
                <w:color w:val="000000"/>
                <w:sz w:val="16"/>
                <w:szCs w:val="16"/>
              </w:rPr>
              <w:t>LNG</w:t>
            </w:r>
          </w:p>
        </w:tc>
        <w:tc>
          <w:tcPr>
            <w:tcW w:w="1170"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Diesel</w:t>
            </w:r>
          </w:p>
        </w:tc>
        <w:tc>
          <w:tcPr>
            <w:tcW w:w="8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100000</w:t>
            </w:r>
          </w:p>
        </w:tc>
        <w:tc>
          <w:tcPr>
            <w:tcW w:w="17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5.05</w:t>
            </w:r>
          </w:p>
        </w:tc>
        <w:tc>
          <w:tcPr>
            <w:tcW w:w="17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376219</w:t>
            </w:r>
          </w:p>
        </w:tc>
        <w:tc>
          <w:tcPr>
            <w:tcW w:w="241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1.34</w:t>
            </w:r>
          </w:p>
        </w:tc>
        <w:tc>
          <w:tcPr>
            <w:tcW w:w="208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13423.03</w:t>
            </w:r>
          </w:p>
        </w:tc>
      </w:tr>
      <w:tr w:rsidR="001E608F" w:rsidRPr="000D4580" w:rsidTr="00B321B9">
        <w:trPr>
          <w:trHeight w:val="300"/>
        </w:trPr>
        <w:tc>
          <w:tcPr>
            <w:tcW w:w="1170"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hAnsiTheme="majorHAnsi" w:cstheme="majorHAnsi"/>
                <w:color w:val="000000"/>
                <w:sz w:val="16"/>
                <w:szCs w:val="16"/>
              </w:rPr>
              <w:t>LNG</w:t>
            </w:r>
          </w:p>
        </w:tc>
        <w:tc>
          <w:tcPr>
            <w:tcW w:w="1170"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LNG</w:t>
            </w:r>
          </w:p>
        </w:tc>
        <w:tc>
          <w:tcPr>
            <w:tcW w:w="8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100000</w:t>
            </w:r>
          </w:p>
        </w:tc>
        <w:tc>
          <w:tcPr>
            <w:tcW w:w="17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5.05</w:t>
            </w:r>
          </w:p>
        </w:tc>
        <w:tc>
          <w:tcPr>
            <w:tcW w:w="17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376219</w:t>
            </w:r>
          </w:p>
        </w:tc>
        <w:tc>
          <w:tcPr>
            <w:tcW w:w="241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1.34</w:t>
            </w:r>
          </w:p>
        </w:tc>
        <w:tc>
          <w:tcPr>
            <w:tcW w:w="208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13423.03</w:t>
            </w:r>
          </w:p>
        </w:tc>
      </w:tr>
      <w:tr w:rsidR="001E608F" w:rsidRPr="000D4580" w:rsidTr="00B321B9">
        <w:trPr>
          <w:trHeight w:val="300"/>
        </w:trPr>
        <w:tc>
          <w:tcPr>
            <w:tcW w:w="1170"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hAnsiTheme="majorHAnsi" w:cstheme="majorHAnsi"/>
                <w:color w:val="000000"/>
                <w:sz w:val="16"/>
                <w:szCs w:val="16"/>
              </w:rPr>
              <w:t>LNG</w:t>
            </w:r>
          </w:p>
        </w:tc>
        <w:tc>
          <w:tcPr>
            <w:tcW w:w="1170" w:type="dxa"/>
            <w:shd w:val="clear" w:color="auto" w:fill="auto"/>
            <w:vAlign w:val="bottom"/>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Electricity</w:t>
            </w:r>
          </w:p>
        </w:tc>
        <w:tc>
          <w:tcPr>
            <w:tcW w:w="8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100000</w:t>
            </w:r>
          </w:p>
        </w:tc>
        <w:tc>
          <w:tcPr>
            <w:tcW w:w="17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5.05</w:t>
            </w:r>
          </w:p>
        </w:tc>
        <w:tc>
          <w:tcPr>
            <w:tcW w:w="1710"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376219</w:t>
            </w:r>
          </w:p>
        </w:tc>
        <w:tc>
          <w:tcPr>
            <w:tcW w:w="241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1.34</w:t>
            </w:r>
          </w:p>
        </w:tc>
        <w:tc>
          <w:tcPr>
            <w:tcW w:w="2085" w:type="dxa"/>
            <w:shd w:val="clear" w:color="auto" w:fill="auto"/>
            <w:noWrap/>
            <w:vAlign w:val="bottom"/>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13423.03</w:t>
            </w:r>
          </w:p>
        </w:tc>
      </w:tr>
    </w:tbl>
    <w:p w:rsidR="001E608F" w:rsidRPr="000D4580" w:rsidRDefault="001E608F" w:rsidP="000D4580">
      <w:pPr>
        <w:pStyle w:val="Caption"/>
        <w:rPr>
          <w:rFonts w:asciiTheme="majorHAnsi" w:hAnsiTheme="majorHAnsi" w:cstheme="majorHAnsi"/>
          <w:i w:val="0"/>
          <w:color w:val="auto"/>
          <w:sz w:val="20"/>
          <w:szCs w:val="20"/>
        </w:rPr>
      </w:pPr>
      <w:r w:rsidRPr="000D4580">
        <w:rPr>
          <w:rFonts w:asciiTheme="majorHAnsi" w:hAnsiTheme="majorHAnsi" w:cstheme="majorHAnsi"/>
          <w:b/>
          <w:i w:val="0"/>
          <w:color w:val="auto"/>
          <w:sz w:val="20"/>
          <w:szCs w:val="20"/>
        </w:rPr>
        <w:t xml:space="preserve">Table </w:t>
      </w:r>
      <w:r w:rsidR="00130412">
        <w:rPr>
          <w:rFonts w:asciiTheme="majorHAnsi" w:hAnsiTheme="majorHAnsi" w:cstheme="majorHAnsi"/>
          <w:b/>
          <w:i w:val="0"/>
          <w:color w:val="auto"/>
          <w:sz w:val="20"/>
          <w:szCs w:val="20"/>
        </w:rPr>
        <w:t>8</w:t>
      </w:r>
      <w:r w:rsidRPr="000D4580">
        <w:rPr>
          <w:rFonts w:asciiTheme="majorHAnsi" w:hAnsiTheme="majorHAnsi" w:cstheme="majorHAnsi"/>
          <w:b/>
          <w:i w:val="0"/>
          <w:color w:val="auto"/>
          <w:sz w:val="20"/>
          <w:szCs w:val="20"/>
        </w:rPr>
        <w:t xml:space="preserve">. </w:t>
      </w:r>
      <w:r w:rsidRPr="000D4580">
        <w:rPr>
          <w:rFonts w:asciiTheme="majorHAnsi" w:hAnsiTheme="majorHAnsi" w:cstheme="majorHAnsi"/>
          <w:i w:val="0"/>
          <w:color w:val="auto"/>
          <w:sz w:val="20"/>
          <w:szCs w:val="20"/>
        </w:rPr>
        <w:t xml:space="preserve">Distance and payload assumptions by type of shipping and fuel. Based on author calculations using data from </w:t>
      </w:r>
      <w:proofErr w:type="spellStart"/>
      <w:r w:rsidRPr="000D4580">
        <w:rPr>
          <w:rFonts w:asciiTheme="majorHAnsi" w:hAnsiTheme="majorHAnsi" w:cstheme="majorHAnsi"/>
          <w:i w:val="0"/>
          <w:color w:val="auto"/>
          <w:sz w:val="20"/>
          <w:szCs w:val="20"/>
        </w:rPr>
        <w:t>Johannson</w:t>
      </w:r>
      <w:proofErr w:type="spellEnd"/>
      <w:r w:rsidRPr="000D4580">
        <w:rPr>
          <w:rFonts w:asciiTheme="majorHAnsi" w:hAnsiTheme="majorHAnsi" w:cstheme="majorHAnsi"/>
          <w:i w:val="0"/>
          <w:color w:val="auto"/>
          <w:sz w:val="20"/>
          <w:szCs w:val="20"/>
        </w:rPr>
        <w:t xml:space="preserve"> et al. (2017), International Energy Agency, International Maritime Organization, and DNV-GL </w:t>
      </w:r>
      <w:r w:rsidRPr="000D4580">
        <w:rPr>
          <w:rFonts w:asciiTheme="majorHAnsi" w:hAnsiTheme="majorHAnsi" w:cstheme="majorHAnsi"/>
          <w:i w:val="0"/>
          <w:color w:val="auto"/>
          <w:sz w:val="20"/>
          <w:szCs w:val="20"/>
        </w:rPr>
        <w:fldChar w:fldCharType="begin" w:fldLock="1"/>
      </w:r>
      <w:r w:rsidRPr="000D4580">
        <w:rPr>
          <w:rFonts w:asciiTheme="majorHAnsi" w:hAnsiTheme="majorHAnsi" w:cstheme="majorHAnsi"/>
          <w:i w:val="0"/>
          <w:color w:val="auto"/>
          <w:sz w:val="20"/>
          <w:szCs w:val="20"/>
        </w:rPr>
        <w:instrText>ADDIN CSL_CITATION {"citationItems":[{"id":"ITEM-1","itemData":{"DOI":"10.1016/j.atmosenv.2017.08.042","ISSN":"18732844","abstract":"We present a comprehensive global shipping emission inventory and the global activities of ships for the year 2015. The emissions were evaluated using the Ship Traffic Emission Assessment Model (STEAM3), which uses Automatic Identification System data to describe the traffic activities of ships. We have improved the model regarding (i) the evaluation of the missing technical specifications of ships, and (ii) the treatment of shipping activities in case of sparse satellite AIS-data. We have developed a model for the collection and processing of available information on the technical specifications, using data assimilation techniques. We have also developed a path regeneration model that constructs, whenever necessary, the detailed geometry of the ship routes. The presented results for fuel consumption were qualitatively in agreement both with those in the 3rd Greenhouse Gas Study of the International Maritime Organisation and those reported by the International Energy Agency. We have also presented high-resolution global spatial distributions of the shipping emissions of NOx, CO2, SO2and PM2.5. The emissions were also analysed in terms of selected sea areas, ship categories, the sizes of ships and flag states. The emission datasets provided by this study are available upon request; the datasets produced by the model can be utilized as input data for air quality modelling on a global scale, including the full temporal and spatial variation of shipping emissions for the first time. Dispersion modelling using this inventory as input can be used to assess the impacts of various emission abatement scenarios. The emission computation methods presented in this paper could also be used, e.g., to provide annual updates of the global ship emissions.","author":[{"dropping-particle":"","family":"Johansson","given":"Lasse","non-dropping-particle":"","parse-names":false,"suffix":""},{"dropping-particle":"","family":"Jalkanen","given":"Jukka Pekka","non-dropping-particle":"","parse-names":false,"suffix":""},{"dropping-particle":"","family":"Kukkonen","given":"Jaakko","non-dropping-particle":"","parse-names":false,"suffix":""}],"container-title":"Atmospheric Environment","id":"ITEM-1","issued":{"date-parts":[["2017"]]},"title":"Global assessment of shipping emissions in 2015 on a high spatial and temporal resolution","type":"article-journal"},"uris":["http://www.mendeley.com/documents/?uuid=127fb05d-c98f-4082-8137-6695c11a2644"]},{"id":"ITEM-2","itemData":{"author":[{"dropping-particle":"","family":"Erhorn","given":"Torben","non-dropping-particle":"","parse-names":false,"suffix":""},{"dropping-particle":"","family":"Schnack","given":"Petra","non-dropping-particle":"","parse-names":false,"suffix":""},{"dropping-particle":"","family":"Krüger","given":"Marcus","non-dropping-particle":"","parse-names":false,"suffix":""}],"id":"ITEM-2","issued":{"date-parts":[["2014"]]},"publisher-place":"Hamburg","title":"LNG Ship Fuel: The Future Today","type":"report"},"uris":["http://www.mendeley.com/documents/?uuid=7538367e-e26e-46ad-b9c1-88fb553aa03f"]},{"id":"ITEM-3","itemData":{"author":[{"dropping-particle":"","family":"Energy Technology Systems Analysis Programme","given":"","non-dropping-particle":"","parse-names":false,"suffix":""}],"id":"ITEM-3","issued":{"date-parts":[["2011"]]},"publisher-place":"Paris","title":"Shipping Transport","type":"report"},"uris":["http://www.mendeley.com/documents/?uuid=42a27c47-be81-429b-a0e8-bc073c8247c5"]},{"id":"ITEM-4","itemData":{"DOI":"10.1787/energy_tech-2014-en","ISBN":"978-92-64-17488-7","abstract":"Demonstate how technologies can contribute towards the 2C target; 20 Million electrical vehicles 2020; CLEAN ENERGY MINISTERIAL; SEAD Super Efficient Equipment and Appliance and Deployment Initiative - global best practices in building energy energy codes;","author":[{"dropping-particle":"","family":"International Energy Agency","given":"","non-dropping-particle":"","parse-names":false,"suffix":""}],"container-title":"Technology","id":"ITEM-4","issued":{"date-parts":[["2017"]]},"title":"Tracking Clean Energy Progress","type":"article-journal"},"uris":["http://www.mendeley.com/documents/?uuid=caa71fb2-4c09-46f9-a7bc-8d34d73a70fd"]},{"id":"ITEM-5","itemData":{"author":[{"dropping-particle":"","family":"International Maritime Organization","given":"","non-dropping-particle":"","parse-names":false,"suffix":""}],"container-title":"Global maritime energy eﬀiciency partnerships","id":"ITEM-5","issued":{"date-parts":[["2019"]]},"title":"Fleet and CO2 Calculator","type":"webpage"},"uris":["http://www.mendeley.com/documents/?uuid=bdd13837-9438-4d29-9f80-761076a44e96"]}],"mendeley":{"formattedCitation":"[1–5]","plainTextFormattedCitation":"[1–5]"},"properties":{"noteIndex":0},"schema":"https://github.com/citation-style-language/schema/raw/master/csl-citation.json"}</w:instrText>
      </w:r>
      <w:r w:rsidRPr="000D4580">
        <w:rPr>
          <w:rFonts w:asciiTheme="majorHAnsi" w:hAnsiTheme="majorHAnsi" w:cstheme="majorHAnsi"/>
          <w:i w:val="0"/>
          <w:color w:val="auto"/>
          <w:sz w:val="20"/>
          <w:szCs w:val="20"/>
        </w:rPr>
        <w:fldChar w:fldCharType="separate"/>
      </w:r>
      <w:r w:rsidRPr="000D4580">
        <w:rPr>
          <w:rFonts w:asciiTheme="majorHAnsi" w:hAnsiTheme="majorHAnsi" w:cstheme="majorHAnsi"/>
          <w:i w:val="0"/>
          <w:noProof/>
          <w:color w:val="auto"/>
          <w:sz w:val="20"/>
          <w:szCs w:val="20"/>
        </w:rPr>
        <w:t>[1–5]</w:t>
      </w:r>
      <w:r w:rsidRPr="000D4580">
        <w:rPr>
          <w:rFonts w:asciiTheme="majorHAnsi" w:hAnsiTheme="majorHAnsi" w:cstheme="majorHAnsi"/>
          <w:i w:val="0"/>
          <w:color w:val="auto"/>
          <w:sz w:val="20"/>
          <w:szCs w:val="20"/>
        </w:rPr>
        <w:fldChar w:fldCharType="end"/>
      </w:r>
      <w:r w:rsidRPr="000D4580">
        <w:rPr>
          <w:rFonts w:asciiTheme="majorHAnsi" w:hAnsiTheme="majorHAnsi" w:cstheme="majorHAnsi"/>
          <w:i w:val="0"/>
          <w:color w:val="auto"/>
          <w:sz w:val="20"/>
          <w:szCs w:val="20"/>
        </w:rPr>
        <w:t xml:space="preserve">. </w:t>
      </w:r>
    </w:p>
    <w:p w:rsidR="001E608F" w:rsidRPr="000D4580" w:rsidRDefault="001E608F" w:rsidP="00D140C1">
      <w:pPr>
        <w:spacing w:line="360" w:lineRule="auto"/>
        <w:rPr>
          <w:rFonts w:asciiTheme="majorHAnsi" w:hAnsiTheme="majorHAnsi" w:cstheme="majorHAnsi"/>
        </w:rPr>
      </w:pPr>
    </w:p>
    <w:tbl>
      <w:tblPr>
        <w:tblW w:w="8705" w:type="dxa"/>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155"/>
        <w:gridCol w:w="1620"/>
        <w:gridCol w:w="2340"/>
        <w:gridCol w:w="2590"/>
      </w:tblGrid>
      <w:tr w:rsidR="001E608F" w:rsidRPr="000D4580" w:rsidTr="00B321B9">
        <w:trPr>
          <w:trHeight w:val="640"/>
          <w:jc w:val="center"/>
        </w:trPr>
        <w:tc>
          <w:tcPr>
            <w:tcW w:w="2155" w:type="dxa"/>
            <w:shd w:val="clear" w:color="auto" w:fill="B4C6E7" w:themeFill="accent1" w:themeFillTint="66"/>
            <w:noWrap/>
            <w:vAlign w:val="center"/>
            <w:hideMark/>
          </w:tcPr>
          <w:p w:rsidR="001E608F" w:rsidRPr="000D4580" w:rsidRDefault="001E608F" w:rsidP="00D140C1">
            <w:pPr>
              <w:spacing w:after="0" w:line="360" w:lineRule="auto"/>
              <w:jc w:val="center"/>
              <w:rPr>
                <w:rFonts w:asciiTheme="majorHAnsi" w:eastAsia="Times New Roman" w:hAnsiTheme="majorHAnsi" w:cstheme="majorHAnsi"/>
                <w:b/>
                <w:bCs/>
                <w:color w:val="000000"/>
                <w:sz w:val="16"/>
                <w:szCs w:val="16"/>
              </w:rPr>
            </w:pPr>
            <w:r w:rsidRPr="000D4580">
              <w:rPr>
                <w:rFonts w:asciiTheme="majorHAnsi" w:eastAsia="Times New Roman" w:hAnsiTheme="majorHAnsi" w:cstheme="majorHAnsi"/>
                <w:b/>
                <w:bCs/>
                <w:color w:val="000000"/>
                <w:sz w:val="16"/>
                <w:szCs w:val="16"/>
              </w:rPr>
              <w:t>Type of shipping</w:t>
            </w:r>
          </w:p>
        </w:tc>
        <w:tc>
          <w:tcPr>
            <w:tcW w:w="1620" w:type="dxa"/>
            <w:shd w:val="clear" w:color="auto" w:fill="B4C6E7" w:themeFill="accent1" w:themeFillTint="66"/>
            <w:noWrap/>
            <w:vAlign w:val="center"/>
            <w:hideMark/>
          </w:tcPr>
          <w:p w:rsidR="001E608F" w:rsidRPr="000D4580" w:rsidRDefault="001E608F" w:rsidP="00D140C1">
            <w:pPr>
              <w:spacing w:after="0" w:line="360" w:lineRule="auto"/>
              <w:jc w:val="center"/>
              <w:rPr>
                <w:rFonts w:asciiTheme="majorHAnsi" w:eastAsia="Times New Roman" w:hAnsiTheme="majorHAnsi" w:cstheme="majorHAnsi"/>
                <w:b/>
                <w:bCs/>
                <w:color w:val="000000"/>
                <w:sz w:val="16"/>
                <w:szCs w:val="16"/>
              </w:rPr>
            </w:pPr>
            <w:r w:rsidRPr="000D4580">
              <w:rPr>
                <w:rFonts w:asciiTheme="majorHAnsi" w:eastAsia="Times New Roman" w:hAnsiTheme="majorHAnsi" w:cstheme="majorHAnsi"/>
                <w:b/>
                <w:bCs/>
                <w:color w:val="000000"/>
                <w:sz w:val="16"/>
                <w:szCs w:val="16"/>
              </w:rPr>
              <w:t>Type of fuel</w:t>
            </w:r>
          </w:p>
        </w:tc>
        <w:tc>
          <w:tcPr>
            <w:tcW w:w="2340" w:type="dxa"/>
            <w:shd w:val="clear" w:color="auto" w:fill="D9E2F3" w:themeFill="accent1" w:themeFillTint="33"/>
            <w:vAlign w:val="center"/>
            <w:hideMark/>
          </w:tcPr>
          <w:p w:rsidR="001E608F" w:rsidRPr="000D4580" w:rsidRDefault="001E608F" w:rsidP="00D140C1">
            <w:pPr>
              <w:spacing w:after="0" w:line="360" w:lineRule="auto"/>
              <w:jc w:val="center"/>
              <w:rPr>
                <w:rFonts w:asciiTheme="majorHAnsi" w:eastAsia="Times New Roman" w:hAnsiTheme="majorHAnsi" w:cstheme="majorHAnsi"/>
                <w:b/>
                <w:bCs/>
                <w:color w:val="000000"/>
                <w:sz w:val="16"/>
                <w:szCs w:val="16"/>
              </w:rPr>
            </w:pPr>
            <w:r w:rsidRPr="000D4580">
              <w:rPr>
                <w:rFonts w:asciiTheme="majorHAnsi" w:eastAsia="Times New Roman" w:hAnsiTheme="majorHAnsi" w:cstheme="majorHAnsi"/>
                <w:b/>
                <w:bCs/>
                <w:color w:val="000000"/>
                <w:sz w:val="16"/>
                <w:szCs w:val="16"/>
              </w:rPr>
              <w:t>NCV</w:t>
            </w:r>
          </w:p>
        </w:tc>
        <w:tc>
          <w:tcPr>
            <w:tcW w:w="2590" w:type="dxa"/>
            <w:shd w:val="clear" w:color="auto" w:fill="D9E2F3" w:themeFill="accent1" w:themeFillTint="33"/>
            <w:vAlign w:val="center"/>
            <w:hideMark/>
          </w:tcPr>
          <w:p w:rsidR="001E608F" w:rsidRPr="000D4580" w:rsidRDefault="001E608F" w:rsidP="00D140C1">
            <w:pPr>
              <w:spacing w:after="0" w:line="360" w:lineRule="auto"/>
              <w:jc w:val="center"/>
              <w:rPr>
                <w:rFonts w:asciiTheme="majorHAnsi" w:eastAsia="Times New Roman" w:hAnsiTheme="majorHAnsi" w:cstheme="majorHAnsi"/>
                <w:b/>
                <w:bCs/>
                <w:color w:val="000000"/>
                <w:sz w:val="16"/>
                <w:szCs w:val="16"/>
              </w:rPr>
            </w:pPr>
            <w:r w:rsidRPr="000D4580">
              <w:rPr>
                <w:rFonts w:asciiTheme="majorHAnsi" w:eastAsia="Times New Roman" w:hAnsiTheme="majorHAnsi" w:cstheme="majorHAnsi"/>
                <w:b/>
                <w:bCs/>
                <w:color w:val="000000"/>
                <w:sz w:val="16"/>
                <w:szCs w:val="16"/>
              </w:rPr>
              <w:t xml:space="preserve">Annualized </w:t>
            </w:r>
            <w:r w:rsidRPr="000D4580">
              <w:rPr>
                <w:rFonts w:asciiTheme="majorHAnsi" w:eastAsia="Times New Roman" w:hAnsiTheme="majorHAnsi" w:cstheme="majorHAnsi"/>
                <w:b/>
                <w:bCs/>
                <w:color w:val="000000"/>
                <w:sz w:val="16"/>
                <w:szCs w:val="16"/>
              </w:rPr>
              <w:br/>
              <w:t>($M/</w:t>
            </w:r>
            <w:proofErr w:type="spellStart"/>
            <w:r w:rsidRPr="000D4580">
              <w:rPr>
                <w:rFonts w:asciiTheme="majorHAnsi" w:eastAsia="Times New Roman" w:hAnsiTheme="majorHAnsi" w:cstheme="majorHAnsi"/>
                <w:b/>
                <w:bCs/>
                <w:color w:val="000000"/>
                <w:sz w:val="16"/>
                <w:szCs w:val="16"/>
              </w:rPr>
              <w:t>GWa</w:t>
            </w:r>
            <w:proofErr w:type="spellEnd"/>
            <w:r w:rsidRPr="000D4580">
              <w:rPr>
                <w:rFonts w:asciiTheme="majorHAnsi" w:eastAsia="Times New Roman" w:hAnsiTheme="majorHAnsi" w:cstheme="majorHAnsi"/>
                <w:b/>
                <w:bCs/>
                <w:color w:val="000000"/>
                <w:sz w:val="16"/>
                <w:szCs w:val="16"/>
              </w:rPr>
              <w:t>)</w:t>
            </w:r>
          </w:p>
        </w:tc>
      </w:tr>
      <w:tr w:rsidR="001E608F" w:rsidRPr="000D4580" w:rsidTr="00B321B9">
        <w:trPr>
          <w:trHeight w:val="300"/>
          <w:jc w:val="center"/>
        </w:trPr>
        <w:tc>
          <w:tcPr>
            <w:tcW w:w="2155"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Liquid</w:t>
            </w:r>
          </w:p>
        </w:tc>
        <w:tc>
          <w:tcPr>
            <w:tcW w:w="162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Diesel</w:t>
            </w:r>
          </w:p>
        </w:tc>
        <w:tc>
          <w:tcPr>
            <w:tcW w:w="234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0.0007</w:t>
            </w:r>
          </w:p>
        </w:tc>
        <w:tc>
          <w:tcPr>
            <w:tcW w:w="259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5.86094E-08</w:t>
            </w:r>
          </w:p>
        </w:tc>
      </w:tr>
      <w:tr w:rsidR="001E608F" w:rsidRPr="000D4580" w:rsidTr="00B321B9">
        <w:trPr>
          <w:trHeight w:val="300"/>
          <w:jc w:val="center"/>
        </w:trPr>
        <w:tc>
          <w:tcPr>
            <w:tcW w:w="2155"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Liquid</w:t>
            </w:r>
          </w:p>
        </w:tc>
        <w:tc>
          <w:tcPr>
            <w:tcW w:w="162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LNG</w:t>
            </w:r>
          </w:p>
        </w:tc>
        <w:tc>
          <w:tcPr>
            <w:tcW w:w="234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0.0007</w:t>
            </w:r>
          </w:p>
        </w:tc>
        <w:tc>
          <w:tcPr>
            <w:tcW w:w="259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7.40329E-08</w:t>
            </w:r>
          </w:p>
        </w:tc>
      </w:tr>
      <w:tr w:rsidR="001E608F" w:rsidRPr="000D4580" w:rsidTr="00B321B9">
        <w:trPr>
          <w:trHeight w:val="300"/>
          <w:jc w:val="center"/>
        </w:trPr>
        <w:tc>
          <w:tcPr>
            <w:tcW w:w="2155"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Liquid</w:t>
            </w:r>
          </w:p>
        </w:tc>
        <w:tc>
          <w:tcPr>
            <w:tcW w:w="162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Electricity</w:t>
            </w:r>
          </w:p>
        </w:tc>
        <w:tc>
          <w:tcPr>
            <w:tcW w:w="234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0.0007</w:t>
            </w:r>
          </w:p>
        </w:tc>
        <w:tc>
          <w:tcPr>
            <w:tcW w:w="259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0.000148066</w:t>
            </w:r>
          </w:p>
        </w:tc>
      </w:tr>
      <w:tr w:rsidR="001E608F" w:rsidRPr="000D4580" w:rsidTr="00B321B9">
        <w:trPr>
          <w:trHeight w:val="300"/>
          <w:jc w:val="center"/>
        </w:trPr>
        <w:tc>
          <w:tcPr>
            <w:tcW w:w="2155"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Solid</w:t>
            </w:r>
          </w:p>
        </w:tc>
        <w:tc>
          <w:tcPr>
            <w:tcW w:w="162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Diesel</w:t>
            </w:r>
          </w:p>
        </w:tc>
        <w:tc>
          <w:tcPr>
            <w:tcW w:w="234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0.0014</w:t>
            </w:r>
          </w:p>
        </w:tc>
        <w:tc>
          <w:tcPr>
            <w:tcW w:w="259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7.95854E-08</w:t>
            </w:r>
          </w:p>
        </w:tc>
      </w:tr>
      <w:tr w:rsidR="001E608F" w:rsidRPr="000D4580" w:rsidTr="00B321B9">
        <w:trPr>
          <w:trHeight w:val="300"/>
          <w:jc w:val="center"/>
        </w:trPr>
        <w:tc>
          <w:tcPr>
            <w:tcW w:w="2155"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Solid</w:t>
            </w:r>
          </w:p>
        </w:tc>
        <w:tc>
          <w:tcPr>
            <w:tcW w:w="162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LNG</w:t>
            </w:r>
          </w:p>
        </w:tc>
        <w:tc>
          <w:tcPr>
            <w:tcW w:w="234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0.0014</w:t>
            </w:r>
          </w:p>
        </w:tc>
        <w:tc>
          <w:tcPr>
            <w:tcW w:w="259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1.10432E-07</w:t>
            </w:r>
          </w:p>
        </w:tc>
      </w:tr>
      <w:tr w:rsidR="001E608F" w:rsidRPr="000D4580" w:rsidTr="00B321B9">
        <w:trPr>
          <w:trHeight w:val="300"/>
          <w:jc w:val="center"/>
        </w:trPr>
        <w:tc>
          <w:tcPr>
            <w:tcW w:w="2155"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Solid</w:t>
            </w:r>
          </w:p>
        </w:tc>
        <w:tc>
          <w:tcPr>
            <w:tcW w:w="162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Electricity</w:t>
            </w:r>
          </w:p>
        </w:tc>
        <w:tc>
          <w:tcPr>
            <w:tcW w:w="234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0.0014</w:t>
            </w:r>
          </w:p>
        </w:tc>
        <w:tc>
          <w:tcPr>
            <w:tcW w:w="259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0.00220865</w:t>
            </w:r>
          </w:p>
        </w:tc>
      </w:tr>
      <w:tr w:rsidR="001E608F" w:rsidRPr="000D4580" w:rsidTr="00B321B9">
        <w:trPr>
          <w:trHeight w:val="300"/>
          <w:jc w:val="center"/>
        </w:trPr>
        <w:tc>
          <w:tcPr>
            <w:tcW w:w="2155"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LNG</w:t>
            </w:r>
          </w:p>
        </w:tc>
        <w:tc>
          <w:tcPr>
            <w:tcW w:w="162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Diesel</w:t>
            </w:r>
          </w:p>
        </w:tc>
        <w:tc>
          <w:tcPr>
            <w:tcW w:w="234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0.0007</w:t>
            </w:r>
          </w:p>
        </w:tc>
        <w:tc>
          <w:tcPr>
            <w:tcW w:w="259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1.38812E-07</w:t>
            </w:r>
          </w:p>
        </w:tc>
      </w:tr>
      <w:tr w:rsidR="001E608F" w:rsidRPr="000D4580" w:rsidTr="00B321B9">
        <w:trPr>
          <w:trHeight w:val="300"/>
          <w:jc w:val="center"/>
        </w:trPr>
        <w:tc>
          <w:tcPr>
            <w:tcW w:w="2155"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LNG</w:t>
            </w:r>
          </w:p>
        </w:tc>
        <w:tc>
          <w:tcPr>
            <w:tcW w:w="162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LNG</w:t>
            </w:r>
          </w:p>
        </w:tc>
        <w:tc>
          <w:tcPr>
            <w:tcW w:w="234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0.0007</w:t>
            </w:r>
          </w:p>
        </w:tc>
        <w:tc>
          <w:tcPr>
            <w:tcW w:w="259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1.54235E-07</w:t>
            </w:r>
          </w:p>
        </w:tc>
      </w:tr>
      <w:tr w:rsidR="001E608F" w:rsidRPr="000D4580" w:rsidTr="00B321B9">
        <w:trPr>
          <w:trHeight w:val="300"/>
          <w:jc w:val="center"/>
        </w:trPr>
        <w:tc>
          <w:tcPr>
            <w:tcW w:w="2155"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LNG</w:t>
            </w:r>
          </w:p>
        </w:tc>
        <w:tc>
          <w:tcPr>
            <w:tcW w:w="162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Electricity</w:t>
            </w:r>
          </w:p>
        </w:tc>
        <w:tc>
          <w:tcPr>
            <w:tcW w:w="234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0.0007</w:t>
            </w:r>
          </w:p>
        </w:tc>
        <w:tc>
          <w:tcPr>
            <w:tcW w:w="2590" w:type="dxa"/>
            <w:shd w:val="clear" w:color="auto" w:fill="auto"/>
            <w:noWrap/>
            <w:vAlign w:val="center"/>
            <w:hideMark/>
          </w:tcPr>
          <w:p w:rsidR="001E608F" w:rsidRPr="000D4580" w:rsidRDefault="001E608F" w:rsidP="00D140C1">
            <w:pPr>
              <w:spacing w:after="0" w:line="360" w:lineRule="auto"/>
              <w:jc w:val="center"/>
              <w:rPr>
                <w:rFonts w:asciiTheme="majorHAnsi" w:eastAsia="Times New Roman" w:hAnsiTheme="majorHAnsi" w:cstheme="majorHAnsi"/>
                <w:color w:val="000000"/>
                <w:sz w:val="16"/>
                <w:szCs w:val="16"/>
              </w:rPr>
            </w:pPr>
            <w:r w:rsidRPr="000D4580">
              <w:rPr>
                <w:rFonts w:asciiTheme="majorHAnsi" w:eastAsia="Times New Roman" w:hAnsiTheme="majorHAnsi" w:cstheme="majorHAnsi"/>
                <w:color w:val="000000"/>
                <w:sz w:val="16"/>
                <w:szCs w:val="16"/>
              </w:rPr>
              <w:t>0.003084706</w:t>
            </w:r>
          </w:p>
        </w:tc>
      </w:tr>
    </w:tbl>
    <w:p w:rsidR="001E608F" w:rsidRPr="000D4580" w:rsidRDefault="001E608F" w:rsidP="000D4580">
      <w:pPr>
        <w:pStyle w:val="Caption"/>
        <w:rPr>
          <w:rFonts w:asciiTheme="majorHAnsi" w:hAnsiTheme="majorHAnsi" w:cstheme="majorHAnsi"/>
          <w:i w:val="0"/>
          <w:color w:val="auto"/>
          <w:sz w:val="20"/>
          <w:szCs w:val="20"/>
        </w:rPr>
      </w:pPr>
      <w:r w:rsidRPr="000D4580">
        <w:rPr>
          <w:rFonts w:asciiTheme="majorHAnsi" w:hAnsiTheme="majorHAnsi" w:cstheme="majorHAnsi"/>
          <w:b/>
          <w:i w:val="0"/>
          <w:color w:val="auto"/>
          <w:sz w:val="20"/>
          <w:szCs w:val="20"/>
        </w:rPr>
        <w:t xml:space="preserve">Table </w:t>
      </w:r>
      <w:r w:rsidR="00130412">
        <w:rPr>
          <w:rFonts w:asciiTheme="majorHAnsi" w:hAnsiTheme="majorHAnsi" w:cstheme="majorHAnsi"/>
          <w:b/>
          <w:i w:val="0"/>
          <w:color w:val="auto"/>
          <w:sz w:val="20"/>
          <w:szCs w:val="20"/>
        </w:rPr>
        <w:t>9</w:t>
      </w:r>
      <w:r w:rsidRPr="000D4580">
        <w:rPr>
          <w:rFonts w:asciiTheme="majorHAnsi" w:hAnsiTheme="majorHAnsi" w:cstheme="majorHAnsi"/>
          <w:b/>
          <w:i w:val="0"/>
          <w:color w:val="auto"/>
          <w:sz w:val="20"/>
          <w:szCs w:val="20"/>
        </w:rPr>
        <w:t xml:space="preserve">. </w:t>
      </w:r>
      <w:r w:rsidRPr="000D4580">
        <w:rPr>
          <w:rFonts w:asciiTheme="majorHAnsi" w:hAnsiTheme="majorHAnsi" w:cstheme="majorHAnsi"/>
          <w:bCs/>
          <w:i w:val="0"/>
          <w:color w:val="auto"/>
          <w:sz w:val="20"/>
          <w:szCs w:val="20"/>
        </w:rPr>
        <w:t xml:space="preserve">Author-calculated costs converted into per </w:t>
      </w:r>
      <w:proofErr w:type="spellStart"/>
      <w:r w:rsidRPr="000D4580">
        <w:rPr>
          <w:rFonts w:asciiTheme="majorHAnsi" w:hAnsiTheme="majorHAnsi" w:cstheme="majorHAnsi"/>
          <w:bCs/>
          <w:i w:val="0"/>
          <w:color w:val="auto"/>
          <w:sz w:val="20"/>
          <w:szCs w:val="20"/>
        </w:rPr>
        <w:t>GWa</w:t>
      </w:r>
      <w:proofErr w:type="spellEnd"/>
      <w:r w:rsidRPr="000D4580">
        <w:rPr>
          <w:rFonts w:asciiTheme="majorHAnsi" w:hAnsiTheme="majorHAnsi" w:cstheme="majorHAnsi"/>
          <w:bCs/>
          <w:i w:val="0"/>
          <w:color w:val="auto"/>
          <w:sz w:val="20"/>
          <w:szCs w:val="20"/>
        </w:rPr>
        <w:t xml:space="preserve"> units</w:t>
      </w:r>
      <w:r w:rsidRPr="000D4580">
        <w:rPr>
          <w:rFonts w:asciiTheme="majorHAnsi" w:hAnsiTheme="majorHAnsi" w:cstheme="majorHAnsi"/>
          <w:i w:val="0"/>
          <w:color w:val="auto"/>
          <w:sz w:val="20"/>
          <w:szCs w:val="20"/>
        </w:rPr>
        <w:t xml:space="preserve">. </w:t>
      </w:r>
      <w:proofErr w:type="spellStart"/>
      <w:r w:rsidRPr="000D4580">
        <w:rPr>
          <w:rFonts w:asciiTheme="majorHAnsi" w:hAnsiTheme="majorHAnsi" w:cstheme="majorHAnsi"/>
          <w:i w:val="0"/>
          <w:color w:val="auto"/>
          <w:sz w:val="20"/>
          <w:szCs w:val="20"/>
        </w:rPr>
        <w:t>GWa</w:t>
      </w:r>
      <w:proofErr w:type="spellEnd"/>
      <w:r w:rsidRPr="000D4580">
        <w:rPr>
          <w:rFonts w:asciiTheme="majorHAnsi" w:hAnsiTheme="majorHAnsi" w:cstheme="majorHAnsi"/>
          <w:i w:val="0"/>
          <w:color w:val="auto"/>
          <w:sz w:val="20"/>
          <w:szCs w:val="20"/>
        </w:rPr>
        <w:t xml:space="preserve"> are the energy units used in the MESSAGE model. Based data from </w:t>
      </w:r>
      <w:proofErr w:type="spellStart"/>
      <w:r w:rsidRPr="000D4580">
        <w:rPr>
          <w:rFonts w:asciiTheme="majorHAnsi" w:hAnsiTheme="majorHAnsi" w:cstheme="majorHAnsi"/>
          <w:i w:val="0"/>
          <w:color w:val="auto"/>
          <w:sz w:val="20"/>
          <w:szCs w:val="20"/>
        </w:rPr>
        <w:t>Johannson</w:t>
      </w:r>
      <w:proofErr w:type="spellEnd"/>
      <w:r w:rsidRPr="000D4580">
        <w:rPr>
          <w:rFonts w:asciiTheme="majorHAnsi" w:hAnsiTheme="majorHAnsi" w:cstheme="majorHAnsi"/>
          <w:i w:val="0"/>
          <w:color w:val="auto"/>
          <w:sz w:val="20"/>
          <w:szCs w:val="20"/>
        </w:rPr>
        <w:t xml:space="preserve"> et al. (2017), International Energy Agency, International Maritime Organization, and DNV-GL </w:t>
      </w:r>
      <w:r w:rsidRPr="000D4580">
        <w:rPr>
          <w:rFonts w:asciiTheme="majorHAnsi" w:hAnsiTheme="majorHAnsi" w:cstheme="majorHAnsi"/>
          <w:i w:val="0"/>
          <w:color w:val="auto"/>
          <w:sz w:val="20"/>
          <w:szCs w:val="20"/>
        </w:rPr>
        <w:fldChar w:fldCharType="begin" w:fldLock="1"/>
      </w:r>
      <w:r w:rsidRPr="000D4580">
        <w:rPr>
          <w:rFonts w:asciiTheme="majorHAnsi" w:hAnsiTheme="majorHAnsi" w:cstheme="majorHAnsi"/>
          <w:i w:val="0"/>
          <w:color w:val="auto"/>
          <w:sz w:val="20"/>
          <w:szCs w:val="20"/>
        </w:rPr>
        <w:instrText>ADDIN CSL_CITATION {"citationItems":[{"id":"ITEM-1","itemData":{"DOI":"10.1016/j.atmosenv.2017.08.042","ISSN":"18732844","abstract":"We present a comprehensive global shipping emission inventory and the global activities of ships for the year 2015. The emissions were evaluated using the Ship Traffic Emission Assessment Model (STEAM3), which uses Automatic Identification System data to describe the traffic activities of ships. We have improved the model regarding (i) the evaluation of the missing technical specifications of ships, and (ii) the treatment of shipping activities in case of sparse satellite AIS-data. We have developed a model for the collection and processing of available information on the technical specifications, using data assimilation techniques. We have also developed a path regeneration model that constructs, whenever necessary, the detailed geometry of the ship routes. The presented results for fuel consumption were qualitatively in agreement both with those in the 3rd Greenhouse Gas Study of the International Maritime Organisation and those reported by the International Energy Agency. We have also presented high-resolution global spatial distributions of the shipping emissions of NOx, CO2, SO2and PM2.5. The emissions were also analysed in terms of selected sea areas, ship categories, the sizes of ships and flag states. The emission datasets provided by this study are available upon request; the datasets produced by the model can be utilized as input data for air quality modelling on a global scale, including the full temporal and spatial variation of shipping emissions for the first time. Dispersion modelling using this inventory as input can be used to assess the impacts of various emission abatement scenarios. The emission computation methods presented in this paper could also be used, e.g., to provide annual updates of the global ship emissions.","author":[{"dropping-particle":"","family":"Johansson","given":"Lasse","non-dropping-particle":"","parse-names":false,"suffix":""},{"dropping-particle":"","family":"Jalkanen","given":"Jukka Pekka","non-dropping-particle":"","parse-names":false,"suffix":""},{"dropping-particle":"","family":"Kukkonen","given":"Jaakko","non-dropping-particle":"","parse-names":false,"suffix":""}],"container-title":"Atmospheric Environment","id":"ITEM-1","issued":{"date-parts":[["2017"]]},"title":"Global assessment of shipping emissions in 2015 on a high spatial and temporal resolution","type":"article-journal"},"uris":["http://www.mendeley.com/documents/?uuid=127fb05d-c98f-4082-8137-6695c11a2644"]},{"id":"ITEM-2","itemData":{"author":[{"dropping-particle":"","family":"Erhorn","given":"Torben","non-dropping-particle":"","parse-names":false,"suffix":""},{"dropping-particle":"","family":"Schnack","given":"Petra","non-dropping-particle":"","parse-names":false,"suffix":""},{"dropping-particle":"","family":"Krüger","given":"Marcus","non-dropping-particle":"","parse-names":false,"suffix":""}],"id":"ITEM-2","issued":{"date-parts":[["2014"]]},"publisher-place":"Hamburg","title":"LNG Ship Fuel: The Future Today","type":"report"},"uris":["http://www.mendeley.com/documents/?uuid=7538367e-e26e-46ad-b9c1-88fb553aa03f"]},{"id":"ITEM-3","itemData":{"author":[{"dropping-particle":"","family":"Energy Technology Systems Analysis Programme","given":"","non-dropping-particle":"","parse-names":false,"suffix":""}],"id":"ITEM-3","issued":{"date-parts":[["2011"]]},"publisher-place":"Paris","title":"Shipping Transport","type":"report"},"uris":["http://www.mendeley.com/documents/?uuid=42a27c47-be81-429b-a0e8-bc073c8247c5"]},{"id":"ITEM-4","itemData":{"DOI":"10.1787/energy_tech-2014-en","ISBN":"978-92-64-17488-7","abstract":"Demonstate how technologies can contribute towards the 2C target; 20 Million electrical vehicles 2020; CLEAN ENERGY MINISTERIAL; SEAD Super Efficient Equipment and Appliance and Deployment Initiative - global best practices in building energy energy codes;","author":[{"dropping-particle":"","family":"International Energy Agency","given":"","non-dropping-particle":"","parse-names":false,"suffix":""}],"container-title":"Technology","id":"ITEM-4","issued":{"date-parts":[["2017"]]},"title":"Tracking Clean Energy Progress","type":"article-journal"},"uris":["http://www.mendeley.com/documents/?uuid=caa71fb2-4c09-46f9-a7bc-8d34d73a70fd"]},{"id":"ITEM-5","itemData":{"author":[{"dropping-particle":"","family":"International Maritime Organization","given":"","non-dropping-particle":"","parse-names":false,"suffix":""}],"container-title":"Global maritime energy eﬀiciency partnerships","id":"ITEM-5","issued":{"date-parts":[["2019"]]},"title":"Fleet and CO2 Calculator","type":"webpage"},"uris":["http://www.mendeley.com/documents/?uuid=bdd13837-9438-4d29-9f80-761076a44e96"]}],"mendeley":{"formattedCitation":"[1–5]","plainTextFormattedCitation":"[1–5]"},"properties":{"noteIndex":0},"schema":"https://github.com/citation-style-language/schema/raw/master/csl-citation.json"}</w:instrText>
      </w:r>
      <w:r w:rsidRPr="000D4580">
        <w:rPr>
          <w:rFonts w:asciiTheme="majorHAnsi" w:hAnsiTheme="majorHAnsi" w:cstheme="majorHAnsi"/>
          <w:i w:val="0"/>
          <w:color w:val="auto"/>
          <w:sz w:val="20"/>
          <w:szCs w:val="20"/>
        </w:rPr>
        <w:fldChar w:fldCharType="separate"/>
      </w:r>
      <w:r w:rsidRPr="000D4580">
        <w:rPr>
          <w:rFonts w:asciiTheme="majorHAnsi" w:hAnsiTheme="majorHAnsi" w:cstheme="majorHAnsi"/>
          <w:i w:val="0"/>
          <w:noProof/>
          <w:color w:val="auto"/>
          <w:sz w:val="20"/>
          <w:szCs w:val="20"/>
        </w:rPr>
        <w:t>[1–5]</w:t>
      </w:r>
      <w:r w:rsidRPr="000D4580">
        <w:rPr>
          <w:rFonts w:asciiTheme="majorHAnsi" w:hAnsiTheme="majorHAnsi" w:cstheme="majorHAnsi"/>
          <w:i w:val="0"/>
          <w:color w:val="auto"/>
          <w:sz w:val="20"/>
          <w:szCs w:val="20"/>
        </w:rPr>
        <w:fldChar w:fldCharType="end"/>
      </w:r>
      <w:r w:rsidRPr="000D4580">
        <w:rPr>
          <w:rFonts w:asciiTheme="majorHAnsi" w:hAnsiTheme="majorHAnsi" w:cstheme="majorHAnsi"/>
          <w:i w:val="0"/>
          <w:color w:val="auto"/>
          <w:sz w:val="20"/>
          <w:szCs w:val="20"/>
        </w:rPr>
        <w:t xml:space="preserve">. </w:t>
      </w: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9F0E6C" w:rsidP="00D140C1">
      <w:pPr>
        <w:pStyle w:val="Heading1"/>
        <w:spacing w:line="360" w:lineRule="auto"/>
        <w:rPr>
          <w:rFonts w:cstheme="majorHAnsi"/>
        </w:rPr>
      </w:pPr>
      <w:bookmarkStart w:id="7" w:name="_Toc20722962"/>
      <w:r w:rsidRPr="000D4580">
        <w:rPr>
          <w:rFonts w:cstheme="majorHAnsi"/>
        </w:rPr>
        <w:lastRenderedPageBreak/>
        <w:t>9</w:t>
      </w:r>
      <w:r w:rsidR="001E608F" w:rsidRPr="000D4580">
        <w:rPr>
          <w:rFonts w:cstheme="majorHAnsi"/>
        </w:rPr>
        <w:tab/>
        <w:t>HS6 and IEA to MESSAGE energy commodities</w:t>
      </w:r>
      <w:bookmarkEnd w:id="7"/>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r w:rsidRPr="000D4580">
        <w:rPr>
          <w:rFonts w:asciiTheme="majorHAnsi" w:hAnsiTheme="majorHAnsi" w:cstheme="majorHAnsi"/>
        </w:rPr>
        <w:t>The following table lists the correspondences of HS6 product code and IEA fuels to MESSAGE-represented energy commodity. Note that the IEA values are only used for data validation.</w:t>
      </w:r>
    </w:p>
    <w:p w:rsidR="001E608F" w:rsidRPr="000D4580" w:rsidRDefault="001E608F" w:rsidP="00D140C1">
      <w:pPr>
        <w:spacing w:line="360" w:lineRule="auto"/>
        <w:rPr>
          <w:rFonts w:asciiTheme="majorHAnsi" w:hAnsiTheme="majorHAnsi" w:cstheme="majorHAnsi"/>
        </w:rPr>
      </w:pPr>
    </w:p>
    <w:tbl>
      <w:tblPr>
        <w:tblStyle w:val="TableGrid"/>
        <w:tblW w:w="0" w:type="auto"/>
        <w:jc w:val="center"/>
        <w:tblLook w:val="04A0" w:firstRow="1" w:lastRow="0" w:firstColumn="1" w:lastColumn="0" w:noHBand="0" w:noVBand="1"/>
      </w:tblPr>
      <w:tblGrid>
        <w:gridCol w:w="2689"/>
        <w:gridCol w:w="2756"/>
        <w:gridCol w:w="2740"/>
      </w:tblGrid>
      <w:tr w:rsidR="001E608F" w:rsidRPr="000D4580" w:rsidTr="00B321B9">
        <w:trPr>
          <w:jc w:val="center"/>
        </w:trPr>
        <w:tc>
          <w:tcPr>
            <w:tcW w:w="2689" w:type="dxa"/>
            <w:shd w:val="clear" w:color="auto" w:fill="D9E2F3" w:themeFill="accent1" w:themeFillTint="33"/>
          </w:tcPr>
          <w:p w:rsidR="001E608F" w:rsidRPr="000D4580" w:rsidRDefault="001E608F" w:rsidP="000D4580">
            <w:pPr>
              <w:jc w:val="center"/>
              <w:rPr>
                <w:rFonts w:asciiTheme="majorHAnsi" w:hAnsiTheme="majorHAnsi" w:cstheme="majorHAnsi"/>
                <w:b/>
                <w:bCs/>
                <w:sz w:val="18"/>
                <w:szCs w:val="18"/>
              </w:rPr>
            </w:pPr>
          </w:p>
          <w:p w:rsidR="001E608F" w:rsidRPr="000D4580" w:rsidRDefault="001E608F" w:rsidP="000D4580">
            <w:pPr>
              <w:jc w:val="center"/>
              <w:rPr>
                <w:rFonts w:asciiTheme="majorHAnsi" w:hAnsiTheme="majorHAnsi" w:cstheme="majorHAnsi"/>
                <w:b/>
                <w:bCs/>
                <w:sz w:val="18"/>
                <w:szCs w:val="18"/>
              </w:rPr>
            </w:pPr>
            <w:r w:rsidRPr="000D4580">
              <w:rPr>
                <w:rFonts w:asciiTheme="majorHAnsi" w:hAnsiTheme="majorHAnsi" w:cstheme="majorHAnsi"/>
                <w:b/>
                <w:bCs/>
                <w:sz w:val="18"/>
                <w:szCs w:val="18"/>
              </w:rPr>
              <w:t>MESSAGE Energy Commodity</w:t>
            </w:r>
          </w:p>
        </w:tc>
        <w:tc>
          <w:tcPr>
            <w:tcW w:w="2756" w:type="dxa"/>
            <w:shd w:val="clear" w:color="auto" w:fill="D9E2F3" w:themeFill="accent1" w:themeFillTint="33"/>
          </w:tcPr>
          <w:p w:rsidR="001E608F" w:rsidRPr="000D4580" w:rsidRDefault="001E608F" w:rsidP="000D4580">
            <w:pPr>
              <w:jc w:val="center"/>
              <w:rPr>
                <w:rFonts w:asciiTheme="majorHAnsi" w:hAnsiTheme="majorHAnsi" w:cstheme="majorHAnsi"/>
                <w:b/>
                <w:bCs/>
                <w:sz w:val="18"/>
                <w:szCs w:val="18"/>
              </w:rPr>
            </w:pPr>
          </w:p>
          <w:p w:rsidR="001E608F" w:rsidRPr="000D4580" w:rsidRDefault="001E608F" w:rsidP="000D4580">
            <w:pPr>
              <w:jc w:val="center"/>
              <w:rPr>
                <w:rFonts w:asciiTheme="majorHAnsi" w:hAnsiTheme="majorHAnsi" w:cstheme="majorHAnsi"/>
                <w:b/>
                <w:bCs/>
                <w:sz w:val="18"/>
                <w:szCs w:val="18"/>
              </w:rPr>
            </w:pPr>
            <w:r w:rsidRPr="000D4580">
              <w:rPr>
                <w:rFonts w:asciiTheme="majorHAnsi" w:hAnsiTheme="majorHAnsi" w:cstheme="majorHAnsi"/>
                <w:b/>
                <w:bCs/>
                <w:sz w:val="18"/>
                <w:szCs w:val="18"/>
              </w:rPr>
              <w:t>HS6 Code</w:t>
            </w:r>
          </w:p>
          <w:p w:rsidR="001E608F" w:rsidRPr="000D4580" w:rsidRDefault="001E608F" w:rsidP="000D4580">
            <w:pPr>
              <w:jc w:val="center"/>
              <w:rPr>
                <w:rFonts w:asciiTheme="majorHAnsi" w:hAnsiTheme="majorHAnsi" w:cstheme="majorHAnsi"/>
                <w:b/>
                <w:bCs/>
                <w:sz w:val="18"/>
                <w:szCs w:val="18"/>
              </w:rPr>
            </w:pPr>
          </w:p>
        </w:tc>
        <w:tc>
          <w:tcPr>
            <w:tcW w:w="2740" w:type="dxa"/>
            <w:shd w:val="clear" w:color="auto" w:fill="D9E2F3" w:themeFill="accent1" w:themeFillTint="33"/>
          </w:tcPr>
          <w:p w:rsidR="001E608F" w:rsidRPr="000D4580" w:rsidRDefault="001E608F" w:rsidP="000D4580">
            <w:pPr>
              <w:jc w:val="center"/>
              <w:rPr>
                <w:rFonts w:asciiTheme="majorHAnsi" w:hAnsiTheme="majorHAnsi" w:cstheme="majorHAnsi"/>
                <w:b/>
                <w:bCs/>
                <w:sz w:val="18"/>
                <w:szCs w:val="18"/>
              </w:rPr>
            </w:pPr>
          </w:p>
          <w:p w:rsidR="001E608F" w:rsidRPr="000D4580" w:rsidRDefault="001E608F" w:rsidP="000D4580">
            <w:pPr>
              <w:jc w:val="center"/>
              <w:rPr>
                <w:rFonts w:asciiTheme="majorHAnsi" w:hAnsiTheme="majorHAnsi" w:cstheme="majorHAnsi"/>
                <w:b/>
                <w:bCs/>
                <w:sz w:val="18"/>
                <w:szCs w:val="18"/>
              </w:rPr>
            </w:pPr>
            <w:r w:rsidRPr="000D4580">
              <w:rPr>
                <w:rFonts w:asciiTheme="majorHAnsi" w:hAnsiTheme="majorHAnsi" w:cstheme="majorHAnsi"/>
                <w:b/>
                <w:bCs/>
                <w:sz w:val="18"/>
                <w:szCs w:val="18"/>
              </w:rPr>
              <w:t>IEA Fuel</w:t>
            </w:r>
          </w:p>
        </w:tc>
      </w:tr>
      <w:tr w:rsidR="001E608F" w:rsidRPr="000D4580" w:rsidTr="00B321B9">
        <w:trPr>
          <w:jc w:val="center"/>
        </w:trPr>
        <w:tc>
          <w:tcPr>
            <w:tcW w:w="2689" w:type="dxa"/>
          </w:tcPr>
          <w:p w:rsidR="001E608F" w:rsidRPr="000D4580" w:rsidRDefault="001E608F" w:rsidP="000D4580">
            <w:pPr>
              <w:jc w:val="center"/>
              <w:rPr>
                <w:rFonts w:asciiTheme="majorHAnsi" w:hAnsiTheme="majorHAnsi" w:cstheme="majorHAnsi"/>
                <w:sz w:val="18"/>
                <w:szCs w:val="18"/>
              </w:rPr>
            </w:pPr>
            <w:r w:rsidRPr="000D4580">
              <w:rPr>
                <w:rFonts w:asciiTheme="majorHAnsi" w:hAnsiTheme="majorHAnsi" w:cstheme="majorHAnsi"/>
                <w:sz w:val="18"/>
                <w:szCs w:val="18"/>
              </w:rPr>
              <w:t>Coal</w:t>
            </w:r>
          </w:p>
        </w:tc>
        <w:tc>
          <w:tcPr>
            <w:tcW w:w="2756" w:type="dxa"/>
          </w:tcPr>
          <w:p w:rsidR="001E608F" w:rsidRPr="000D4580" w:rsidRDefault="001E608F" w:rsidP="000D4580">
            <w:pPr>
              <w:rPr>
                <w:rFonts w:asciiTheme="majorHAnsi" w:hAnsiTheme="majorHAnsi" w:cstheme="majorHAnsi"/>
                <w:sz w:val="18"/>
                <w:szCs w:val="18"/>
              </w:rPr>
            </w:pPr>
            <w:r w:rsidRPr="000D4580">
              <w:rPr>
                <w:rFonts w:asciiTheme="majorHAnsi" w:hAnsiTheme="majorHAnsi" w:cstheme="majorHAnsi"/>
                <w:sz w:val="18"/>
                <w:szCs w:val="18"/>
              </w:rPr>
              <w:t>270111, 270112, 270119, 270120, 270210, 270220, 270400</w:t>
            </w:r>
          </w:p>
        </w:tc>
        <w:tc>
          <w:tcPr>
            <w:tcW w:w="2740" w:type="dxa"/>
          </w:tcPr>
          <w:p w:rsidR="001E608F" w:rsidRPr="000D4580" w:rsidRDefault="001E608F" w:rsidP="000D4580">
            <w:pPr>
              <w:rPr>
                <w:rFonts w:asciiTheme="majorHAnsi" w:hAnsiTheme="majorHAnsi" w:cstheme="majorHAnsi"/>
                <w:sz w:val="18"/>
                <w:szCs w:val="18"/>
              </w:rPr>
            </w:pPr>
            <w:r w:rsidRPr="000D4580">
              <w:rPr>
                <w:rFonts w:asciiTheme="majorHAnsi" w:hAnsiTheme="majorHAnsi" w:cstheme="majorHAnsi"/>
                <w:sz w:val="18"/>
                <w:szCs w:val="18"/>
              </w:rPr>
              <w:t>“Coal and coal products”</w:t>
            </w:r>
          </w:p>
        </w:tc>
      </w:tr>
      <w:tr w:rsidR="001E608F" w:rsidRPr="000D4580" w:rsidTr="00B321B9">
        <w:trPr>
          <w:jc w:val="center"/>
        </w:trPr>
        <w:tc>
          <w:tcPr>
            <w:tcW w:w="2689" w:type="dxa"/>
          </w:tcPr>
          <w:p w:rsidR="001E608F" w:rsidRPr="000D4580" w:rsidRDefault="001E608F" w:rsidP="000D4580">
            <w:pPr>
              <w:jc w:val="center"/>
              <w:rPr>
                <w:rFonts w:asciiTheme="majorHAnsi" w:hAnsiTheme="majorHAnsi" w:cstheme="majorHAnsi"/>
                <w:sz w:val="18"/>
                <w:szCs w:val="18"/>
              </w:rPr>
            </w:pPr>
            <w:r w:rsidRPr="000D4580">
              <w:rPr>
                <w:rFonts w:asciiTheme="majorHAnsi" w:hAnsiTheme="majorHAnsi" w:cstheme="majorHAnsi"/>
                <w:sz w:val="18"/>
                <w:szCs w:val="18"/>
              </w:rPr>
              <w:t>Crude oil</w:t>
            </w:r>
          </w:p>
        </w:tc>
        <w:tc>
          <w:tcPr>
            <w:tcW w:w="2756" w:type="dxa"/>
          </w:tcPr>
          <w:p w:rsidR="001E608F" w:rsidRPr="000D4580" w:rsidRDefault="001E608F" w:rsidP="000D4580">
            <w:pPr>
              <w:rPr>
                <w:rFonts w:asciiTheme="majorHAnsi" w:hAnsiTheme="majorHAnsi" w:cstheme="majorHAnsi"/>
                <w:sz w:val="18"/>
                <w:szCs w:val="18"/>
              </w:rPr>
            </w:pPr>
            <w:r w:rsidRPr="000D4580">
              <w:rPr>
                <w:rFonts w:asciiTheme="majorHAnsi" w:hAnsiTheme="majorHAnsi" w:cstheme="majorHAnsi"/>
                <w:sz w:val="18"/>
                <w:szCs w:val="18"/>
              </w:rPr>
              <w:t>270900</w:t>
            </w:r>
          </w:p>
        </w:tc>
        <w:tc>
          <w:tcPr>
            <w:tcW w:w="2740" w:type="dxa"/>
          </w:tcPr>
          <w:p w:rsidR="001E608F" w:rsidRPr="000D4580" w:rsidRDefault="001E608F" w:rsidP="000D4580">
            <w:pPr>
              <w:rPr>
                <w:rFonts w:asciiTheme="majorHAnsi" w:hAnsiTheme="majorHAnsi" w:cstheme="majorHAnsi"/>
                <w:sz w:val="18"/>
                <w:szCs w:val="18"/>
              </w:rPr>
            </w:pPr>
            <w:r w:rsidRPr="000D4580">
              <w:rPr>
                <w:rFonts w:asciiTheme="majorHAnsi" w:hAnsiTheme="majorHAnsi" w:cstheme="majorHAnsi"/>
                <w:sz w:val="18"/>
                <w:szCs w:val="18"/>
              </w:rPr>
              <w:t xml:space="preserve">“Crude, NGL, and </w:t>
            </w:r>
            <w:proofErr w:type="spellStart"/>
            <w:r w:rsidRPr="000D4580">
              <w:rPr>
                <w:rFonts w:asciiTheme="majorHAnsi" w:hAnsiTheme="majorHAnsi" w:cstheme="majorHAnsi"/>
                <w:sz w:val="18"/>
                <w:szCs w:val="18"/>
              </w:rPr>
              <w:t>feedstocks</w:t>
            </w:r>
            <w:proofErr w:type="spellEnd"/>
            <w:r w:rsidRPr="000D4580">
              <w:rPr>
                <w:rFonts w:asciiTheme="majorHAnsi" w:hAnsiTheme="majorHAnsi" w:cstheme="majorHAnsi"/>
                <w:sz w:val="18"/>
                <w:szCs w:val="18"/>
              </w:rPr>
              <w:t>”; “Oil shale and oil sands”</w:t>
            </w:r>
          </w:p>
        </w:tc>
      </w:tr>
      <w:tr w:rsidR="001E608F" w:rsidRPr="000D4580" w:rsidTr="00B321B9">
        <w:trPr>
          <w:jc w:val="center"/>
        </w:trPr>
        <w:tc>
          <w:tcPr>
            <w:tcW w:w="2689" w:type="dxa"/>
          </w:tcPr>
          <w:p w:rsidR="001E608F" w:rsidRPr="000D4580" w:rsidRDefault="001E608F" w:rsidP="000D4580">
            <w:pPr>
              <w:jc w:val="center"/>
              <w:rPr>
                <w:rFonts w:asciiTheme="majorHAnsi" w:hAnsiTheme="majorHAnsi" w:cstheme="majorHAnsi"/>
                <w:sz w:val="18"/>
                <w:szCs w:val="18"/>
              </w:rPr>
            </w:pPr>
            <w:r w:rsidRPr="000D4580">
              <w:rPr>
                <w:rFonts w:asciiTheme="majorHAnsi" w:hAnsiTheme="majorHAnsi" w:cstheme="majorHAnsi"/>
                <w:sz w:val="18"/>
                <w:szCs w:val="18"/>
              </w:rPr>
              <w:t>Fuel oil</w:t>
            </w:r>
          </w:p>
        </w:tc>
        <w:tc>
          <w:tcPr>
            <w:tcW w:w="2756" w:type="dxa"/>
          </w:tcPr>
          <w:p w:rsidR="001E608F" w:rsidRPr="000D4580" w:rsidRDefault="001E608F" w:rsidP="000D4580">
            <w:pPr>
              <w:rPr>
                <w:rFonts w:asciiTheme="majorHAnsi" w:hAnsiTheme="majorHAnsi" w:cstheme="majorHAnsi"/>
                <w:sz w:val="18"/>
                <w:szCs w:val="18"/>
              </w:rPr>
            </w:pPr>
            <w:r w:rsidRPr="000D4580">
              <w:rPr>
                <w:rFonts w:asciiTheme="majorHAnsi" w:hAnsiTheme="majorHAnsi" w:cstheme="majorHAnsi"/>
                <w:sz w:val="18"/>
                <w:szCs w:val="18"/>
              </w:rPr>
              <w:t>27071, 270720, 270730, 270740, 270750, 270760, 270791, 270799, 271000, 271012, 271019, 271020, 271311, 271312, 271320, 271390</w:t>
            </w:r>
          </w:p>
        </w:tc>
        <w:tc>
          <w:tcPr>
            <w:tcW w:w="2740" w:type="dxa"/>
          </w:tcPr>
          <w:p w:rsidR="001E608F" w:rsidRPr="000D4580" w:rsidRDefault="001E608F" w:rsidP="000D4580">
            <w:pPr>
              <w:rPr>
                <w:rFonts w:asciiTheme="majorHAnsi" w:hAnsiTheme="majorHAnsi" w:cstheme="majorHAnsi"/>
                <w:sz w:val="18"/>
                <w:szCs w:val="18"/>
              </w:rPr>
            </w:pPr>
            <w:r w:rsidRPr="000D4580">
              <w:rPr>
                <w:rFonts w:asciiTheme="majorHAnsi" w:hAnsiTheme="majorHAnsi" w:cstheme="majorHAnsi"/>
                <w:sz w:val="18"/>
                <w:szCs w:val="18"/>
              </w:rPr>
              <w:t>“Oil products”</w:t>
            </w:r>
          </w:p>
        </w:tc>
      </w:tr>
      <w:tr w:rsidR="001E608F" w:rsidRPr="000D4580" w:rsidTr="00B321B9">
        <w:trPr>
          <w:jc w:val="center"/>
        </w:trPr>
        <w:tc>
          <w:tcPr>
            <w:tcW w:w="2689" w:type="dxa"/>
          </w:tcPr>
          <w:p w:rsidR="001E608F" w:rsidRPr="000D4580" w:rsidRDefault="001E608F" w:rsidP="000D4580">
            <w:pPr>
              <w:jc w:val="center"/>
              <w:rPr>
                <w:rFonts w:asciiTheme="majorHAnsi" w:hAnsiTheme="majorHAnsi" w:cstheme="majorHAnsi"/>
                <w:sz w:val="18"/>
                <w:szCs w:val="18"/>
              </w:rPr>
            </w:pPr>
            <w:r w:rsidRPr="000D4580">
              <w:rPr>
                <w:rFonts w:asciiTheme="majorHAnsi" w:hAnsiTheme="majorHAnsi" w:cstheme="majorHAnsi"/>
                <w:sz w:val="18"/>
                <w:szCs w:val="18"/>
              </w:rPr>
              <w:t>Light oil</w:t>
            </w:r>
          </w:p>
        </w:tc>
        <w:tc>
          <w:tcPr>
            <w:tcW w:w="2756" w:type="dxa"/>
          </w:tcPr>
          <w:p w:rsidR="001E608F" w:rsidRPr="000D4580" w:rsidRDefault="001E608F" w:rsidP="000D4580">
            <w:pPr>
              <w:rPr>
                <w:rFonts w:asciiTheme="majorHAnsi" w:hAnsiTheme="majorHAnsi" w:cstheme="majorHAnsi"/>
                <w:sz w:val="18"/>
                <w:szCs w:val="18"/>
              </w:rPr>
            </w:pPr>
            <w:r w:rsidRPr="000D4580">
              <w:rPr>
                <w:rFonts w:asciiTheme="majorHAnsi" w:hAnsiTheme="majorHAnsi" w:cstheme="majorHAnsi"/>
                <w:sz w:val="18"/>
                <w:szCs w:val="18"/>
              </w:rPr>
              <w:t>N/A</w:t>
            </w:r>
          </w:p>
        </w:tc>
        <w:tc>
          <w:tcPr>
            <w:tcW w:w="2740" w:type="dxa"/>
          </w:tcPr>
          <w:p w:rsidR="001E608F" w:rsidRPr="000D4580" w:rsidRDefault="001E608F" w:rsidP="000D4580">
            <w:pPr>
              <w:rPr>
                <w:rFonts w:asciiTheme="majorHAnsi" w:hAnsiTheme="majorHAnsi" w:cstheme="majorHAnsi"/>
                <w:sz w:val="18"/>
                <w:szCs w:val="18"/>
              </w:rPr>
            </w:pPr>
            <w:r w:rsidRPr="000D4580">
              <w:rPr>
                <w:rFonts w:asciiTheme="majorHAnsi" w:hAnsiTheme="majorHAnsi" w:cstheme="majorHAnsi"/>
                <w:sz w:val="18"/>
                <w:szCs w:val="18"/>
              </w:rPr>
              <w:t>N/A</w:t>
            </w:r>
          </w:p>
        </w:tc>
      </w:tr>
      <w:tr w:rsidR="001E608F" w:rsidRPr="000D4580" w:rsidTr="00B321B9">
        <w:trPr>
          <w:jc w:val="center"/>
        </w:trPr>
        <w:tc>
          <w:tcPr>
            <w:tcW w:w="2689" w:type="dxa"/>
          </w:tcPr>
          <w:p w:rsidR="001E608F" w:rsidRPr="000D4580" w:rsidRDefault="001E608F" w:rsidP="000D4580">
            <w:pPr>
              <w:jc w:val="center"/>
              <w:rPr>
                <w:rFonts w:asciiTheme="majorHAnsi" w:hAnsiTheme="majorHAnsi" w:cstheme="majorHAnsi"/>
                <w:sz w:val="18"/>
                <w:szCs w:val="18"/>
              </w:rPr>
            </w:pPr>
            <w:r w:rsidRPr="000D4580">
              <w:rPr>
                <w:rFonts w:asciiTheme="majorHAnsi" w:hAnsiTheme="majorHAnsi" w:cstheme="majorHAnsi"/>
                <w:sz w:val="18"/>
                <w:szCs w:val="18"/>
              </w:rPr>
              <w:t>LNG</w:t>
            </w:r>
          </w:p>
        </w:tc>
        <w:tc>
          <w:tcPr>
            <w:tcW w:w="2756" w:type="dxa"/>
          </w:tcPr>
          <w:p w:rsidR="001E608F" w:rsidRPr="000D4580" w:rsidRDefault="001E608F" w:rsidP="000D4580">
            <w:pPr>
              <w:rPr>
                <w:rFonts w:asciiTheme="majorHAnsi" w:hAnsiTheme="majorHAnsi" w:cstheme="majorHAnsi"/>
                <w:sz w:val="18"/>
                <w:szCs w:val="18"/>
              </w:rPr>
            </w:pPr>
            <w:r w:rsidRPr="000D4580">
              <w:rPr>
                <w:rFonts w:asciiTheme="majorHAnsi" w:hAnsiTheme="majorHAnsi" w:cstheme="majorHAnsi"/>
                <w:sz w:val="18"/>
                <w:szCs w:val="18"/>
              </w:rPr>
              <w:t>270500, 271111, 271112, 271113, 271119, 271121, 271129</w:t>
            </w:r>
          </w:p>
        </w:tc>
        <w:tc>
          <w:tcPr>
            <w:tcW w:w="2740" w:type="dxa"/>
          </w:tcPr>
          <w:p w:rsidR="001E608F" w:rsidRPr="000D4580" w:rsidRDefault="001E608F" w:rsidP="000D4580">
            <w:pPr>
              <w:rPr>
                <w:rFonts w:asciiTheme="majorHAnsi" w:hAnsiTheme="majorHAnsi" w:cstheme="majorHAnsi"/>
                <w:sz w:val="18"/>
                <w:szCs w:val="18"/>
              </w:rPr>
            </w:pPr>
            <w:r w:rsidRPr="000D4580">
              <w:rPr>
                <w:rFonts w:asciiTheme="majorHAnsi" w:hAnsiTheme="majorHAnsi" w:cstheme="majorHAnsi"/>
                <w:sz w:val="18"/>
                <w:szCs w:val="18"/>
              </w:rPr>
              <w:t>“Natural gas”</w:t>
            </w:r>
          </w:p>
        </w:tc>
      </w:tr>
    </w:tbl>
    <w:p w:rsidR="001E608F" w:rsidRPr="000D4580" w:rsidRDefault="001E608F" w:rsidP="000D4580">
      <w:pPr>
        <w:pStyle w:val="Caption"/>
        <w:rPr>
          <w:rFonts w:asciiTheme="majorHAnsi" w:hAnsiTheme="majorHAnsi" w:cstheme="majorHAnsi"/>
          <w:i w:val="0"/>
          <w:color w:val="auto"/>
          <w:sz w:val="20"/>
          <w:szCs w:val="20"/>
        </w:rPr>
      </w:pPr>
      <w:r w:rsidRPr="000D4580">
        <w:rPr>
          <w:rFonts w:asciiTheme="majorHAnsi" w:hAnsiTheme="majorHAnsi" w:cstheme="majorHAnsi"/>
          <w:b/>
          <w:i w:val="0"/>
          <w:color w:val="auto"/>
          <w:sz w:val="20"/>
          <w:szCs w:val="20"/>
        </w:rPr>
        <w:t xml:space="preserve">Table </w:t>
      </w:r>
      <w:r w:rsidR="00130412">
        <w:rPr>
          <w:rFonts w:asciiTheme="majorHAnsi" w:hAnsiTheme="majorHAnsi" w:cstheme="majorHAnsi"/>
          <w:b/>
          <w:i w:val="0"/>
          <w:color w:val="auto"/>
          <w:sz w:val="20"/>
          <w:szCs w:val="20"/>
        </w:rPr>
        <w:t>10</w:t>
      </w:r>
      <w:r w:rsidRPr="000D4580">
        <w:rPr>
          <w:rFonts w:asciiTheme="majorHAnsi" w:hAnsiTheme="majorHAnsi" w:cstheme="majorHAnsi"/>
          <w:b/>
          <w:i w:val="0"/>
          <w:color w:val="auto"/>
          <w:sz w:val="20"/>
          <w:szCs w:val="20"/>
        </w:rPr>
        <w:t xml:space="preserve">. </w:t>
      </w:r>
      <w:r w:rsidRPr="000D4580">
        <w:rPr>
          <w:rFonts w:asciiTheme="majorHAnsi" w:hAnsiTheme="majorHAnsi" w:cstheme="majorHAnsi"/>
          <w:bCs/>
          <w:i w:val="0"/>
          <w:color w:val="auto"/>
          <w:sz w:val="20"/>
          <w:szCs w:val="20"/>
        </w:rPr>
        <w:t>Correspondence between Harmonized System (HS) 6-digit codes with energy commodities represented in the MESSAGE global energy model. Note that light oil is not represented in bilateral trade data, so we assume it follows a similar pattern with fuel oil.</w:t>
      </w:r>
      <w:r w:rsidRPr="000D4580">
        <w:rPr>
          <w:rFonts w:asciiTheme="majorHAnsi" w:hAnsiTheme="majorHAnsi" w:cstheme="majorHAnsi"/>
          <w:i w:val="0"/>
          <w:color w:val="auto"/>
          <w:sz w:val="20"/>
          <w:szCs w:val="20"/>
        </w:rPr>
        <w:t xml:space="preserve"> </w:t>
      </w: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1E608F" w:rsidRPr="000D4580" w:rsidRDefault="009F0E6C" w:rsidP="00D140C1">
      <w:pPr>
        <w:pStyle w:val="Heading1"/>
        <w:spacing w:line="360" w:lineRule="auto"/>
        <w:rPr>
          <w:rFonts w:cstheme="majorHAnsi"/>
        </w:rPr>
      </w:pPr>
      <w:bookmarkStart w:id="8" w:name="_Toc20722963"/>
      <w:r w:rsidRPr="000D4580">
        <w:rPr>
          <w:rFonts w:cstheme="majorHAnsi"/>
        </w:rPr>
        <w:lastRenderedPageBreak/>
        <w:t>10</w:t>
      </w:r>
      <w:r w:rsidR="001E608F" w:rsidRPr="000D4580">
        <w:rPr>
          <w:rFonts w:cstheme="majorHAnsi"/>
        </w:rPr>
        <w:tab/>
        <w:t>Regression results for distance-based variable cost</w:t>
      </w:r>
      <w:bookmarkEnd w:id="8"/>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ind w:hanging="720"/>
        <w:jc w:val="center"/>
        <w:rPr>
          <w:rFonts w:asciiTheme="majorHAnsi" w:hAnsiTheme="majorHAnsi" w:cstheme="majorHAnsi"/>
        </w:rPr>
      </w:pPr>
      <w:r w:rsidRPr="000D4580">
        <w:rPr>
          <w:rFonts w:asciiTheme="majorHAnsi" w:hAnsiTheme="majorHAnsi" w:cstheme="majorHAnsi"/>
          <w:noProof/>
        </w:rPr>
        <w:drawing>
          <wp:inline distT="0" distB="0" distL="0" distR="0" wp14:anchorId="5A8404A5" wp14:editId="15B31DAA">
            <wp:extent cx="6941388" cy="3451412"/>
            <wp:effectExtent l="0" t="0" r="5715" b="3175"/>
            <wp:docPr id="25" name="Picture 25">
              <a:extLst xmlns:a="http://schemas.openxmlformats.org/drawingml/2006/main">
                <a:ext uri="{FF2B5EF4-FFF2-40B4-BE49-F238E27FC236}">
                  <a16:creationId xmlns:a16="http://schemas.microsoft.com/office/drawing/2014/main" id="{2D85261D-E747-4A88-9413-5FBF4372FD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D85261D-E747-4A88-9413-5FBF4372FD64}"/>
                        </a:ext>
                      </a:extLst>
                    </pic:cNvPr>
                    <pic:cNvPicPr>
                      <a:picLocks noChangeAspect="1"/>
                    </pic:cNvPicPr>
                  </pic:nvPicPr>
                  <pic:blipFill>
                    <a:blip r:embed="rId13"/>
                    <a:stretch>
                      <a:fillRect/>
                    </a:stretch>
                  </pic:blipFill>
                  <pic:spPr>
                    <a:xfrm>
                      <a:off x="0" y="0"/>
                      <a:ext cx="6966159" cy="3463729"/>
                    </a:xfrm>
                    <a:prstGeom prst="rect">
                      <a:avLst/>
                    </a:prstGeom>
                  </pic:spPr>
                </pic:pic>
              </a:graphicData>
            </a:graphic>
          </wp:inline>
        </w:drawing>
      </w:r>
    </w:p>
    <w:p w:rsidR="001E608F" w:rsidRPr="000D4580" w:rsidRDefault="00130412" w:rsidP="000D4580">
      <w:pPr>
        <w:pStyle w:val="Caption"/>
        <w:rPr>
          <w:rFonts w:asciiTheme="majorHAnsi" w:hAnsiTheme="majorHAnsi" w:cstheme="majorHAnsi"/>
          <w:i w:val="0"/>
          <w:color w:val="auto"/>
          <w:sz w:val="20"/>
          <w:szCs w:val="20"/>
        </w:rPr>
      </w:pPr>
      <w:r>
        <w:rPr>
          <w:rFonts w:asciiTheme="majorHAnsi" w:hAnsiTheme="majorHAnsi" w:cstheme="majorHAnsi"/>
          <w:b/>
          <w:i w:val="0"/>
          <w:color w:val="auto"/>
          <w:sz w:val="20"/>
          <w:szCs w:val="20"/>
        </w:rPr>
        <w:t>Fig.</w:t>
      </w:r>
      <w:r w:rsidR="001E608F" w:rsidRPr="000D4580">
        <w:rPr>
          <w:rFonts w:asciiTheme="majorHAnsi" w:hAnsiTheme="majorHAnsi" w:cstheme="majorHAnsi"/>
          <w:b/>
          <w:i w:val="0"/>
          <w:color w:val="auto"/>
          <w:sz w:val="20"/>
          <w:szCs w:val="20"/>
        </w:rPr>
        <w:t xml:space="preserve"> </w:t>
      </w:r>
      <w:r>
        <w:rPr>
          <w:rFonts w:asciiTheme="majorHAnsi" w:hAnsiTheme="majorHAnsi" w:cstheme="majorHAnsi"/>
          <w:b/>
          <w:i w:val="0"/>
          <w:color w:val="auto"/>
          <w:sz w:val="20"/>
          <w:szCs w:val="20"/>
        </w:rPr>
        <w:t>4</w:t>
      </w:r>
      <w:r w:rsidR="001E608F" w:rsidRPr="000D4580">
        <w:rPr>
          <w:rFonts w:asciiTheme="majorHAnsi" w:hAnsiTheme="majorHAnsi" w:cstheme="majorHAnsi"/>
          <w:b/>
          <w:i w:val="0"/>
          <w:color w:val="auto"/>
          <w:sz w:val="20"/>
          <w:szCs w:val="20"/>
        </w:rPr>
        <w:t xml:space="preserve">. </w:t>
      </w:r>
      <w:r w:rsidR="001E608F" w:rsidRPr="000D4580">
        <w:rPr>
          <w:rFonts w:asciiTheme="majorHAnsi" w:hAnsiTheme="majorHAnsi" w:cstheme="majorHAnsi"/>
          <w:bCs/>
          <w:i w:val="0"/>
          <w:color w:val="auto"/>
          <w:sz w:val="20"/>
          <w:szCs w:val="20"/>
        </w:rPr>
        <w:t>Results of a gravity model-based regression of trade cost ($/</w:t>
      </w:r>
      <w:proofErr w:type="spellStart"/>
      <w:r w:rsidR="001E608F" w:rsidRPr="000D4580">
        <w:rPr>
          <w:rFonts w:asciiTheme="majorHAnsi" w:hAnsiTheme="majorHAnsi" w:cstheme="majorHAnsi"/>
          <w:bCs/>
          <w:i w:val="0"/>
          <w:color w:val="auto"/>
          <w:sz w:val="20"/>
          <w:szCs w:val="20"/>
        </w:rPr>
        <w:t>GWa</w:t>
      </w:r>
      <w:proofErr w:type="spellEnd"/>
      <w:r w:rsidR="001E608F" w:rsidRPr="000D4580">
        <w:rPr>
          <w:rFonts w:asciiTheme="majorHAnsi" w:hAnsiTheme="majorHAnsi" w:cstheme="majorHAnsi"/>
          <w:bCs/>
          <w:i w:val="0"/>
          <w:color w:val="auto"/>
          <w:sz w:val="20"/>
          <w:szCs w:val="20"/>
        </w:rPr>
        <w:t xml:space="preserve">) on distance. The regression is run across region (“ALL”), and then by region. Different colors represent different regions. The regression is also run across all energy commodities (first column), and by energy commodity. FOIL represents fuel oil, OIL represents crude oil. Errors bars represent the 95% confidence interval on the results. The bars presented here are equivalent to </w:t>
      </w:r>
      <m:oMath>
        <m:sSub>
          <m:sSubPr>
            <m:ctrlPr>
              <w:rPr>
                <w:rFonts w:ascii="Cambria Math" w:hAnsi="Cambria Math" w:cstheme="majorHAnsi"/>
                <w:bCs/>
                <w:color w:val="auto"/>
                <w:sz w:val="20"/>
                <w:szCs w:val="20"/>
              </w:rPr>
            </m:ctrlPr>
          </m:sSubPr>
          <m:e>
            <m:r>
              <w:rPr>
                <w:rFonts w:ascii="Cambria Math" w:hAnsi="Cambria Math" w:cstheme="majorHAnsi"/>
                <w:color w:val="auto"/>
                <w:sz w:val="20"/>
                <w:szCs w:val="20"/>
              </w:rPr>
              <m:t>β</m:t>
            </m:r>
          </m:e>
          <m:sub>
            <m:r>
              <w:rPr>
                <w:rFonts w:ascii="Cambria Math" w:hAnsi="Cambria Math" w:cstheme="majorHAnsi"/>
                <w:color w:val="auto"/>
                <w:sz w:val="20"/>
                <w:szCs w:val="20"/>
              </w:rPr>
              <m:t>1</m:t>
            </m:r>
          </m:sub>
        </m:sSub>
      </m:oMath>
      <w:r w:rsidR="001E608F" w:rsidRPr="000D4580">
        <w:rPr>
          <w:rFonts w:asciiTheme="majorHAnsi" w:hAnsiTheme="majorHAnsi" w:cstheme="majorHAnsi"/>
          <w:bCs/>
          <w:i w:val="0"/>
          <w:color w:val="auto"/>
          <w:sz w:val="20"/>
          <w:szCs w:val="20"/>
        </w:rPr>
        <w:t xml:space="preserve"> of the regression specification in the main text. </w:t>
      </w:r>
    </w:p>
    <w:p w:rsidR="001E608F" w:rsidRPr="000D4580" w:rsidRDefault="001E608F" w:rsidP="00D140C1">
      <w:pPr>
        <w:spacing w:line="360" w:lineRule="auto"/>
        <w:rPr>
          <w:rFonts w:asciiTheme="majorHAnsi" w:hAnsiTheme="majorHAnsi" w:cstheme="majorHAnsi"/>
        </w:rPr>
      </w:pPr>
    </w:p>
    <w:p w:rsidR="001E608F" w:rsidRPr="000D4580" w:rsidRDefault="001E608F" w:rsidP="00D140C1">
      <w:pPr>
        <w:spacing w:line="360" w:lineRule="auto"/>
        <w:rPr>
          <w:rFonts w:asciiTheme="majorHAnsi" w:hAnsiTheme="majorHAnsi" w:cstheme="majorHAnsi"/>
        </w:rPr>
      </w:pPr>
    </w:p>
    <w:p w:rsidR="00C040C3" w:rsidRPr="000D4580" w:rsidRDefault="00C040C3" w:rsidP="00D140C1">
      <w:pPr>
        <w:spacing w:line="360" w:lineRule="auto"/>
        <w:rPr>
          <w:rFonts w:asciiTheme="majorHAnsi" w:hAnsiTheme="majorHAnsi" w:cstheme="majorHAnsi"/>
        </w:rPr>
      </w:pPr>
    </w:p>
    <w:p w:rsidR="00C040C3" w:rsidRPr="000D4580" w:rsidRDefault="00C040C3" w:rsidP="00D140C1">
      <w:pPr>
        <w:spacing w:line="360" w:lineRule="auto"/>
        <w:rPr>
          <w:rFonts w:asciiTheme="majorHAnsi" w:hAnsiTheme="majorHAnsi" w:cstheme="majorHAnsi"/>
        </w:rPr>
      </w:pPr>
    </w:p>
    <w:p w:rsidR="00C040C3" w:rsidRPr="000D4580" w:rsidRDefault="00C040C3" w:rsidP="00D140C1">
      <w:pPr>
        <w:spacing w:line="360" w:lineRule="auto"/>
        <w:rPr>
          <w:rFonts w:asciiTheme="majorHAnsi" w:hAnsiTheme="majorHAnsi" w:cstheme="majorHAnsi"/>
        </w:rPr>
      </w:pPr>
    </w:p>
    <w:p w:rsidR="00C040C3" w:rsidRPr="000D4580" w:rsidRDefault="00C040C3" w:rsidP="00D140C1">
      <w:pPr>
        <w:spacing w:line="360" w:lineRule="auto"/>
        <w:rPr>
          <w:rFonts w:asciiTheme="majorHAnsi" w:hAnsiTheme="majorHAnsi" w:cstheme="majorHAnsi"/>
        </w:rPr>
      </w:pPr>
    </w:p>
    <w:p w:rsidR="00C040C3" w:rsidRPr="000D4580" w:rsidRDefault="00C040C3" w:rsidP="00D140C1">
      <w:pPr>
        <w:spacing w:line="360" w:lineRule="auto"/>
        <w:rPr>
          <w:rFonts w:asciiTheme="majorHAnsi" w:hAnsiTheme="majorHAnsi" w:cstheme="majorHAnsi"/>
        </w:rPr>
      </w:pPr>
    </w:p>
    <w:p w:rsidR="00C040C3" w:rsidRPr="000D4580" w:rsidRDefault="00C040C3" w:rsidP="00D140C1">
      <w:pPr>
        <w:spacing w:line="360" w:lineRule="auto"/>
        <w:rPr>
          <w:rFonts w:asciiTheme="majorHAnsi" w:hAnsiTheme="majorHAnsi" w:cstheme="majorHAnsi"/>
        </w:rPr>
      </w:pPr>
    </w:p>
    <w:p w:rsidR="00C040C3" w:rsidRPr="000D4580" w:rsidRDefault="00C040C3" w:rsidP="00D140C1">
      <w:pPr>
        <w:pStyle w:val="Heading1"/>
        <w:spacing w:line="360" w:lineRule="auto"/>
        <w:rPr>
          <w:rFonts w:cstheme="majorHAnsi"/>
        </w:rPr>
      </w:pPr>
      <w:r w:rsidRPr="000D4580">
        <w:rPr>
          <w:rFonts w:cstheme="majorHAnsi"/>
        </w:rPr>
        <w:lastRenderedPageBreak/>
        <w:t>1</w:t>
      </w:r>
      <w:r w:rsidR="009F0E6C" w:rsidRPr="000D4580">
        <w:rPr>
          <w:rFonts w:cstheme="majorHAnsi"/>
        </w:rPr>
        <w:t>1</w:t>
      </w:r>
      <w:r w:rsidRPr="000D4580">
        <w:rPr>
          <w:rFonts w:cstheme="majorHAnsi"/>
        </w:rPr>
        <w:tab/>
        <w:t>Table: Policy effects on the energy trade network</w:t>
      </w:r>
    </w:p>
    <w:p w:rsidR="00C040C3" w:rsidRPr="000D4580" w:rsidRDefault="00C040C3" w:rsidP="00D140C1">
      <w:pPr>
        <w:spacing w:line="360" w:lineRule="auto"/>
        <w:rPr>
          <w:rFonts w:asciiTheme="majorHAnsi" w:hAnsiTheme="majorHAnsi" w:cstheme="majorHAnsi"/>
        </w:rPr>
      </w:pPr>
    </w:p>
    <w:p w:rsidR="006C59A7" w:rsidRPr="000D4580" w:rsidRDefault="006C59A7" w:rsidP="00D140C1">
      <w:pPr>
        <w:spacing w:line="360" w:lineRule="auto"/>
        <w:rPr>
          <w:rFonts w:asciiTheme="majorHAnsi" w:hAnsiTheme="majorHAnsi" w:cstheme="majorHAnsi"/>
        </w:rPr>
      </w:pPr>
      <w:r w:rsidRPr="000D4580">
        <w:rPr>
          <w:rFonts w:asciiTheme="majorHAnsi" w:hAnsiTheme="majorHAnsi" w:cstheme="majorHAnsi"/>
        </w:rPr>
        <w:t xml:space="preserve">The table below presents the effects of the six examined scenarios </w:t>
      </w:r>
      <w:r w:rsidR="00F8120D" w:rsidRPr="000D4580">
        <w:rPr>
          <w:rFonts w:asciiTheme="majorHAnsi" w:hAnsiTheme="majorHAnsi" w:cstheme="majorHAnsi"/>
        </w:rPr>
        <w:t>discussed in the main text. This table corresponds to the discussion in Section 3.1</w:t>
      </w:r>
      <w:r w:rsidRPr="000D4580">
        <w:rPr>
          <w:rFonts w:asciiTheme="majorHAnsi" w:hAnsiTheme="majorHAnsi" w:cstheme="majorHAnsi"/>
        </w:rPr>
        <w:t>. This table outlines key network metrics for 2050. In this network, nodes represent regions and edges represent directional trade flows.</w:t>
      </w:r>
    </w:p>
    <w:p w:rsidR="006C59A7" w:rsidRPr="000D4580" w:rsidRDefault="006C59A7" w:rsidP="00D140C1">
      <w:pPr>
        <w:spacing w:line="360" w:lineRule="auto"/>
        <w:rPr>
          <w:rFonts w:asciiTheme="majorHAnsi" w:hAnsiTheme="majorHAnsi" w:cstheme="majorHAnsi"/>
        </w:rPr>
      </w:pPr>
    </w:p>
    <w:tbl>
      <w:tblPr>
        <w:tblW w:w="11280" w:type="dxa"/>
        <w:tblInd w:w="-980" w:type="dxa"/>
        <w:tblLook w:val="04A0" w:firstRow="1" w:lastRow="0" w:firstColumn="1" w:lastColumn="0" w:noHBand="0" w:noVBand="1"/>
      </w:tblPr>
      <w:tblGrid>
        <w:gridCol w:w="2577"/>
        <w:gridCol w:w="1240"/>
        <w:gridCol w:w="1240"/>
        <w:gridCol w:w="1240"/>
        <w:gridCol w:w="1600"/>
        <w:gridCol w:w="1720"/>
        <w:gridCol w:w="1663"/>
      </w:tblGrid>
      <w:tr w:rsidR="00B52818" w:rsidRPr="00B52818" w:rsidTr="004F7F80">
        <w:trPr>
          <w:trHeight w:val="260"/>
        </w:trPr>
        <w:tc>
          <w:tcPr>
            <w:tcW w:w="2577" w:type="dxa"/>
            <w:tcBorders>
              <w:top w:val="single" w:sz="4" w:space="0" w:color="auto"/>
              <w:left w:val="single" w:sz="4" w:space="0" w:color="auto"/>
              <w:bottom w:val="nil"/>
              <w:right w:val="nil"/>
            </w:tcBorders>
            <w:shd w:val="clear" w:color="000000" w:fill="BDD7EE"/>
            <w:noWrap/>
            <w:vAlign w:val="bottom"/>
            <w:hideMark/>
          </w:tcPr>
          <w:p w:rsidR="00B52818" w:rsidRPr="00B52818" w:rsidRDefault="00B52818" w:rsidP="000D4580">
            <w:pPr>
              <w:spacing w:after="0" w:line="240" w:lineRule="auto"/>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 </w:t>
            </w:r>
          </w:p>
        </w:tc>
        <w:tc>
          <w:tcPr>
            <w:tcW w:w="1240" w:type="dxa"/>
            <w:tcBorders>
              <w:top w:val="single" w:sz="4" w:space="0" w:color="auto"/>
              <w:left w:val="single" w:sz="4" w:space="0" w:color="auto"/>
              <w:bottom w:val="nil"/>
              <w:right w:val="single" w:sz="4" w:space="0" w:color="auto"/>
            </w:tcBorders>
            <w:shd w:val="clear" w:color="000000" w:fill="DDEBF7"/>
            <w:noWrap/>
            <w:vAlign w:val="bottom"/>
            <w:hideMark/>
          </w:tcPr>
          <w:p w:rsidR="00B52818" w:rsidRPr="00B52818" w:rsidRDefault="00B52818" w:rsidP="000D4580">
            <w:pPr>
              <w:spacing w:after="0" w:line="240" w:lineRule="auto"/>
              <w:jc w:val="center"/>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(1)</w:t>
            </w:r>
          </w:p>
        </w:tc>
        <w:tc>
          <w:tcPr>
            <w:tcW w:w="1240" w:type="dxa"/>
            <w:tcBorders>
              <w:top w:val="single" w:sz="4" w:space="0" w:color="auto"/>
              <w:left w:val="nil"/>
              <w:bottom w:val="nil"/>
              <w:right w:val="single" w:sz="4" w:space="0" w:color="auto"/>
            </w:tcBorders>
            <w:shd w:val="clear" w:color="000000" w:fill="DDEBF7"/>
            <w:noWrap/>
            <w:vAlign w:val="bottom"/>
            <w:hideMark/>
          </w:tcPr>
          <w:p w:rsidR="00B52818" w:rsidRPr="00B52818" w:rsidRDefault="00B52818" w:rsidP="000D4580">
            <w:pPr>
              <w:spacing w:after="0" w:line="240" w:lineRule="auto"/>
              <w:jc w:val="center"/>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(2)</w:t>
            </w:r>
          </w:p>
        </w:tc>
        <w:tc>
          <w:tcPr>
            <w:tcW w:w="1240" w:type="dxa"/>
            <w:tcBorders>
              <w:top w:val="single" w:sz="4" w:space="0" w:color="auto"/>
              <w:left w:val="nil"/>
              <w:bottom w:val="nil"/>
              <w:right w:val="single" w:sz="4" w:space="0" w:color="auto"/>
            </w:tcBorders>
            <w:shd w:val="clear" w:color="000000" w:fill="DDEBF7"/>
            <w:noWrap/>
            <w:vAlign w:val="bottom"/>
            <w:hideMark/>
          </w:tcPr>
          <w:p w:rsidR="00B52818" w:rsidRPr="00B52818" w:rsidRDefault="00B52818" w:rsidP="000D4580">
            <w:pPr>
              <w:spacing w:after="0" w:line="240" w:lineRule="auto"/>
              <w:jc w:val="center"/>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(3)</w:t>
            </w:r>
          </w:p>
        </w:tc>
        <w:tc>
          <w:tcPr>
            <w:tcW w:w="1600" w:type="dxa"/>
            <w:tcBorders>
              <w:top w:val="single" w:sz="4" w:space="0" w:color="auto"/>
              <w:left w:val="nil"/>
              <w:bottom w:val="nil"/>
              <w:right w:val="single" w:sz="4" w:space="0" w:color="auto"/>
            </w:tcBorders>
            <w:shd w:val="clear" w:color="000000" w:fill="DDEBF7"/>
            <w:noWrap/>
            <w:vAlign w:val="bottom"/>
            <w:hideMark/>
          </w:tcPr>
          <w:p w:rsidR="00B52818" w:rsidRPr="00B52818" w:rsidRDefault="00B52818" w:rsidP="000D4580">
            <w:pPr>
              <w:spacing w:after="0" w:line="240" w:lineRule="auto"/>
              <w:jc w:val="center"/>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(4)</w:t>
            </w:r>
          </w:p>
        </w:tc>
        <w:tc>
          <w:tcPr>
            <w:tcW w:w="1720" w:type="dxa"/>
            <w:tcBorders>
              <w:top w:val="single" w:sz="4" w:space="0" w:color="auto"/>
              <w:left w:val="nil"/>
              <w:bottom w:val="nil"/>
              <w:right w:val="single" w:sz="4" w:space="0" w:color="auto"/>
            </w:tcBorders>
            <w:shd w:val="clear" w:color="000000" w:fill="DDEBF7"/>
            <w:noWrap/>
            <w:vAlign w:val="bottom"/>
            <w:hideMark/>
          </w:tcPr>
          <w:p w:rsidR="00B52818" w:rsidRPr="00B52818" w:rsidRDefault="00B52818" w:rsidP="000D4580">
            <w:pPr>
              <w:spacing w:after="0" w:line="240" w:lineRule="auto"/>
              <w:jc w:val="center"/>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(5)</w:t>
            </w:r>
          </w:p>
        </w:tc>
        <w:tc>
          <w:tcPr>
            <w:tcW w:w="1663" w:type="dxa"/>
            <w:tcBorders>
              <w:top w:val="single" w:sz="4" w:space="0" w:color="auto"/>
              <w:left w:val="nil"/>
              <w:bottom w:val="nil"/>
              <w:right w:val="single" w:sz="4" w:space="0" w:color="auto"/>
            </w:tcBorders>
            <w:shd w:val="clear" w:color="000000" w:fill="DDEBF7"/>
            <w:noWrap/>
            <w:vAlign w:val="bottom"/>
            <w:hideMark/>
          </w:tcPr>
          <w:p w:rsidR="00B52818" w:rsidRPr="00B52818" w:rsidRDefault="00B52818" w:rsidP="000D4580">
            <w:pPr>
              <w:spacing w:after="0" w:line="240" w:lineRule="auto"/>
              <w:jc w:val="center"/>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(6)</w:t>
            </w:r>
          </w:p>
        </w:tc>
      </w:tr>
      <w:tr w:rsidR="00B52818" w:rsidRPr="00B52818" w:rsidTr="004F7F80">
        <w:trPr>
          <w:trHeight w:val="1040"/>
        </w:trPr>
        <w:tc>
          <w:tcPr>
            <w:tcW w:w="2577" w:type="dxa"/>
            <w:tcBorders>
              <w:top w:val="nil"/>
              <w:left w:val="single" w:sz="4" w:space="0" w:color="auto"/>
              <w:bottom w:val="nil"/>
              <w:right w:val="nil"/>
            </w:tcBorders>
            <w:shd w:val="clear" w:color="000000" w:fill="BDD7EE"/>
            <w:noWrap/>
            <w:vAlign w:val="bottom"/>
            <w:hideMark/>
          </w:tcPr>
          <w:p w:rsidR="00B52818" w:rsidRPr="00B52818" w:rsidRDefault="00B52818" w:rsidP="000D4580">
            <w:pPr>
              <w:spacing w:after="0" w:line="240" w:lineRule="auto"/>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 </w:t>
            </w:r>
          </w:p>
        </w:tc>
        <w:tc>
          <w:tcPr>
            <w:tcW w:w="1240" w:type="dxa"/>
            <w:tcBorders>
              <w:top w:val="nil"/>
              <w:left w:val="single" w:sz="4" w:space="0" w:color="auto"/>
              <w:bottom w:val="nil"/>
              <w:right w:val="single" w:sz="4" w:space="0" w:color="auto"/>
            </w:tcBorders>
            <w:shd w:val="clear" w:color="000000" w:fill="DDEBF7"/>
            <w:noWrap/>
            <w:vAlign w:val="center"/>
            <w:hideMark/>
          </w:tcPr>
          <w:p w:rsidR="00B52818" w:rsidRPr="00B52818" w:rsidRDefault="00B52818" w:rsidP="000D4580">
            <w:pPr>
              <w:spacing w:after="0" w:line="240" w:lineRule="auto"/>
              <w:jc w:val="center"/>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Baseline</w:t>
            </w:r>
          </w:p>
        </w:tc>
        <w:tc>
          <w:tcPr>
            <w:tcW w:w="1240" w:type="dxa"/>
            <w:tcBorders>
              <w:top w:val="nil"/>
              <w:left w:val="nil"/>
              <w:bottom w:val="nil"/>
              <w:right w:val="single" w:sz="4" w:space="0" w:color="auto"/>
            </w:tcBorders>
            <w:shd w:val="clear" w:color="000000" w:fill="DDEBF7"/>
            <w:noWrap/>
            <w:vAlign w:val="center"/>
            <w:hideMark/>
          </w:tcPr>
          <w:p w:rsidR="00B52818" w:rsidRPr="00B52818" w:rsidRDefault="00B52818" w:rsidP="000D4580">
            <w:pPr>
              <w:spacing w:after="0" w:line="240" w:lineRule="auto"/>
              <w:jc w:val="center"/>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High tariffs</w:t>
            </w:r>
          </w:p>
        </w:tc>
        <w:tc>
          <w:tcPr>
            <w:tcW w:w="1240" w:type="dxa"/>
            <w:tcBorders>
              <w:top w:val="nil"/>
              <w:left w:val="nil"/>
              <w:bottom w:val="nil"/>
              <w:right w:val="single" w:sz="4" w:space="0" w:color="auto"/>
            </w:tcBorders>
            <w:shd w:val="clear" w:color="000000" w:fill="DDEBF7"/>
            <w:noWrap/>
            <w:vAlign w:val="center"/>
            <w:hideMark/>
          </w:tcPr>
          <w:p w:rsidR="00B52818" w:rsidRPr="00B52818" w:rsidRDefault="00B52818" w:rsidP="000D4580">
            <w:pPr>
              <w:spacing w:after="0" w:line="240" w:lineRule="auto"/>
              <w:jc w:val="center"/>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Low tariffs</w:t>
            </w:r>
          </w:p>
        </w:tc>
        <w:tc>
          <w:tcPr>
            <w:tcW w:w="1600" w:type="dxa"/>
            <w:tcBorders>
              <w:top w:val="nil"/>
              <w:left w:val="nil"/>
              <w:bottom w:val="nil"/>
              <w:right w:val="single" w:sz="4" w:space="0" w:color="auto"/>
            </w:tcBorders>
            <w:shd w:val="clear" w:color="000000" w:fill="DDEBF7"/>
            <w:vAlign w:val="center"/>
            <w:hideMark/>
          </w:tcPr>
          <w:p w:rsidR="00B52818" w:rsidRPr="00B52818" w:rsidRDefault="00B52818" w:rsidP="000D4580">
            <w:pPr>
              <w:spacing w:after="0" w:line="240" w:lineRule="auto"/>
              <w:jc w:val="center"/>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Emissions tax + baseline tariffs</w:t>
            </w:r>
          </w:p>
        </w:tc>
        <w:tc>
          <w:tcPr>
            <w:tcW w:w="1720" w:type="dxa"/>
            <w:tcBorders>
              <w:top w:val="nil"/>
              <w:left w:val="nil"/>
              <w:bottom w:val="nil"/>
              <w:right w:val="single" w:sz="4" w:space="0" w:color="auto"/>
            </w:tcBorders>
            <w:shd w:val="clear" w:color="000000" w:fill="DDEBF7"/>
            <w:vAlign w:val="center"/>
            <w:hideMark/>
          </w:tcPr>
          <w:p w:rsidR="00B52818" w:rsidRPr="00B52818" w:rsidRDefault="00B52818" w:rsidP="000D4580">
            <w:pPr>
              <w:spacing w:after="0" w:line="240" w:lineRule="auto"/>
              <w:jc w:val="center"/>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Emissions tax + high tariffs</w:t>
            </w:r>
          </w:p>
        </w:tc>
        <w:tc>
          <w:tcPr>
            <w:tcW w:w="1663" w:type="dxa"/>
            <w:tcBorders>
              <w:top w:val="nil"/>
              <w:left w:val="nil"/>
              <w:bottom w:val="nil"/>
              <w:right w:val="single" w:sz="4" w:space="0" w:color="auto"/>
            </w:tcBorders>
            <w:shd w:val="clear" w:color="000000" w:fill="DDEBF7"/>
            <w:vAlign w:val="center"/>
            <w:hideMark/>
          </w:tcPr>
          <w:p w:rsidR="00B52818" w:rsidRPr="00B52818" w:rsidRDefault="00B52818" w:rsidP="000D4580">
            <w:pPr>
              <w:spacing w:after="0" w:line="240" w:lineRule="auto"/>
              <w:jc w:val="center"/>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Emissions tax + low tariffs</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Global energy system cost</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2528475.28</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2563606.78</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2517104.10</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128160362.83</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128201829.80</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128149153.81</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Total number of exporters</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11</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11</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11</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11</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11</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11</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Total number of importers</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12</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12</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12</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12</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12</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12</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Total number of links</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111</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106</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113</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183</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185</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180</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Total amount of trade (EJ)</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178.15</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158.12</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187.6</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96.36</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88.42</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98.04</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Mean trade flow (EJ)</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1.6</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1.49</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1.66</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0.53</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0.48</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0.54</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 </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3.99</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3.9</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4.11</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2.14</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1.85</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2.08</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Minimum trade flow (EJ)</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 </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PAO to UBM</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PAO to UBM</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PAO to UBM</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UBM to PAO</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UBM to PAO</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PAO to EEU</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Maximum trade flow (EJ)</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20.7</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20.39</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22.98</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24.54</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18.54</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23.57</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 </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MEA to SAS</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MEA to PAS</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MEA to SAS</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LAM to SAS</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LAM to SAS</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LAM to SAS</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 xml:space="preserve">Mean </w:t>
            </w:r>
            <w:r w:rsidR="004F7F80" w:rsidRPr="000D4580">
              <w:rPr>
                <w:rFonts w:asciiTheme="majorHAnsi" w:eastAsia="Times New Roman" w:hAnsiTheme="majorHAnsi" w:cstheme="majorHAnsi"/>
                <w:b/>
                <w:bCs/>
                <w:color w:val="000000"/>
                <w:sz w:val="20"/>
                <w:szCs w:val="20"/>
              </w:rPr>
              <w:t>#</w:t>
            </w:r>
            <w:r w:rsidRPr="00B52818">
              <w:rPr>
                <w:rFonts w:asciiTheme="majorHAnsi" w:eastAsia="Times New Roman" w:hAnsiTheme="majorHAnsi" w:cstheme="majorHAnsi"/>
                <w:b/>
                <w:bCs/>
                <w:color w:val="000000"/>
                <w:sz w:val="20"/>
                <w:szCs w:val="20"/>
              </w:rPr>
              <w:t xml:space="preserve"> of edges</w:t>
            </w:r>
            <w:r w:rsidR="004F7F80" w:rsidRPr="000D4580">
              <w:rPr>
                <w:rFonts w:asciiTheme="majorHAnsi" w:eastAsia="Times New Roman" w:hAnsiTheme="majorHAnsi" w:cstheme="majorHAnsi"/>
                <w:b/>
                <w:bCs/>
                <w:color w:val="000000"/>
                <w:sz w:val="20"/>
                <w:szCs w:val="20"/>
              </w:rPr>
              <w:t xml:space="preserve"> per </w:t>
            </w:r>
            <w:r w:rsidRPr="00B52818">
              <w:rPr>
                <w:rFonts w:asciiTheme="majorHAnsi" w:eastAsia="Times New Roman" w:hAnsiTheme="majorHAnsi" w:cstheme="majorHAnsi"/>
                <w:b/>
                <w:bCs/>
                <w:color w:val="000000"/>
                <w:sz w:val="20"/>
                <w:szCs w:val="20"/>
              </w:rPr>
              <w:t>node</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18.5</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17.67</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18.83</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30.5</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30.83</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30</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 </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4.7</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4.83</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4.99</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8.48</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8.61</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8.81</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rPr>
                <w:rFonts w:asciiTheme="majorHAnsi" w:eastAsia="Times New Roman" w:hAnsiTheme="majorHAnsi" w:cstheme="majorHAnsi"/>
                <w:b/>
                <w:bCs/>
                <w:color w:val="000000"/>
                <w:sz w:val="20"/>
                <w:szCs w:val="20"/>
              </w:rPr>
            </w:pPr>
            <w:proofErr w:type="spellStart"/>
            <w:r w:rsidRPr="00B52818">
              <w:rPr>
                <w:rFonts w:asciiTheme="majorHAnsi" w:eastAsia="Times New Roman" w:hAnsiTheme="majorHAnsi" w:cstheme="majorHAnsi"/>
                <w:b/>
                <w:bCs/>
                <w:color w:val="000000"/>
                <w:sz w:val="20"/>
                <w:szCs w:val="20"/>
              </w:rPr>
              <w:t>Outdegree</w:t>
            </w:r>
            <w:proofErr w:type="spellEnd"/>
            <w:r w:rsidRPr="00B52818">
              <w:rPr>
                <w:rFonts w:asciiTheme="majorHAnsi" w:eastAsia="Times New Roman" w:hAnsiTheme="majorHAnsi" w:cstheme="majorHAnsi"/>
                <w:b/>
                <w:bCs/>
                <w:color w:val="000000"/>
                <w:sz w:val="20"/>
                <w:szCs w:val="20"/>
              </w:rPr>
              <w:t xml:space="preserve"> centrality</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0.21</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0.2</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0.21</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0.3</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0.31</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0.3</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 </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0.1</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0.08</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0.1</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0.1</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0.1</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0.1</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rPr>
                <w:rFonts w:asciiTheme="majorHAnsi" w:eastAsia="Times New Roman" w:hAnsiTheme="majorHAnsi" w:cstheme="majorHAnsi"/>
                <w:b/>
                <w:bCs/>
                <w:color w:val="000000"/>
                <w:sz w:val="20"/>
                <w:szCs w:val="20"/>
              </w:rPr>
            </w:pPr>
            <w:proofErr w:type="spellStart"/>
            <w:r w:rsidRPr="00B52818">
              <w:rPr>
                <w:rFonts w:asciiTheme="majorHAnsi" w:eastAsia="Times New Roman" w:hAnsiTheme="majorHAnsi" w:cstheme="majorHAnsi"/>
                <w:b/>
                <w:bCs/>
                <w:color w:val="000000"/>
                <w:sz w:val="20"/>
                <w:szCs w:val="20"/>
              </w:rPr>
              <w:t>Indegree</w:t>
            </w:r>
            <w:proofErr w:type="spellEnd"/>
            <w:r w:rsidRPr="00B52818">
              <w:rPr>
                <w:rFonts w:asciiTheme="majorHAnsi" w:eastAsia="Times New Roman" w:hAnsiTheme="majorHAnsi" w:cstheme="majorHAnsi"/>
                <w:b/>
                <w:bCs/>
                <w:color w:val="000000"/>
                <w:sz w:val="20"/>
                <w:szCs w:val="20"/>
              </w:rPr>
              <w:t xml:space="preserve"> centrality</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0.16</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0.16</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0.17</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0.26</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0.26</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0.25</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 </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0.05</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0.05</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0.06</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0.08</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0.08</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0.08</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Size of energy-specific trade</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 </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 </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 </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 </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 </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 </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jc w:val="right"/>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Coal</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19.62</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18.49</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20.13</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4.1</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4.1</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4.1</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jc w:val="right"/>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Ethanol</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0.02</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0.42</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0.01</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1.65</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1.68</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1.63</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jc w:val="right"/>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Fuel oil</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3.97</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4.07</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4.02</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2.15</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1.76</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2.32</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jc w:val="right"/>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Light oil</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0.03</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0.01</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0.08</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40.54</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34.88</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40.21</w:t>
            </w:r>
          </w:p>
        </w:tc>
      </w:tr>
      <w:tr w:rsidR="00B52818" w:rsidRPr="00B52818" w:rsidTr="004F7F80">
        <w:trPr>
          <w:trHeight w:val="260"/>
        </w:trPr>
        <w:tc>
          <w:tcPr>
            <w:tcW w:w="2577" w:type="dxa"/>
            <w:tcBorders>
              <w:top w:val="nil"/>
              <w:left w:val="single" w:sz="4" w:space="0" w:color="auto"/>
              <w:bottom w:val="nil"/>
              <w:right w:val="nil"/>
            </w:tcBorders>
            <w:shd w:val="clear" w:color="000000" w:fill="DDEBF7"/>
            <w:noWrap/>
            <w:vAlign w:val="bottom"/>
            <w:hideMark/>
          </w:tcPr>
          <w:p w:rsidR="00B52818" w:rsidRPr="00B52818" w:rsidRDefault="00B52818" w:rsidP="000D4580">
            <w:pPr>
              <w:spacing w:after="0" w:line="240" w:lineRule="auto"/>
              <w:jc w:val="right"/>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LNG</w:t>
            </w:r>
          </w:p>
        </w:tc>
        <w:tc>
          <w:tcPr>
            <w:tcW w:w="1240" w:type="dxa"/>
            <w:tcBorders>
              <w:top w:val="nil"/>
              <w:left w:val="single" w:sz="4" w:space="0" w:color="auto"/>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56.7</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48.33</w:t>
            </w:r>
          </w:p>
        </w:tc>
        <w:tc>
          <w:tcPr>
            <w:tcW w:w="124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62.48</w:t>
            </w:r>
          </w:p>
        </w:tc>
        <w:tc>
          <w:tcPr>
            <w:tcW w:w="160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8.16</w:t>
            </w:r>
          </w:p>
        </w:tc>
        <w:tc>
          <w:tcPr>
            <w:tcW w:w="1720"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8.16</w:t>
            </w:r>
          </w:p>
        </w:tc>
        <w:tc>
          <w:tcPr>
            <w:tcW w:w="1663" w:type="dxa"/>
            <w:tcBorders>
              <w:top w:val="nil"/>
              <w:left w:val="nil"/>
              <w:bottom w:val="nil"/>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8.16</w:t>
            </w:r>
          </w:p>
        </w:tc>
      </w:tr>
      <w:tr w:rsidR="00B52818" w:rsidRPr="00B52818" w:rsidTr="004F7F80">
        <w:trPr>
          <w:trHeight w:val="260"/>
        </w:trPr>
        <w:tc>
          <w:tcPr>
            <w:tcW w:w="2577" w:type="dxa"/>
            <w:tcBorders>
              <w:top w:val="nil"/>
              <w:left w:val="single" w:sz="4" w:space="0" w:color="auto"/>
              <w:bottom w:val="single" w:sz="4" w:space="0" w:color="auto"/>
              <w:right w:val="nil"/>
            </w:tcBorders>
            <w:shd w:val="clear" w:color="000000" w:fill="DDEBF7"/>
            <w:noWrap/>
            <w:vAlign w:val="bottom"/>
            <w:hideMark/>
          </w:tcPr>
          <w:p w:rsidR="00B52818" w:rsidRPr="00B52818" w:rsidRDefault="00B52818" w:rsidP="000D4580">
            <w:pPr>
              <w:spacing w:after="0" w:line="240" w:lineRule="auto"/>
              <w:jc w:val="right"/>
              <w:rPr>
                <w:rFonts w:asciiTheme="majorHAnsi" w:eastAsia="Times New Roman" w:hAnsiTheme="majorHAnsi" w:cstheme="majorHAnsi"/>
                <w:b/>
                <w:bCs/>
                <w:color w:val="000000"/>
                <w:sz w:val="20"/>
                <w:szCs w:val="20"/>
              </w:rPr>
            </w:pPr>
            <w:r w:rsidRPr="00B52818">
              <w:rPr>
                <w:rFonts w:asciiTheme="majorHAnsi" w:eastAsia="Times New Roman" w:hAnsiTheme="majorHAnsi" w:cstheme="majorHAnsi"/>
                <w:b/>
                <w:bCs/>
                <w:color w:val="000000"/>
                <w:sz w:val="20"/>
                <w:szCs w:val="20"/>
              </w:rPr>
              <w:t>Crude oil</w:t>
            </w:r>
          </w:p>
        </w:tc>
        <w:tc>
          <w:tcPr>
            <w:tcW w:w="1240" w:type="dxa"/>
            <w:tcBorders>
              <w:top w:val="nil"/>
              <w:left w:val="single" w:sz="4" w:space="0" w:color="auto"/>
              <w:bottom w:val="single" w:sz="4" w:space="0" w:color="auto"/>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97.81</w:t>
            </w:r>
          </w:p>
        </w:tc>
        <w:tc>
          <w:tcPr>
            <w:tcW w:w="1240" w:type="dxa"/>
            <w:tcBorders>
              <w:top w:val="nil"/>
              <w:left w:val="nil"/>
              <w:bottom w:val="single" w:sz="4" w:space="0" w:color="auto"/>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86.79</w:t>
            </w:r>
          </w:p>
        </w:tc>
        <w:tc>
          <w:tcPr>
            <w:tcW w:w="1240" w:type="dxa"/>
            <w:tcBorders>
              <w:top w:val="nil"/>
              <w:left w:val="nil"/>
              <w:bottom w:val="single" w:sz="4" w:space="0" w:color="auto"/>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100.87</w:t>
            </w:r>
          </w:p>
        </w:tc>
        <w:tc>
          <w:tcPr>
            <w:tcW w:w="1600" w:type="dxa"/>
            <w:tcBorders>
              <w:top w:val="nil"/>
              <w:left w:val="nil"/>
              <w:bottom w:val="single" w:sz="4" w:space="0" w:color="auto"/>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39.75</w:t>
            </w:r>
          </w:p>
        </w:tc>
        <w:tc>
          <w:tcPr>
            <w:tcW w:w="1720" w:type="dxa"/>
            <w:tcBorders>
              <w:top w:val="nil"/>
              <w:left w:val="nil"/>
              <w:bottom w:val="single" w:sz="4" w:space="0" w:color="auto"/>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37.83</w:t>
            </w:r>
          </w:p>
        </w:tc>
        <w:tc>
          <w:tcPr>
            <w:tcW w:w="1663" w:type="dxa"/>
            <w:tcBorders>
              <w:top w:val="nil"/>
              <w:left w:val="nil"/>
              <w:bottom w:val="single" w:sz="4" w:space="0" w:color="auto"/>
              <w:right w:val="single" w:sz="4" w:space="0" w:color="auto"/>
            </w:tcBorders>
            <w:shd w:val="clear" w:color="000000" w:fill="FFFFFF"/>
            <w:noWrap/>
            <w:vAlign w:val="bottom"/>
            <w:hideMark/>
          </w:tcPr>
          <w:p w:rsidR="00B52818" w:rsidRPr="00B52818" w:rsidRDefault="00B52818" w:rsidP="000D4580">
            <w:pPr>
              <w:spacing w:after="0" w:line="240" w:lineRule="auto"/>
              <w:jc w:val="center"/>
              <w:rPr>
                <w:rFonts w:asciiTheme="majorHAnsi" w:eastAsia="Times New Roman" w:hAnsiTheme="majorHAnsi" w:cstheme="majorHAnsi"/>
                <w:color w:val="000000"/>
                <w:sz w:val="20"/>
                <w:szCs w:val="20"/>
              </w:rPr>
            </w:pPr>
            <w:r w:rsidRPr="00B52818">
              <w:rPr>
                <w:rFonts w:asciiTheme="majorHAnsi" w:eastAsia="Times New Roman" w:hAnsiTheme="majorHAnsi" w:cstheme="majorHAnsi"/>
                <w:color w:val="000000"/>
                <w:sz w:val="20"/>
                <w:szCs w:val="20"/>
              </w:rPr>
              <w:t>41.61</w:t>
            </w:r>
          </w:p>
        </w:tc>
      </w:tr>
    </w:tbl>
    <w:p w:rsidR="00C040C3" w:rsidRPr="000D4580" w:rsidRDefault="00C040C3" w:rsidP="00D140C1">
      <w:pPr>
        <w:pStyle w:val="Caption"/>
        <w:spacing w:line="360" w:lineRule="auto"/>
        <w:rPr>
          <w:rFonts w:asciiTheme="majorHAnsi" w:hAnsiTheme="majorHAnsi" w:cstheme="majorHAnsi"/>
          <w:i w:val="0"/>
          <w:color w:val="auto"/>
          <w:sz w:val="20"/>
          <w:szCs w:val="20"/>
        </w:rPr>
      </w:pPr>
      <w:r w:rsidRPr="000D4580">
        <w:rPr>
          <w:rFonts w:asciiTheme="majorHAnsi" w:hAnsiTheme="majorHAnsi" w:cstheme="majorHAnsi"/>
          <w:b/>
          <w:i w:val="0"/>
          <w:color w:val="auto"/>
          <w:sz w:val="20"/>
          <w:szCs w:val="20"/>
        </w:rPr>
        <w:t xml:space="preserve">Table </w:t>
      </w:r>
      <w:r w:rsidR="00130412">
        <w:rPr>
          <w:rFonts w:asciiTheme="majorHAnsi" w:hAnsiTheme="majorHAnsi" w:cstheme="majorHAnsi"/>
          <w:b/>
          <w:i w:val="0"/>
          <w:color w:val="auto"/>
          <w:sz w:val="20"/>
          <w:szCs w:val="20"/>
        </w:rPr>
        <w:t>11</w:t>
      </w:r>
      <w:r w:rsidR="007C3C6B" w:rsidRPr="000D4580">
        <w:rPr>
          <w:rFonts w:asciiTheme="majorHAnsi" w:hAnsiTheme="majorHAnsi" w:cstheme="majorHAnsi"/>
          <w:b/>
          <w:i w:val="0"/>
          <w:color w:val="auto"/>
          <w:sz w:val="20"/>
          <w:szCs w:val="20"/>
        </w:rPr>
        <w:t>.</w:t>
      </w:r>
      <w:r w:rsidRPr="000D4580">
        <w:rPr>
          <w:rFonts w:asciiTheme="majorHAnsi" w:hAnsiTheme="majorHAnsi" w:cstheme="majorHAnsi"/>
          <w:b/>
          <w:i w:val="0"/>
          <w:color w:val="auto"/>
          <w:sz w:val="20"/>
          <w:szCs w:val="20"/>
        </w:rPr>
        <w:t xml:space="preserve"> </w:t>
      </w:r>
      <w:r w:rsidRPr="00130412">
        <w:rPr>
          <w:rFonts w:asciiTheme="majorHAnsi" w:hAnsiTheme="majorHAnsi" w:cstheme="majorHAnsi"/>
          <w:i w:val="0"/>
          <w:color w:val="auto"/>
          <w:sz w:val="20"/>
          <w:szCs w:val="20"/>
        </w:rPr>
        <w:t>Network metrics for the global fuel trade network in 2050.</w:t>
      </w:r>
    </w:p>
    <w:p w:rsidR="00C040C3" w:rsidRPr="000D4580" w:rsidRDefault="00C040C3" w:rsidP="00D140C1">
      <w:pPr>
        <w:spacing w:line="360" w:lineRule="auto"/>
        <w:rPr>
          <w:rFonts w:asciiTheme="majorHAnsi" w:hAnsiTheme="majorHAnsi" w:cstheme="majorHAnsi"/>
        </w:rPr>
      </w:pPr>
    </w:p>
    <w:sectPr w:rsidR="00C040C3" w:rsidRPr="000D45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8C0" w:rsidRDefault="000148C0" w:rsidP="00ED1EAF">
      <w:pPr>
        <w:spacing w:after="0" w:line="240" w:lineRule="auto"/>
      </w:pPr>
      <w:r>
        <w:separator/>
      </w:r>
    </w:p>
  </w:endnote>
  <w:endnote w:type="continuationSeparator" w:id="0">
    <w:p w:rsidR="000148C0" w:rsidRDefault="000148C0" w:rsidP="00ED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8C0" w:rsidRDefault="000148C0" w:rsidP="00ED1EAF">
      <w:pPr>
        <w:spacing w:after="0" w:line="240" w:lineRule="auto"/>
      </w:pPr>
      <w:r>
        <w:separator/>
      </w:r>
    </w:p>
  </w:footnote>
  <w:footnote w:type="continuationSeparator" w:id="0">
    <w:p w:rsidR="000148C0" w:rsidRDefault="000148C0" w:rsidP="00ED1EAF">
      <w:pPr>
        <w:spacing w:after="0" w:line="240" w:lineRule="auto"/>
      </w:pPr>
      <w:r>
        <w:continuationSeparator/>
      </w:r>
    </w:p>
  </w:footnote>
  <w:footnote w:id="1">
    <w:p w:rsidR="00B321B9" w:rsidRPr="00C81BA4" w:rsidRDefault="00B321B9" w:rsidP="002521A7">
      <w:pPr>
        <w:pStyle w:val="FootnoteText"/>
        <w:rPr>
          <w:rFonts w:asciiTheme="majorHAnsi" w:hAnsiTheme="majorHAnsi" w:cstheme="majorHAnsi"/>
          <w:sz w:val="18"/>
          <w:szCs w:val="18"/>
        </w:rPr>
      </w:pPr>
      <w:r w:rsidRPr="003F6202">
        <w:rPr>
          <w:rStyle w:val="FootnoteReference"/>
        </w:rPr>
        <w:footnoteRef/>
      </w:r>
      <w:r w:rsidRPr="00C81BA4">
        <w:rPr>
          <w:rFonts w:asciiTheme="majorHAnsi" w:hAnsiTheme="majorHAnsi" w:cstheme="majorHAnsi"/>
          <w:sz w:val="18"/>
          <w:szCs w:val="18"/>
        </w:rPr>
        <w:t xml:space="preserve"> A map of nodes (both uniform and sea/inland ports) can be found in the Supplementary Material.</w:t>
      </w:r>
    </w:p>
  </w:footnote>
  <w:footnote w:id="2">
    <w:p w:rsidR="00B321B9" w:rsidRPr="00C81BA4" w:rsidRDefault="00B321B9" w:rsidP="002521A7">
      <w:pPr>
        <w:pStyle w:val="FootnoteText"/>
        <w:rPr>
          <w:rFonts w:asciiTheme="majorHAnsi" w:hAnsiTheme="majorHAnsi" w:cstheme="majorHAnsi"/>
          <w:sz w:val="18"/>
          <w:szCs w:val="18"/>
        </w:rPr>
      </w:pPr>
      <w:r w:rsidRPr="003F6202">
        <w:rPr>
          <w:rStyle w:val="FootnoteReference"/>
        </w:rPr>
        <w:footnoteRef/>
      </w:r>
      <w:r w:rsidRPr="00C81BA4">
        <w:rPr>
          <w:rFonts w:asciiTheme="majorHAnsi" w:hAnsiTheme="majorHAnsi" w:cstheme="majorHAnsi"/>
          <w:sz w:val="18"/>
          <w:szCs w:val="18"/>
        </w:rPr>
        <w:t xml:space="preserve"> We also run a specification by exporting region but find that there is too much uncertainty in our results to use a region-specific effect. Results of the region-specific effect can be found in the Supplementary Material.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F40A8"/>
    <w:multiLevelType w:val="hybridMultilevel"/>
    <w:tmpl w:val="3376960A"/>
    <w:lvl w:ilvl="0" w:tplc="F48E78B4">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FC8"/>
    <w:rsid w:val="000148C0"/>
    <w:rsid w:val="000543C6"/>
    <w:rsid w:val="000C690D"/>
    <w:rsid w:val="000D4580"/>
    <w:rsid w:val="00130412"/>
    <w:rsid w:val="001E608F"/>
    <w:rsid w:val="002521A7"/>
    <w:rsid w:val="002E40CE"/>
    <w:rsid w:val="003F6202"/>
    <w:rsid w:val="00446B52"/>
    <w:rsid w:val="004F7F80"/>
    <w:rsid w:val="00562FC8"/>
    <w:rsid w:val="005B5A52"/>
    <w:rsid w:val="005B6590"/>
    <w:rsid w:val="00627D69"/>
    <w:rsid w:val="006C59A7"/>
    <w:rsid w:val="00753C4F"/>
    <w:rsid w:val="00755DBA"/>
    <w:rsid w:val="007C3C6B"/>
    <w:rsid w:val="009F0E6C"/>
    <w:rsid w:val="00B02B89"/>
    <w:rsid w:val="00B038CA"/>
    <w:rsid w:val="00B321B9"/>
    <w:rsid w:val="00B52818"/>
    <w:rsid w:val="00BC0EF4"/>
    <w:rsid w:val="00C040C3"/>
    <w:rsid w:val="00D140C1"/>
    <w:rsid w:val="00ED1EAF"/>
    <w:rsid w:val="00F0679F"/>
    <w:rsid w:val="00F81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3CBF"/>
  <w15:chartTrackingRefBased/>
  <w15:docId w15:val="{ED2E7902-03B9-4A56-84B5-FAF1050D1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C8"/>
  </w:style>
  <w:style w:type="paragraph" w:styleId="Heading1">
    <w:name w:val="heading 1"/>
    <w:basedOn w:val="Normal"/>
    <w:next w:val="Normal"/>
    <w:link w:val="Heading1Char"/>
    <w:uiPriority w:val="9"/>
    <w:qFormat/>
    <w:rsid w:val="001E60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1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21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E608F"/>
    <w:pPr>
      <w:keepNext/>
      <w:keepLines/>
      <w:spacing w:before="40" w:after="0" w:line="276" w:lineRule="auto"/>
      <w:outlineLvl w:val="3"/>
    </w:pPr>
    <w:rPr>
      <w:rFonts w:ascii="Tahoma" w:eastAsiaTheme="majorEastAsia" w:hAnsi="Tahoma" w:cstheme="majorBidi"/>
      <w:i/>
      <w:iCs/>
      <w:color w:val="00589F"/>
      <w:sz w:val="20"/>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E608F"/>
    <w:rPr>
      <w:rFonts w:ascii="Tahoma" w:eastAsiaTheme="majorEastAsia" w:hAnsi="Tahoma" w:cstheme="majorBidi"/>
      <w:i/>
      <w:iCs/>
      <w:color w:val="00589F"/>
      <w:sz w:val="20"/>
      <w:szCs w:val="24"/>
      <w:lang w:eastAsia="en-US"/>
    </w:rPr>
  </w:style>
  <w:style w:type="table" w:styleId="TableGrid">
    <w:name w:val="Table Grid"/>
    <w:basedOn w:val="TableNormal"/>
    <w:uiPriority w:val="39"/>
    <w:rsid w:val="001E608F"/>
    <w:pPr>
      <w:spacing w:after="0" w:line="240" w:lineRule="auto"/>
    </w:pPr>
    <w:rPr>
      <w:rFonts w:eastAsiaTheme="minorHAnsi"/>
      <w:sz w:val="24"/>
      <w:szCs w:val="24"/>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E608F"/>
    <w:pPr>
      <w:spacing w:before="120" w:after="120" w:line="240" w:lineRule="auto"/>
      <w:ind w:left="57" w:right="57"/>
    </w:pPr>
    <w:rPr>
      <w:rFonts w:ascii="Tahoma" w:eastAsiaTheme="minorHAnsi" w:hAnsi="Tahoma"/>
      <w:sz w:val="20"/>
      <w:szCs w:val="24"/>
      <w:lang w:val="en-GB" w:eastAsia="en-US"/>
    </w:rPr>
    <w:tblPr>
      <w:tblStyleRowBandSize w:val="1"/>
      <w:tblStyleColBandSize w:val="1"/>
      <w:tblBorders>
        <w:top w:val="single" w:sz="4" w:space="0" w:color="00599D"/>
        <w:left w:val="single" w:sz="4" w:space="0" w:color="00599D"/>
        <w:bottom w:val="single" w:sz="4" w:space="0" w:color="00599D"/>
        <w:right w:val="single" w:sz="4" w:space="0" w:color="00599D"/>
        <w:insideH w:val="single" w:sz="4" w:space="0" w:color="00599D"/>
        <w:insideV w:val="single" w:sz="6" w:space="0" w:color="00599D"/>
      </w:tblBorders>
    </w:tblPr>
    <w:tcPr>
      <w:shd w:val="clear" w:color="auto" w:fill="auto"/>
    </w:tc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E608F"/>
    <w:pPr>
      <w:spacing w:after="200" w:line="240" w:lineRule="auto"/>
    </w:pPr>
    <w:rPr>
      <w:rFonts w:ascii="Tahoma" w:eastAsiaTheme="minorHAnsi" w:hAnsi="Tahoma"/>
      <w:i/>
      <w:iCs/>
      <w:color w:val="44546A" w:themeColor="text2"/>
      <w:sz w:val="18"/>
      <w:szCs w:val="18"/>
      <w:lang w:eastAsia="en-US"/>
    </w:rPr>
  </w:style>
  <w:style w:type="character" w:customStyle="1" w:styleId="Heading1Char">
    <w:name w:val="Heading 1 Char"/>
    <w:basedOn w:val="DefaultParagraphFont"/>
    <w:link w:val="Heading1"/>
    <w:uiPriority w:val="9"/>
    <w:rsid w:val="001E608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D1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EAF"/>
  </w:style>
  <w:style w:type="paragraph" w:styleId="Footer">
    <w:name w:val="footer"/>
    <w:basedOn w:val="Normal"/>
    <w:link w:val="FooterChar"/>
    <w:uiPriority w:val="99"/>
    <w:unhideWhenUsed/>
    <w:rsid w:val="00ED1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EAF"/>
  </w:style>
  <w:style w:type="character" w:customStyle="1" w:styleId="Heading3Char">
    <w:name w:val="Heading 3 Char"/>
    <w:basedOn w:val="DefaultParagraphFont"/>
    <w:link w:val="Heading3"/>
    <w:uiPriority w:val="9"/>
    <w:rsid w:val="002521A7"/>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2521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21A7"/>
    <w:rPr>
      <w:sz w:val="20"/>
      <w:szCs w:val="20"/>
    </w:rPr>
  </w:style>
  <w:style w:type="character" w:styleId="FootnoteReference">
    <w:name w:val="footnote reference"/>
    <w:basedOn w:val="DefaultParagraphFont"/>
    <w:uiPriority w:val="99"/>
    <w:semiHidden/>
    <w:unhideWhenUsed/>
    <w:rsid w:val="002521A7"/>
    <w:rPr>
      <w:vertAlign w:val="superscript"/>
    </w:rPr>
  </w:style>
  <w:style w:type="paragraph" w:styleId="ListParagraph">
    <w:name w:val="List Paragraph"/>
    <w:basedOn w:val="Normal"/>
    <w:uiPriority w:val="34"/>
    <w:qFormat/>
    <w:rsid w:val="002521A7"/>
    <w:pPr>
      <w:spacing w:after="0" w:line="276" w:lineRule="auto"/>
      <w:ind w:left="720"/>
      <w:contextualSpacing/>
    </w:pPr>
    <w:rPr>
      <w:rFonts w:ascii="Tahoma" w:eastAsiaTheme="minorHAnsi" w:hAnsi="Tahoma"/>
      <w:color w:val="404040" w:themeColor="text1" w:themeTint="BF"/>
      <w:sz w:val="20"/>
      <w:szCs w:val="24"/>
      <w:lang w:eastAsia="en-US"/>
    </w:rPr>
  </w:style>
  <w:style w:type="character" w:customStyle="1" w:styleId="Heading2Char">
    <w:name w:val="Heading 2 Char"/>
    <w:basedOn w:val="DefaultParagraphFont"/>
    <w:link w:val="Heading2"/>
    <w:uiPriority w:val="9"/>
    <w:rsid w:val="002521A7"/>
    <w:rPr>
      <w:rFonts w:asciiTheme="majorHAnsi" w:eastAsiaTheme="majorEastAsia" w:hAnsiTheme="majorHAnsi" w:cstheme="majorBidi"/>
      <w:color w:val="2F5496" w:themeColor="accent1" w:themeShade="BF"/>
      <w:sz w:val="26"/>
      <w:szCs w:val="26"/>
    </w:rPr>
  </w:style>
  <w:style w:type="character" w:styleId="EndnoteReference">
    <w:name w:val="endnote reference"/>
    <w:basedOn w:val="DefaultParagraphFont"/>
    <w:uiPriority w:val="99"/>
    <w:semiHidden/>
    <w:unhideWhenUsed/>
    <w:rsid w:val="003F62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4614">
      <w:bodyDiv w:val="1"/>
      <w:marLeft w:val="0"/>
      <w:marRight w:val="0"/>
      <w:marTop w:val="0"/>
      <w:marBottom w:val="0"/>
      <w:divBdr>
        <w:top w:val="none" w:sz="0" w:space="0" w:color="auto"/>
        <w:left w:val="none" w:sz="0" w:space="0" w:color="auto"/>
        <w:bottom w:val="none" w:sz="0" w:space="0" w:color="auto"/>
        <w:right w:val="none" w:sz="0" w:space="0" w:color="auto"/>
      </w:divBdr>
    </w:div>
    <w:div w:id="59864231">
      <w:bodyDiv w:val="1"/>
      <w:marLeft w:val="0"/>
      <w:marRight w:val="0"/>
      <w:marTop w:val="0"/>
      <w:marBottom w:val="0"/>
      <w:divBdr>
        <w:top w:val="none" w:sz="0" w:space="0" w:color="auto"/>
        <w:left w:val="none" w:sz="0" w:space="0" w:color="auto"/>
        <w:bottom w:val="none" w:sz="0" w:space="0" w:color="auto"/>
        <w:right w:val="none" w:sz="0" w:space="0" w:color="auto"/>
      </w:divBdr>
    </w:div>
    <w:div w:id="122968617">
      <w:bodyDiv w:val="1"/>
      <w:marLeft w:val="0"/>
      <w:marRight w:val="0"/>
      <w:marTop w:val="0"/>
      <w:marBottom w:val="0"/>
      <w:divBdr>
        <w:top w:val="none" w:sz="0" w:space="0" w:color="auto"/>
        <w:left w:val="none" w:sz="0" w:space="0" w:color="auto"/>
        <w:bottom w:val="none" w:sz="0" w:space="0" w:color="auto"/>
        <w:right w:val="none" w:sz="0" w:space="0" w:color="auto"/>
      </w:divBdr>
    </w:div>
    <w:div w:id="1057782980">
      <w:bodyDiv w:val="1"/>
      <w:marLeft w:val="0"/>
      <w:marRight w:val="0"/>
      <w:marTop w:val="0"/>
      <w:marBottom w:val="0"/>
      <w:divBdr>
        <w:top w:val="none" w:sz="0" w:space="0" w:color="auto"/>
        <w:left w:val="none" w:sz="0" w:space="0" w:color="auto"/>
        <w:bottom w:val="none" w:sz="0" w:space="0" w:color="auto"/>
        <w:right w:val="none" w:sz="0" w:space="0" w:color="auto"/>
      </w:divBdr>
    </w:div>
    <w:div w:id="1671758756">
      <w:bodyDiv w:val="1"/>
      <w:marLeft w:val="0"/>
      <w:marRight w:val="0"/>
      <w:marTop w:val="0"/>
      <w:marBottom w:val="0"/>
      <w:divBdr>
        <w:top w:val="none" w:sz="0" w:space="0" w:color="auto"/>
        <w:left w:val="none" w:sz="0" w:space="0" w:color="auto"/>
        <w:bottom w:val="none" w:sz="0" w:space="0" w:color="auto"/>
        <w:right w:val="none" w:sz="0" w:space="0" w:color="auto"/>
      </w:divBdr>
    </w:div>
    <w:div w:id="177767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7463</Words>
  <Characters>42543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Shepard</dc:creator>
  <cp:keywords/>
  <dc:description/>
  <cp:lastModifiedBy>Jun Shepard</cp:lastModifiedBy>
  <cp:revision>3</cp:revision>
  <dcterms:created xsi:type="dcterms:W3CDTF">2020-02-25T14:09:00Z</dcterms:created>
  <dcterms:modified xsi:type="dcterms:W3CDTF">2020-02-25T14:13:00Z</dcterms:modified>
</cp:coreProperties>
</file>