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57453A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6278472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2743CE5C" w14:textId="553C0493" w:rsidR="00932732" w:rsidRPr="00F955EC" w:rsidRDefault="00F955EC" w:rsidP="00F955EC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</w:t>
      </w:r>
      <w:r w:rsidR="00932732" w:rsidRPr="00F955EC">
        <w:rPr>
          <w:sz w:val="20"/>
          <w:szCs w:val="20"/>
        </w:rPr>
        <w:t xml:space="preserve">. </w:t>
      </w:r>
      <w:r w:rsidRPr="00F955EC">
        <w:rPr>
          <w:sz w:val="20"/>
          <w:szCs w:val="20"/>
        </w:rPr>
        <w:t xml:space="preserve">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 w:rsidR="00342B35">
        <w:rPr>
          <w:sz w:val="20"/>
          <w:szCs w:val="20"/>
        </w:rPr>
        <w:t>.</w:t>
      </w:r>
      <w:r w:rsidRPr="00F955EC">
        <w:rPr>
          <w:sz w:val="20"/>
          <w:szCs w:val="20"/>
        </w:rPr>
        <w:t xml:space="preserve"> accepted by </w:t>
      </w:r>
      <w:r>
        <w:rPr>
          <w:sz w:val="20"/>
          <w:szCs w:val="20"/>
        </w:rPr>
        <w:t>BMVC</w:t>
      </w:r>
      <w:r w:rsidR="00932732" w:rsidRPr="00F955EC">
        <w:rPr>
          <w:sz w:val="20"/>
          <w:szCs w:val="20"/>
        </w:rPr>
        <w:t xml:space="preserve"> 2018.</w:t>
      </w:r>
    </w:p>
    <w:p w14:paraId="12DCF40C" w14:textId="14DC8958" w:rsidR="0071332D" w:rsidRPr="0071332D" w:rsidRDefault="0071332D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71332D">
        <w:rPr>
          <w:sz w:val="20"/>
          <w:szCs w:val="20"/>
        </w:rPr>
        <w:t xml:space="preserve">Single-View Hair Reconstruction using Convolutional Neural Networks. </w:t>
      </w:r>
      <w:proofErr w:type="spellStart"/>
      <w:r w:rsidRPr="0071332D">
        <w:rPr>
          <w:sz w:val="20"/>
          <w:szCs w:val="20"/>
        </w:rPr>
        <w:t>arXiv</w:t>
      </w:r>
      <w:proofErr w:type="spellEnd"/>
      <w:r w:rsidRPr="0071332D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</w:t>
      </w:r>
      <w:r w:rsidR="0057453A">
        <w:rPr>
          <w:sz w:val="20"/>
          <w:szCs w:val="20"/>
        </w:rPr>
        <w:t>2017</w:t>
      </w:r>
      <w:bookmarkStart w:id="0" w:name="_GoBack"/>
      <w:bookmarkEnd w:id="0"/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55401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C4CB4"/>
    <w:rsid w:val="006C4FD1"/>
    <w:rsid w:val="006C6278"/>
    <w:rsid w:val="006D00DC"/>
    <w:rsid w:val="006E31A3"/>
    <w:rsid w:val="006F6263"/>
    <w:rsid w:val="00700229"/>
    <w:rsid w:val="00702D4D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737DD"/>
    <w:rsid w:val="00B80E36"/>
    <w:rsid w:val="00B85D82"/>
    <w:rsid w:val="00B87AB1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2CAD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194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4DD4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888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147</cp:revision>
  <cp:lastPrinted>2017-11-01T19:10:00Z</cp:lastPrinted>
  <dcterms:created xsi:type="dcterms:W3CDTF">2017-11-01T19:10:00Z</dcterms:created>
  <dcterms:modified xsi:type="dcterms:W3CDTF">2018-07-03T05:15:00Z</dcterms:modified>
</cp:coreProperties>
</file>