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2yo9x1qcs5mn" w:id="0"/>
      <w:bookmarkEnd w:id="0"/>
      <w:r w:rsidDel="00000000" w:rsidR="00000000" w:rsidRPr="00000000">
        <w:rPr>
          <w:rtl w:val="0"/>
        </w:rPr>
        <w:t xml:space="preserve">PEER REVIEW PROPOSAL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cxpytn8sok77" w:id="1"/>
      <w:bookmarkEnd w:id="1"/>
      <w:r w:rsidDel="00000000" w:rsidR="00000000" w:rsidRPr="00000000">
        <w:rPr>
          <w:rtl w:val="0"/>
        </w:rPr>
        <w:t xml:space="preserve">Definition of Terms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Instructor: The person who is being reviewed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Reviewer(s): The person(s) who is((are) reviewing the Instructor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QEC: Quality enhancement cell, Namal College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htuxfvnzqqy" w:id="2"/>
      <w:bookmarkEnd w:id="2"/>
      <w:r w:rsidDel="00000000" w:rsidR="00000000" w:rsidRPr="00000000">
        <w:rPr>
          <w:rtl w:val="0"/>
        </w:rPr>
        <w:t xml:space="preserve">Proposals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QEC proposes the conduct of a peer review process as a means to engage the faculty in reviewing and enhancing the quality of teaching of fellow faculty members.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peer review process shall be discussion oriented with a more humane nature. The focus shall be on encouraging a faculty member to improve and enhance his/her teaching methodology.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reviewer(s) that shall review an instructor will not themselves be reviewed by the the same instructor.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review team shall consist of 2-3 faculty members.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instructor under review shall be given an opportunity to decide the session in which he/she would like to invite the reviewer(s).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needed, the reviewer(s) may request the Instructor to attend one more session to include in the review process.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review process shall consist of the following four stages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200" cy="64770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8275" y="2371725"/>
                          <a:ext cx="5731200" cy="647700"/>
                          <a:chOff x="1438275" y="2371725"/>
                          <a:chExt cx="8277300" cy="91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38275" y="2371725"/>
                            <a:ext cx="1419300" cy="9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6913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686175" y="2371725"/>
                            <a:ext cx="1419300" cy="9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10275" y="2371725"/>
                            <a:ext cx="1419300" cy="9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8296275" y="2371725"/>
                            <a:ext cx="1419300" cy="9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438275" y="2508825"/>
                            <a:ext cx="1419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Observation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724275" y="2630775"/>
                            <a:ext cx="1419300" cy="39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Observation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081712" y="2508825"/>
                            <a:ext cx="1419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Observation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8296275" y="2508825"/>
                            <a:ext cx="1419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Reflective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Summary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857575" y="2828925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24525" y="2828925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429562" y="2828925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200" cy="647700"/>
                <wp:effectExtent b="0" l="0" r="0" t="0"/>
                <wp:wrapTopAndBottom distB="114300" distT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Pre-observation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instructor and reviewer(s) shall meet for a pre-session meeting to discuss 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Module goals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goals of the session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Materials the Instructor has organized to support learning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Teaching methodology 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Position of the session in the overall syllabus</w:t>
      </w:r>
    </w:p>
    <w:p w:rsidR="00000000" w:rsidDel="00000000" w:rsidP="00000000" w:rsidRDefault="00000000" w:rsidRPr="00000000">
      <w:pPr>
        <w:pBdr/>
        <w:ind w:left="21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reviewer(s), </w:t>
      </w:r>
      <w:r w:rsidDel="00000000" w:rsidR="00000000" w:rsidRPr="00000000">
        <w:rPr>
          <w:color w:val="ff0000"/>
          <w:rtl w:val="0"/>
        </w:rPr>
        <w:t xml:space="preserve">during the lecture session, shall make a focused and purposeful study </w:t>
      </w:r>
      <w:r w:rsidDel="00000000" w:rsidR="00000000" w:rsidRPr="00000000">
        <w:rPr>
          <w:rtl w:val="0"/>
        </w:rPr>
        <w:t xml:space="preserve">about, but not limited to: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Instructor knowledge of the subject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Teacher-student interaction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Clarity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 participation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Learning of students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Instructor’s methodology of assessing student learning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Quality of lecture slides and their suitability and alignment with the learning outcomes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Post-observation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instructor and reviewer(s) shall have a follow-up meeting to discuss the impressions from the session, concerning the points mentioned in ‘Observation’, meeting expectations from the session, as discussed in pre-observation, and have a mutual conversation about teaching and learning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Reflective summary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brief, written analysis by the instructor and reviewer(s) with the focus on formative peer review process, and discussed with respective HoD. It may include the following points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was learned about teaching and student learning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Actions taken based on feedback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Benefits/drawbacks of peer review process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hmg55vtodv1b" w:id="3"/>
      <w:bookmarkEnd w:id="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University of Texas at Austin, Faculty Innovation Center, “Peer Review of Teaching White Paper - July 2014”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Vanderbilt University, Center for Teaching, “Peer Review of Teaching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Boston College, “Peer Review of Teaching”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