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ROS Spin Professor Handoff</w:t>
      </w:r>
    </w:p>
    <w:p>
      <w:pPr>
        <w:jc w:val="center"/>
      </w:pPr>
      <w:r>
        <w:rPr>
          <w:b/>
          <w:sz w:val="30"/>
        </w:rPr>
        <w:t>Corrected Doxorubicin Semiquinone Oxygen Spin Chemistry Model</w:t>
      </w:r>
    </w:p>
    <w:p/>
    <w:p>
      <w:pPr>
        <w:jc w:val="center"/>
      </w:pPr>
      <w:r>
        <w:t>Repository commit 05834d40de6e</w:t>
        <w:br/>
      </w:r>
      <w:r>
        <w:t>Generated 2026-09-09T11:48:19.673422+00:00</w:t>
        <w:br/>
      </w:r>
      <w:r>
        <w:t>Professor-facing final computational report</w:t>
      </w:r>
    </w:p>
    <w:p/>
    <w:p>
      <w:pPr>
        <w:spacing w:before="480" w:after="480"/>
        <w:jc w:val="center"/>
      </w:pPr>
      <w:r>
        <w:t>All quantitative figures and tables in this document were generated directly from the ROS_Spin computational workflow or from values stored in its machine-readable parameter and provenance files. No figures were reproduced from external publications. Figure 1 is an author-created conceptual workflow and contains no independent quantitative data.</w:t>
      </w:r>
    </w:p>
    <w:p>
      <w:pPr>
        <w:jc w:val="center"/>
      </w:pPr>
      <w:r>
        <w:rPr>
          <w:b/>
          <w:color w:val="8B1A1A"/>
        </w:rPr>
        <w:t>NON-PREDICTIVE DIMENSIONLESS SENSITIVITY ANALYSIS</w:t>
      </w:r>
    </w:p>
    <w:p>
      <w:r>
        <w:br w:type="page"/>
      </w:r>
    </w:p>
    <w:p>
      <w:pPr>
        <w:pStyle w:val="Heading1"/>
      </w:pPr>
      <w:r>
        <w:t>Purpose of This Handoff</w:t>
      </w:r>
    </w:p>
    <w:p>
      <w:r>
        <w:t>This report hands off the completed corrected ROS_Spin implementation, its generated scientific results, numerical validation, evidence record, and reproduction package. It is written to support technical review and manuscript revision without requiring the reader to reconstruct the repository history.</w:t>
      </w:r>
    </w:p>
    <w:p>
      <w:r>
        <w:t>All quantitative figures and tables in this document were generated directly from the ROS_Spin computational workflow or from values stored in its machine-readable parameter and provenance files. No figures were reproduced from external publications. Figure 1 is an author-created conceptual workflow and contains no independent quantitative data.</w:t>
      </w:r>
    </w:p>
    <w:p>
      <w:pPr>
        <w:pStyle w:val="Heading1"/>
      </w:pPr>
      <w:r>
        <w:t>Executive Summary</w:t>
      </w:r>
    </w:p>
    <w:p>
      <w:r>
        <w:t>Across the five baseline initial-state benchmarks, the computed primary-superoxide yield per encounter spans 0.140445 to 0.445496. Across the selected sensitivity grids it spans 0.000594884 to 1; these extrema describe only the executed grid. The simulations demonstrate how primary superoxide yield would depend on the competition among spin-selective electron transfer, doublet-quartet mixing, relaxation, and encounter escape under specified dimensionless scenarios. They do not establish that the assumed spin preparation, mixing magnitude, or state-selective rates occur in the doxorubicin semiquinone-oxygen system.</w:t>
      </w:r>
    </w:p>
    <w:p>
      <w:r>
        <w:t>Computed structural results include projector algebra, six-state dimensions, valid density matrices, probability accounting, solver agreement, and coherent-embedding consistency. Conditional sensitivity results cover mixing, relaxation, escape, initial state, and kQ/kD. Literature-derived calculations remain confined to condition-specific bulk rates, downstream aqueous kinetics, and provenance-qualified experimental context.</w:t>
      </w:r>
    </w:p>
    <w:p>
      <w:r>
        <w:t>The worst absolute discrepancy between the reference matrix exponential and the separately constructed adaptive Dormand-Prince solver is 1.044e-12. The maximum encounter probability-balance error is 1.318e-13, and the maximum downstream radical-equivalent balance error is 1.694e-21 M. These checks validate numerical consistency rather than physical parameterization.</w:t>
      </w:r>
    </w:p>
    <w:p>
      <w:r>
        <w:t>Circuit status for the recorded run is qiskit_executed. The three-qubit calculation embeds the six physical states within an eight-state space, checks the two unused states for leakage, and compares statevectors and doublet/quartet observables. It validates coherent encoding consistency only; it does not demonstrate quantum advantage or independently validate the chemistry.</w:t>
      </w:r>
    </w:p>
    <w:p>
      <w:pPr>
        <w:pStyle w:val="Heading1"/>
      </w:pPr>
      <w:r>
        <w:t>Connection to the Original ROS Spin Project</w:t>
      </w:r>
    </w:p>
    <w:p>
      <w:r>
        <w:t>ROS_Spin originally asked whether electron-spin dynamics could influence reactive oxygen species formation during anthracycline redox cycling while retaining a quantum-circuit component for computational comparison. The completed workflow preserves that objective but replaces the original two-qubit chemical interpretation with the correct spin space for doxorubicin semiquinone and molecular oxygen.</w:t>
      </w:r>
    </w:p>
    <w:p>
      <w:r>
        <w:t>The prior implementation used singlet/triplet and Bell-state ideas for a system whose oxygen partner has spin one. It also risked treating computational-basis parity and repeated circuit gates as chemical dynamics, carrying semiconductor relaxation data into an unrelated molecular encounter, and mapping spin outcomes directly to ROS products. Those choices could not support the proposed chemistry.</w:t>
      </w:r>
    </w:p>
    <w:p>
      <w:r>
        <w:t>The corrected workflow keeps the biological motivation at the level supported by current evidence: anthracycline semiquinone chemistry can transfer an electron to oxygen, and downstream superoxide chemistry can form H2O2. The present encounter model does not bridge its illustrative per-encounter yields to organelle, cell, animal, or patient exposure without missing formation, association, residence, competing-sink, transport, and compartment parameters.</w:t>
      </w:r>
    </w:p>
    <w:p>
      <w:r>
        <w:br w:type="page"/>
      </w:r>
    </w:p>
    <w:p>
      <w:pPr>
        <w:pStyle w:val="Heading1"/>
      </w:pPr>
      <w:r>
        <w:t>Table 1 Original versus Corrected Implementation</w:t>
      </w:r>
    </w:p>
    <w:p>
      <w:r>
        <w:t>Table 1 connects the corrected implementation to the original project and identifies why each change matters scientifically.</w:t>
      </w:r>
    </w:p>
    <w:tbl>
      <w:tblPr>
        <w:tblW w:type="auto" w:w="0"/>
        <w:jc w:val="center"/>
        <w:tblLayout w:type="autofit"/>
        <w:tblLook w:firstColumn="1" w:firstRow="1" w:lastColumn="0" w:lastRow="0" w:noHBand="0" w:noVBand="1" w:val="04A0"/>
      </w:tblPr>
      <w:tblGrid>
        <w:gridCol w:w="2469"/>
        <w:gridCol w:w="2469"/>
        <w:gridCol w:w="2469"/>
        <w:gridCol w:w="2469"/>
      </w:tblGrid>
      <w:tr>
        <w:trPr>
          <w:tblHeader w:val="true"/>
        </w:trPr>
        <w:tc>
          <w:tcPr>
            <w:tcW w:type="dxa" w:w="2469"/>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6"/>
              </w:rPr>
              <w:t>Model element</w:t>
            </w:r>
          </w:p>
        </w:tc>
        <w:tc>
          <w:tcPr>
            <w:tcW w:type="dxa" w:w="2469"/>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6"/>
              </w:rPr>
              <w:t>Original implementation</w:t>
            </w:r>
          </w:p>
        </w:tc>
        <w:tc>
          <w:tcPr>
            <w:tcW w:type="dxa" w:w="2469"/>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6"/>
              </w:rPr>
              <w:t>Corrected implementation</w:t>
            </w:r>
          </w:p>
        </w:tc>
        <w:tc>
          <w:tcPr>
            <w:tcW w:type="dxa" w:w="2469"/>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6"/>
              </w:rPr>
              <w:t>Consequence</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Physical species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Generic two-spin or semiconductor shuttling model</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Doxorubicin/adriamycin semiquinone with S=1/2 and ground-state O2 with S=1</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The chemistry is tied to the stated redox pair.</w:t>
            </w:r>
          </w:p>
        </w:tc>
      </w:tr>
      <w:tr>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Spin dimensions</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Two qubits; dimension 4</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Spin-1/2 x spin-1 electronic space; dimension 6</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All physical electronic states are retained.</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Manifold classification</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Singlet/triplet or basis-parity labels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Doublet (dimension 2) and quartet (dimension 4) projectors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Projectors follow angular-momentum addition.</w:t>
            </w:r>
          </w:p>
        </w:tc>
      </w:tr>
      <w:tr>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Initial states</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Bell states or computational-basis preparations</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I6/6, PD/2, PQ/4, and bounded pD mixtures</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All cases are computational benchmarks; no chemical preparation is asserted.</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Hamiltonian</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Repeated CZ or identity gates used as chemical dynamics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Zeeman, exchange, dipolar, O2 ZFS, and local-field terms in the six-state space</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Unavailable interactions remain disabled or sensitivity-only.</w:t>
            </w:r>
          </w:p>
        </w:tc>
      </w:tr>
      <w:tr>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Relaxation</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Semiconductor dephasing parameters</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Local isotropic Lindblad sensitivity model with exact-system rates unavailable</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No semiconductor relaxation parameter enters active chemistry.</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Electron transfer</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Mapped from state counts or parity</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Integrated kD Tr(PD rho) and kQ Tr(PQ rho) loss fluxes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Reaction yield is a time-integrated kinetic quantity.</w:t>
            </w:r>
          </w:p>
        </w:tc>
      </w:tr>
      <w:tr>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Encounter escape</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Absent or not separated from circuit depth</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Independent first-order escape channel kescape Tr(rho)</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Reaction, escape, and unresolved survival close the probability balance.</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Primary superoxide</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Assigned from singlet/triplet or basis outcomes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YD + YQ from integrated electron-transfer flux</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One primary radical equivalent is assigned per reacted encounter.</w:t>
            </w:r>
          </w:p>
        </w:tc>
      </w:tr>
      <w:tr>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Hydrogen peroxide</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Mapped directly from a spin population</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Separate HO2/O2-minus speciation and dismutation with two radicals per H2O2</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Spin populations are not treated as H2O2.</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Rate units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Bulk and encounter rates could be conflated</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Bulk M^-1 s^-1 constants remain separate from encounter s^-1 rates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No unsupported dimensional conversion is made.</w:t>
            </w:r>
          </w:p>
        </w:tc>
      </w:tr>
      <w:tr>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Quantum-circuit role</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Circuit outcomes interpreted as chemistry</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Three-qubit coherent embedding consistency check</w:t>
            </w:r>
          </w:p>
        </w:tc>
        <w:tc>
          <w:tcPr>
            <w:tcW w:type="dxa" w:w="2469"/>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The circuit does not validate open-system chemistry or quantum advantage.</w:t>
            </w:r>
          </w:p>
        </w:tc>
      </w:tr>
      <w:tr>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Interpretation</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Risk of direct biological or cardiotoxicity extrapolation</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Conditional dimensionless sensitivity analysis with evidence-gated inputs</w:t>
            </w:r>
          </w:p>
        </w:tc>
        <w:tc>
          <w:tcPr>
            <w:tcW w:type="dxa" w:w="2469"/>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6"/>
              </w:rPr>
              <w:t>Cellular ROS and clinical outcomes remain outside scope.</w:t>
            </w:r>
          </w:p>
        </w:tc>
      </w:tr>
    </w:tbl>
    <w:p/>
    <w:p>
      <w:pPr>
        <w:pStyle w:val="SourceNote"/>
      </w:pPr>
      <w:r>
        <w:rPr>
          <w:b/>
        </w:rPr>
        <w:t xml:space="preserve">Generated CSV source  </w:t>
      </w:r>
      <w:r>
        <w:t>/Users/arjunlingala/Downloads/ROS_Spin/results/paper/tables/table01_original_versus_corrected_model.csv</w:t>
      </w:r>
    </w:p>
    <w:p>
      <w:r>
        <w:br w:type="page"/>
      </w:r>
    </w:p>
    <w:p>
      <w:pPr>
        <w:pStyle w:val="Heading1"/>
      </w:pPr>
      <w:r>
        <w:t>Corrected Model and Equations</w:t>
      </w:r>
    </w:p>
    <w:p>
      <w:r>
        <w:t>Doxorubicin or adriamycin semiquinone has electron spin S=1/2, whereas ground-state O2 has S=1. Their product space therefore contains 2 x 3 = 6 electronic states. This change determines the correct state dimension and invalidates a two-qubit singlet/triplet description of the encounter.</w:t>
      </w:r>
    </w:p>
    <w:p>
      <w:r>
        <w:t>Angular-momentum addition splits the six-state space into a doublet subspace of dimension two and a quartet subspace of dimension four. Exact projectors define the manifold observables. I6/6, PD/2, PQ/4, and bounded pD mixtures are computational benchmarks, not evidence of chemical state preparation.</w:t>
      </w:r>
    </w:p>
    <w:p>
      <w:pPr>
        <w:jc w:val="center"/>
      </w:pPr>
      <w:r>
        <w:drawing>
          <wp:inline xmlns:a="http://schemas.openxmlformats.org/drawingml/2006/main" xmlns:pic="http://schemas.openxmlformats.org/drawingml/2006/picture">
            <wp:extent cx="2286000" cy="324745"/>
            <wp:docPr id="1" name="Picture 1"/>
            <wp:cNvGraphicFramePr>
              <a:graphicFrameLocks noChangeAspect="1"/>
            </wp:cNvGraphicFramePr>
            <a:graphic>
              <a:graphicData uri="http://schemas.openxmlformats.org/drawingml/2006/picture">
                <pic:pic>
                  <pic:nvPicPr>
                    <pic:cNvPr id="0" name="projectors.png"/>
                    <pic:cNvPicPr/>
                  </pic:nvPicPr>
                  <pic:blipFill>
                    <a:blip r:embed="rId11"/>
                    <a:stretch>
                      <a:fillRect/>
                    </a:stretch>
                  </pic:blipFill>
                  <pic:spPr>
                    <a:xfrm>
                      <a:off x="0" y="0"/>
                      <a:ext cx="2286000" cy="324745"/>
                    </a:xfrm>
                    <a:prstGeom prst="rect"/>
                  </pic:spPr>
                </pic:pic>
              </a:graphicData>
            </a:graphic>
          </wp:inline>
        </w:drawing>
      </w:r>
    </w:p>
    <w:p>
      <w:r>
        <w:t>The active model propagates a six-by-six density matrix with a constant-generator matrix exponential. Zeeman, exchange, dipolar, oxygen zero-field-splitting, and local-field structures are implemented, but unavailable exact-system terms remain disabled or are activated only as named sensitivity coordinates. Local isotropic Lindblad terms supply an explicitly phenomenological relaxation sensitivity model.</w:t>
      </w:r>
    </w:p>
    <w:p>
      <w:pPr>
        <w:jc w:val="center"/>
      </w:pPr>
      <w:r>
        <w:drawing>
          <wp:inline xmlns:a="http://schemas.openxmlformats.org/drawingml/2006/main" xmlns:pic="http://schemas.openxmlformats.org/drawingml/2006/picture">
            <wp:extent cx="3692347" cy="230429"/>
            <wp:docPr id="2" name="Picture 2"/>
            <wp:cNvGraphicFramePr>
              <a:graphicFrameLocks noChangeAspect="1"/>
            </wp:cNvGraphicFramePr>
            <a:graphic>
              <a:graphicData uri="http://schemas.openxmlformats.org/drawingml/2006/picture">
                <pic:pic>
                  <pic:nvPicPr>
                    <pic:cNvPr id="0" name="hamiltonian.png"/>
                    <pic:cNvPicPr/>
                  </pic:nvPicPr>
                  <pic:blipFill>
                    <a:blip r:embed="rId12"/>
                    <a:stretch>
                      <a:fillRect/>
                    </a:stretch>
                  </pic:blipFill>
                  <pic:spPr>
                    <a:xfrm>
                      <a:off x="0" y="0"/>
                      <a:ext cx="3692347" cy="230429"/>
                    </a:xfrm>
                    <a:prstGeom prst="rect"/>
                  </pic:spPr>
                </pic:pic>
              </a:graphicData>
            </a:graphic>
          </wp:inline>
        </w:drawing>
      </w:r>
    </w:p>
    <w:p>
      <w:r>
        <w:t>Electron transfer is represented by separate first-order loss operators in the doublet and quartet manifolds, while encounter escape removes population independently. The model integrates these fluxes through time and retains unresolved survival so that reaction, escape, and survival close to unity.</w:t>
      </w:r>
    </w:p>
    <w:p>
      <w:pPr>
        <w:jc w:val="center"/>
      </w:pPr>
      <w:r>
        <w:drawing>
          <wp:inline xmlns:a="http://schemas.openxmlformats.org/drawingml/2006/main" xmlns:pic="http://schemas.openxmlformats.org/drawingml/2006/picture">
            <wp:extent cx="3134563" cy="250546"/>
            <wp:docPr id="3" name="Picture 3"/>
            <wp:cNvGraphicFramePr>
              <a:graphicFrameLocks noChangeAspect="1"/>
            </wp:cNvGraphicFramePr>
            <a:graphic>
              <a:graphicData uri="http://schemas.openxmlformats.org/drawingml/2006/picture">
                <pic:pic>
                  <pic:nvPicPr>
                    <pic:cNvPr id="0" name="master_equation.png"/>
                    <pic:cNvPicPr/>
                  </pic:nvPicPr>
                  <pic:blipFill>
                    <a:blip r:embed="rId13"/>
                    <a:stretch>
                      <a:fillRect/>
                    </a:stretch>
                  </pic:blipFill>
                  <pic:spPr>
                    <a:xfrm>
                      <a:off x="0" y="0"/>
                      <a:ext cx="3134563" cy="250546"/>
                    </a:xfrm>
                    <a:prstGeom prst="rect"/>
                  </pic:spPr>
                </pic:pic>
              </a:graphicData>
            </a:graphic>
          </wp:inline>
        </w:drawing>
      </w:r>
    </w:p>
    <w:p>
      <w:r>
        <w:t>Primary superoxide is calculated only as the sum of integrated doublet and quartet electron-transfer yields. One reacted encounter contributes one primary superoxide-family radical equivalent. A final spin population is never re-labeled as chemical product.</w:t>
      </w:r>
    </w:p>
    <w:p>
      <w:pPr>
        <w:jc w:val="center"/>
      </w:pPr>
      <w:r>
        <w:drawing>
          <wp:inline xmlns:a="http://schemas.openxmlformats.org/drawingml/2006/main" xmlns:pic="http://schemas.openxmlformats.org/drawingml/2006/picture">
            <wp:extent cx="4213555" cy="283464"/>
            <wp:docPr id="4" name="Picture 4"/>
            <wp:cNvGraphicFramePr>
              <a:graphicFrameLocks noChangeAspect="1"/>
            </wp:cNvGraphicFramePr>
            <a:graphic>
              <a:graphicData uri="http://schemas.openxmlformats.org/drawingml/2006/picture">
                <pic:pic>
                  <pic:nvPicPr>
                    <pic:cNvPr id="0" name="reaction_yields.png"/>
                    <pic:cNvPicPr/>
                  </pic:nvPicPr>
                  <pic:blipFill>
                    <a:blip r:embed="rId14"/>
                    <a:stretch>
                      <a:fillRect/>
                    </a:stretch>
                  </pic:blipFill>
                  <pic:spPr>
                    <a:xfrm>
                      <a:off x="0" y="0"/>
                      <a:ext cx="4213555" cy="283464"/>
                    </a:xfrm>
                    <a:prstGeom prst="rect"/>
                  </pic:spPr>
                </pic:pic>
              </a:graphicData>
            </a:graphic>
          </wp:inline>
        </w:drawing>
      </w:r>
    </w:p>
    <w:p>
      <w:pPr>
        <w:jc w:val="center"/>
      </w:pPr>
      <w:r>
        <w:drawing>
          <wp:inline xmlns:a="http://schemas.openxmlformats.org/drawingml/2006/main" xmlns:pic="http://schemas.openxmlformats.org/drawingml/2006/picture">
            <wp:extent cx="2286000" cy="277327"/>
            <wp:docPr id="5" name="Picture 5"/>
            <wp:cNvGraphicFramePr>
              <a:graphicFrameLocks noChangeAspect="1"/>
            </wp:cNvGraphicFramePr>
            <a:graphic>
              <a:graphicData uri="http://schemas.openxmlformats.org/drawingml/2006/picture">
                <pic:pic>
                  <pic:nvPicPr>
                    <pic:cNvPr id="0" name="probability_balance.png"/>
                    <pic:cNvPicPr/>
                  </pic:nvPicPr>
                  <pic:blipFill>
                    <a:blip r:embed="rId15"/>
                    <a:stretch>
                      <a:fillRect/>
                    </a:stretch>
                  </pic:blipFill>
                  <pic:spPr>
                    <a:xfrm>
                      <a:off x="0" y="0"/>
                      <a:ext cx="2286000" cy="277327"/>
                    </a:xfrm>
                    <a:prstGeom prst="rect"/>
                  </pic:spPr>
                </pic:pic>
              </a:graphicData>
            </a:graphic>
          </wp:inline>
        </w:drawing>
      </w:r>
    </w:p>
    <w:p>
      <w:r>
        <w:t>A distinct fixed-pH model partitions the radical pool between HO2 and O2-minus, applies spontaneous and SOD-mediated dismutation, consumes two radical equivalents per H2O2, and tracks an optional H2O2 loss channel. This stage does not feed an encounter spin population directly into H2O2.</w:t>
      </w:r>
    </w:p>
    <w:p>
      <w:pPr>
        <w:jc w:val="center"/>
      </w:pPr>
      <w:r>
        <w:drawing>
          <wp:inline xmlns:a="http://schemas.openxmlformats.org/drawingml/2006/main" xmlns:pic="http://schemas.openxmlformats.org/drawingml/2006/picture">
            <wp:extent cx="2286000" cy="223510"/>
            <wp:docPr id="6" name="Picture 6"/>
            <wp:cNvGraphicFramePr>
              <a:graphicFrameLocks noChangeAspect="1"/>
            </wp:cNvGraphicFramePr>
            <a:graphic>
              <a:graphicData uri="http://schemas.openxmlformats.org/drawingml/2006/picture">
                <pic:pic>
                  <pic:nvPicPr>
                    <pic:cNvPr id="0" name="h2o2_stoichiometry.png"/>
                    <pic:cNvPicPr/>
                  </pic:nvPicPr>
                  <pic:blipFill>
                    <a:blip r:embed="rId16"/>
                    <a:stretch>
                      <a:fillRect/>
                    </a:stretch>
                  </pic:blipFill>
                  <pic:spPr>
                    <a:xfrm>
                      <a:off x="0" y="0"/>
                      <a:ext cx="2286000" cy="223510"/>
                    </a:xfrm>
                    <a:prstGeom prst="rect"/>
                  </pic:spPr>
                </pic:pic>
              </a:graphicData>
            </a:graphic>
          </wp:inline>
        </w:drawing>
      </w:r>
    </w:p>
    <w:p>
      <w:r>
        <w:br w:type="page"/>
      </w:r>
    </w:p>
    <w:p>
      <w:pPr>
        <w:pStyle w:val="Heading1"/>
      </w:pPr>
      <w:r>
        <w:t>Figure 1 Conceptual Model Overview</w:t>
      </w:r>
    </w:p>
    <w:p>
      <w:pPr>
        <w:keepNext/>
        <w:jc w:val="center"/>
      </w:pPr>
      <w:r>
        <w:drawing>
          <wp:inline xmlns:a="http://schemas.openxmlformats.org/drawingml/2006/main" xmlns:pic="http://schemas.openxmlformats.org/drawingml/2006/picture">
            <wp:extent cx="6080760" cy="2344826"/>
            <wp:docPr id="7" name="Picture 7"/>
            <wp:cNvGraphicFramePr>
              <a:graphicFrameLocks noChangeAspect="1"/>
            </wp:cNvGraphicFramePr>
            <a:graphic>
              <a:graphicData uri="http://schemas.openxmlformats.org/drawingml/2006/picture">
                <pic:pic>
                  <pic:nvPicPr>
                    <pic:cNvPr id="0" name="figure01_model_overview.png"/>
                    <pic:cNvPicPr/>
                  </pic:nvPicPr>
                  <pic:blipFill>
                    <a:blip r:embed="rId17"/>
                    <a:stretch>
                      <a:fillRect/>
                    </a:stretch>
                  </pic:blipFill>
                  <pic:spPr>
                    <a:xfrm>
                      <a:off x="0" y="0"/>
                      <a:ext cx="6080760" cy="2344826"/>
                    </a:xfrm>
                    <a:prstGeom prst="rect"/>
                  </pic:spPr>
                </pic:pic>
              </a:graphicData>
            </a:graphic>
          </wp:inline>
        </w:drawing>
      </w:r>
    </w:p>
    <w:p>
      <w:pPr>
        <w:pStyle w:val="FigureCaption"/>
        <w:keepLines/>
      </w:pPr>
      <w:r>
        <w:rPr>
          <w:b/>
        </w:rPr>
        <w:t xml:space="preserve">Figure 1  Corrected Model Overview. </w:t>
      </w:r>
      <w:r>
        <w:t>Corrected model overview. Doxorubicin reduction and semiquinone formation are classical upstream stages. A semiquinone-triplet-O2 encounter enters the six-state doublet/quartet quantum spin-evolution stage, followed by competing spin-selective electron transfer or escape. Integrated reaction flux forms primary superoxide; fixed-pH HO2/O2-minus speciation and dismutation subsequently form H2O2, which may be lost through a separate sink. Conceptual workflow created by the authors; not a simulation output. The diagram is non-quantitative and does not assert coherent preparation or a measured encounter.</w:t>
      </w:r>
    </w:p>
    <w:p>
      <w:pPr>
        <w:pStyle w:val="SourceNote"/>
        <w:keepLines/>
      </w:pPr>
      <w:r>
        <w:rPr>
          <w:b/>
        </w:rPr>
        <w:t xml:space="preserve">Source data  </w:t>
      </w:r>
      <w:r>
        <w:t>/Users/arjunlingala/Downloads/ROS_Spin/results/paper/data/figure01_model_overview.csv</w:t>
      </w:r>
      <w:r>
        <w:rPr>
          <w:b/>
        </w:rPr>
        <w:t xml:space="preserve">    Caption  </w:t>
      </w:r>
      <w:r>
        <w:t>/Users/arjunlingala/Downloads/ROS_Spin/results/paper/captions/figure01_model_overview_caption.txt</w:t>
      </w:r>
    </w:p>
    <w:p>
      <w:r>
        <w:br w:type="page"/>
      </w:r>
    </w:p>
    <w:p>
      <w:pPr>
        <w:pStyle w:val="Heading1"/>
      </w:pPr>
      <w:r>
        <w:t>Computational Methods and Script Mapping</w:t>
      </w:r>
    </w:p>
    <w:p>
      <w:r>
        <w:t>The active workflow separates model equations, command-line policy, sensitivity design, plotting, evidence, and tests so that each generated claim can be traced to code and source data.</w:t>
      </w:r>
    </w:p>
    <w:p>
      <w:r>
        <w:rPr>
          <w:b/>
        </w:rPr>
        <w:t xml:space="preserve">spin_chemistry.py  </w:t>
      </w:r>
      <w:r>
        <w:t>Defines spin operators and projectors, six-state Hamiltonians, reference and independent propagators, staged ROS chemistry, evidence gates, and coherent embedding checks.</w:t>
      </w:r>
    </w:p>
    <w:p>
      <w:r>
        <w:rPr>
          <w:b/>
        </w:rPr>
        <w:t xml:space="preserve">ROS.py  </w:t>
      </w:r>
      <w:r>
        <w:t>Provides the guarded command line for a single evidence-backed bulk calculation or an explicitly opted-in encounter sensitivity case.</w:t>
      </w:r>
    </w:p>
    <w:p>
      <w:r>
        <w:rPr>
          <w:b/>
        </w:rPr>
        <w:t xml:space="preserve">sensitivity_analysis.py  </w:t>
      </w:r>
      <w:r>
        <w:t>Defines normalized one- and two-dimensional sweeps, benchmark initial states, probability outputs, and the non-predictive labeling policy.</w:t>
      </w:r>
    </w:p>
    <w:p>
      <w:r>
        <w:rPr>
          <w:b/>
        </w:rPr>
        <w:t xml:space="preserve">paper_analysis.py  </w:t>
      </w:r>
      <w:r>
        <w:t>Runs the deterministic paper workflow, writes Figure 1-11 source data, renders all figures, generates Tables 1-9, and records run metadata.</w:t>
      </w:r>
    </w:p>
    <w:p>
      <w:r>
        <w:rPr>
          <w:b/>
        </w:rPr>
        <w:t xml:space="preserve">plotting.py  </w:t>
      </w:r>
      <w:r>
        <w:t>Renders each figure from its saved source CSV using one visual style and the required sensitivity warning.</w:t>
      </w:r>
    </w:p>
    <w:p>
      <w:r>
        <w:rPr>
          <w:b/>
        </w:rPr>
        <w:t xml:space="preserve">configs/doxorubicin_parameters.json  </w:t>
      </w:r>
      <w:r>
        <w:t>Stores active, disabled, sensitivity-only, downstream, bulk-rate, and experimental-evidence records.</w:t>
      </w:r>
    </w:p>
    <w:p>
      <w:r>
        <w:rPr>
          <w:b/>
        </w:rPr>
        <w:t xml:space="preserve">configs/parameter_provenance.csv  </w:t>
      </w:r>
      <w:r>
        <w:t>Provides the machine-readable source ledger, conditions, uncertainty, suitability, and exact code paths.</w:t>
      </w:r>
    </w:p>
    <w:p>
      <w:r>
        <w:rPr>
          <w:b/>
        </w:rPr>
        <w:t xml:space="preserve">tests  </w:t>
      </w:r>
      <w:r>
        <w:t>Checks spin algebra, dynamics, evidence policy, independent validation, downstream balances, circuit behavior, legacy boundaries, and the paper and handoff pipelines.</w:t>
      </w:r>
    </w:p>
    <w:p>
      <w:r>
        <w:t>The JSON configuration and provenance CSV distinguish measured or literature-derived bulk quantities from missing encounter quantities. Bulk constants in M^-1 s^-1 remain separate from kD, kQ, relaxation, and escape in s^-1. Missing geometry, tensors, relaxation times, state preparation, and state-resolved rates are not assigned invented values.</w:t>
      </w:r>
    </w:p>
    <w:p>
      <w:r>
        <w:t>All encounter results are conditional, dimensionless sensitivity results. Mixing, relaxation, escape, initial doublet fraction, and kQ/kD are varied over declared computational coordinates. The equality kQ/kD=1 is the spin-independent null; the displayed axes are not measured ranges, probability distributions, priors, or confidence intervals.</w:t>
      </w:r>
    </w:p>
    <w:p>
      <w:r>
        <w:br w:type="page"/>
      </w:r>
    </w:p>
    <w:p>
      <w:pPr>
        <w:pStyle w:val="Heading1"/>
      </w:pPr>
      <w:r>
        <w:t>Figure 2 Benchmark Trajectories</w:t>
      </w:r>
    </w:p>
    <w:p>
      <w:pPr>
        <w:keepNext/>
        <w:jc w:val="center"/>
      </w:pPr>
      <w:r>
        <w:drawing>
          <wp:inline xmlns:a="http://schemas.openxmlformats.org/drawingml/2006/main" xmlns:pic="http://schemas.openxmlformats.org/drawingml/2006/picture">
            <wp:extent cx="5003141" cy="5074920"/>
            <wp:docPr id="8" name="Picture 8"/>
            <wp:cNvGraphicFramePr>
              <a:graphicFrameLocks noChangeAspect="1"/>
            </wp:cNvGraphicFramePr>
            <a:graphic>
              <a:graphicData uri="http://schemas.openxmlformats.org/drawingml/2006/picture">
                <pic:pic>
                  <pic:nvPicPr>
                    <pic:cNvPr id="0" name="figure02_benchmark_trajectories.png"/>
                    <pic:cNvPicPr/>
                  </pic:nvPicPr>
                  <pic:blipFill>
                    <a:blip r:embed="rId18"/>
                    <a:stretch>
                      <a:fillRect/>
                    </a:stretch>
                  </pic:blipFill>
                  <pic:spPr>
                    <a:xfrm>
                      <a:off x="0" y="0"/>
                      <a:ext cx="5003141" cy="5074920"/>
                    </a:xfrm>
                    <a:prstGeom prst="rect"/>
                  </pic:spPr>
                </pic:pic>
              </a:graphicData>
            </a:graphic>
          </wp:inline>
        </w:drawing>
      </w:r>
    </w:p>
    <w:p>
      <w:pPr>
        <w:pStyle w:val="FigureCaption"/>
        <w:keepLines/>
      </w:pPr>
      <w:r>
        <w:rPr>
          <w:b/>
        </w:rPr>
        <w:t xml:space="preserve">Figure 2  Benchmark Encounter Trajectories. </w:t>
      </w:r>
      <w:r>
        <w:t>Benchmark encounter trajectories. Surviving doublet and quartet populations, total survival, cumulative doublet and quartet reaction yields, primary-superoxide yield, and escape yield are shown against normalized time for five benchmark mixtures. At every sampled time, YD + YQ + Yescape + Psurvival = 1 within numerical tolerance. The settings kD/kref=1, kQ/kD=0.1, kescape/kref=1, omega_local/kref=1, and gammaR/kref=gammaO/kref=0.1 are illustrative sensitivity coordinates, not measured parameters.</w:t>
      </w:r>
    </w:p>
    <w:p>
      <w:pPr>
        <w:pStyle w:val="SourceNote"/>
        <w:keepLines/>
      </w:pPr>
      <w:r>
        <w:rPr>
          <w:b/>
        </w:rPr>
        <w:t xml:space="preserve">Source data  </w:t>
      </w:r>
      <w:r>
        <w:t>/Users/arjunlingala/Downloads/ROS_Spin/results/paper/data/figure02_benchmark_trajectories.csv</w:t>
      </w:r>
      <w:r>
        <w:rPr>
          <w:b/>
        </w:rPr>
        <w:t xml:space="preserve">    Caption  </w:t>
      </w:r>
      <w:r>
        <w:t>/Users/arjunlingala/Downloads/ROS_Spin/results/paper/captions/figure02_benchmark_trajectories_caption.txt</w:t>
      </w:r>
    </w:p>
    <w:p>
      <w:r>
        <w:br w:type="page"/>
      </w:r>
    </w:p>
    <w:p>
      <w:pPr>
        <w:pStyle w:val="Heading1"/>
      </w:pPr>
      <w:r>
        <w:t>Figure 3 Initial State Comparison</w:t>
      </w:r>
    </w:p>
    <w:p>
      <w:pPr>
        <w:keepNext/>
        <w:jc w:val="center"/>
      </w:pPr>
      <w:r>
        <w:drawing>
          <wp:inline xmlns:a="http://schemas.openxmlformats.org/drawingml/2006/main" xmlns:pic="http://schemas.openxmlformats.org/drawingml/2006/picture">
            <wp:extent cx="6080760" cy="3186697"/>
            <wp:docPr id="9" name="Picture 9"/>
            <wp:cNvGraphicFramePr>
              <a:graphicFrameLocks noChangeAspect="1"/>
            </wp:cNvGraphicFramePr>
            <a:graphic>
              <a:graphicData uri="http://schemas.openxmlformats.org/drawingml/2006/picture">
                <pic:pic>
                  <pic:nvPicPr>
                    <pic:cNvPr id="0" name="figure03_initial_state_comparison.png"/>
                    <pic:cNvPicPr/>
                  </pic:nvPicPr>
                  <pic:blipFill>
                    <a:blip r:embed="rId19"/>
                    <a:stretch>
                      <a:fillRect/>
                    </a:stretch>
                  </pic:blipFill>
                  <pic:spPr>
                    <a:xfrm>
                      <a:off x="0" y="0"/>
                      <a:ext cx="6080760" cy="3186697"/>
                    </a:xfrm>
                    <a:prstGeom prst="rect"/>
                  </pic:spPr>
                </pic:pic>
              </a:graphicData>
            </a:graphic>
          </wp:inline>
        </w:drawing>
      </w:r>
    </w:p>
    <w:p>
      <w:pPr>
        <w:pStyle w:val="FigureCaption"/>
        <w:keepLines/>
      </w:pPr>
      <w:r>
        <w:rPr>
          <w:b/>
        </w:rPr>
        <w:t xml:space="preserve">Figure 3  Initial State Comparison. </w:t>
      </w:r>
      <w:r>
        <w:t>Initial-state comparison. Final reaction, escape, and unresolved survival outcomes are compared for the unpolarized encounter, doublet-manifold benchmark, quartet-manifold benchmark, and pD=0.25 and pD=0.75 mixtures. The doublet and quartet cases are computational limiting benchmarks rather than demonstrated chemically prepared states. Primary superoxide is the sum of integrated D and Q reaction yields, not a final spin population.</w:t>
      </w:r>
    </w:p>
    <w:p>
      <w:pPr>
        <w:pStyle w:val="SourceNote"/>
        <w:keepLines/>
      </w:pPr>
      <w:r>
        <w:rPr>
          <w:b/>
        </w:rPr>
        <w:t xml:space="preserve">Source data  </w:t>
      </w:r>
      <w:r>
        <w:t>/Users/arjunlingala/Downloads/ROS_Spin/results/paper/data/figure03_initial_state_comparison.csv</w:t>
      </w:r>
      <w:r>
        <w:rPr>
          <w:b/>
        </w:rPr>
        <w:t xml:space="preserve">    Caption  </w:t>
      </w:r>
      <w:r>
        <w:t>/Users/arjunlingala/Downloads/ROS_Spin/results/paper/captions/figure03_initial_state_comparison_caption.txt</w:t>
      </w:r>
    </w:p>
    <w:p>
      <w:r>
        <w:br w:type="page"/>
      </w:r>
    </w:p>
    <w:p>
      <w:pPr>
        <w:pStyle w:val="Heading1"/>
      </w:pPr>
      <w:r>
        <w:t>Figures 4 and 5 Timescale Competition</w:t>
      </w:r>
    </w:p>
    <w:p>
      <w:pPr>
        <w:keepNext/>
        <w:jc w:val="center"/>
      </w:pPr>
      <w:r>
        <w:drawing>
          <wp:inline xmlns:a="http://schemas.openxmlformats.org/drawingml/2006/main" xmlns:pic="http://schemas.openxmlformats.org/drawingml/2006/picture">
            <wp:extent cx="6080760" cy="5069848"/>
            <wp:docPr id="10" name="Picture 10"/>
            <wp:cNvGraphicFramePr>
              <a:graphicFrameLocks noChangeAspect="1"/>
            </wp:cNvGraphicFramePr>
            <a:graphic>
              <a:graphicData uri="http://schemas.openxmlformats.org/drawingml/2006/picture">
                <pic:pic>
                  <pic:nvPicPr>
                    <pic:cNvPr id="0" name="figure04_mixing_escape_heatmaps.png"/>
                    <pic:cNvPicPr/>
                  </pic:nvPicPr>
                  <pic:blipFill>
                    <a:blip r:embed="rId20"/>
                    <a:stretch>
                      <a:fillRect/>
                    </a:stretch>
                  </pic:blipFill>
                  <pic:spPr>
                    <a:xfrm>
                      <a:off x="0" y="0"/>
                      <a:ext cx="6080760" cy="5069848"/>
                    </a:xfrm>
                    <a:prstGeom prst="rect"/>
                  </pic:spPr>
                </pic:pic>
              </a:graphicData>
            </a:graphic>
          </wp:inline>
        </w:drawing>
      </w:r>
    </w:p>
    <w:p>
      <w:pPr>
        <w:pStyle w:val="FigureCaption"/>
        <w:keepLines/>
      </w:pPr>
      <w:r>
        <w:rPr>
          <w:b/>
        </w:rPr>
        <w:t xml:space="preserve">Figure 4  Mixing versus Escape Heatmaps. </w:t>
      </w:r>
      <w:r>
        <w:t>Mixing-versus-escape heatmaps. Primary-superoxide yield per encounter is calculated over normalized local D/Q mixing and escape rates for kQ/kD=0, 0.1, 1, and 10. The kQ/kD=1 panel is the spin-independent null condition. Zero and logarithmic nonzero coordinates are illustrative; no displayed range is experimentally established.</w:t>
      </w:r>
    </w:p>
    <w:p>
      <w:pPr>
        <w:pStyle w:val="SourceNote"/>
        <w:keepLines/>
      </w:pPr>
      <w:r>
        <w:rPr>
          <w:b/>
        </w:rPr>
        <w:t xml:space="preserve">Source data  </w:t>
      </w:r>
      <w:r>
        <w:t>/Users/arjunlingala/Downloads/ROS_Spin/results/paper/data/figure04_mixing_escape_heatmaps.csv</w:t>
      </w:r>
      <w:r>
        <w:rPr>
          <w:b/>
        </w:rPr>
        <w:t xml:space="preserve">    Caption  </w:t>
      </w:r>
      <w:r>
        <w:t>/Users/arjunlingala/Downloads/ROS_Spin/results/paper/captions/figure04_mixing_escape_heatmaps_caption.txt</w:t>
      </w:r>
    </w:p>
    <w:p>
      <w:r>
        <w:br w:type="page"/>
      </w:r>
    </w:p>
    <w:p>
      <w:pPr>
        <w:keepNext/>
        <w:jc w:val="center"/>
      </w:pPr>
      <w:r>
        <w:drawing>
          <wp:inline xmlns:a="http://schemas.openxmlformats.org/drawingml/2006/main" xmlns:pic="http://schemas.openxmlformats.org/drawingml/2006/picture">
            <wp:extent cx="6080760" cy="5069848"/>
            <wp:docPr id="11" name="Picture 11"/>
            <wp:cNvGraphicFramePr>
              <a:graphicFrameLocks noChangeAspect="1"/>
            </wp:cNvGraphicFramePr>
            <a:graphic>
              <a:graphicData uri="http://schemas.openxmlformats.org/drawingml/2006/picture">
                <pic:pic>
                  <pic:nvPicPr>
                    <pic:cNvPr id="0" name="figure05_mixing_relaxation_heatmaps.png"/>
                    <pic:cNvPicPr/>
                  </pic:nvPicPr>
                  <pic:blipFill>
                    <a:blip r:embed="rId21"/>
                    <a:stretch>
                      <a:fillRect/>
                    </a:stretch>
                  </pic:blipFill>
                  <pic:spPr>
                    <a:xfrm>
                      <a:off x="0" y="0"/>
                      <a:ext cx="6080760" cy="5069848"/>
                    </a:xfrm>
                    <a:prstGeom prst="rect"/>
                  </pic:spPr>
                </pic:pic>
              </a:graphicData>
            </a:graphic>
          </wp:inline>
        </w:drawing>
      </w:r>
    </w:p>
    <w:p>
      <w:pPr>
        <w:pStyle w:val="FigureCaption"/>
        <w:keepLines/>
      </w:pPr>
      <w:r>
        <w:rPr>
          <w:b/>
        </w:rPr>
        <w:t xml:space="preserve">Figure 5  Mixing versus Relaxation Heatmaps. </w:t>
      </w:r>
      <w:r>
        <w:t>Mixing-versus-relaxation heatmaps. Primary-superoxide yield is calculated for an unpolarized benchmark over normalized local mixing and equal radical/O2 relaxation rates. The fixed settings are kD/kref=1, kescape/kref=1, and duration=8/kref; panels show kQ/kD=0, 0.1, 1, and 10, with equality marked as the spin-independent null. All coordinates are illustrative and non-predictive.</w:t>
      </w:r>
    </w:p>
    <w:p>
      <w:pPr>
        <w:pStyle w:val="SourceNote"/>
        <w:keepLines/>
      </w:pPr>
      <w:r>
        <w:rPr>
          <w:b/>
        </w:rPr>
        <w:t xml:space="preserve">Source data  </w:t>
      </w:r>
      <w:r>
        <w:t>/Users/arjunlingala/Downloads/ROS_Spin/results/paper/data/figure05_mixing_relaxation_heatmaps.csv</w:t>
      </w:r>
      <w:r>
        <w:rPr>
          <w:b/>
        </w:rPr>
        <w:t xml:space="preserve">    Caption  </w:t>
      </w:r>
      <w:r>
        <w:t>/Users/arjunlingala/Downloads/ROS_Spin/results/paper/captions/figure05_mixing_relaxation_heatmaps_caption.txt</w:t>
      </w:r>
    </w:p>
    <w:p>
      <w:r>
        <w:br w:type="page"/>
      </w:r>
    </w:p>
    <w:p>
      <w:pPr>
        <w:pStyle w:val="Heading1"/>
      </w:pPr>
      <w:r>
        <w:t>Figure 6 Reaction Selectivity Sensitivity</w:t>
      </w:r>
    </w:p>
    <w:p>
      <w:pPr>
        <w:keepNext/>
        <w:jc w:val="center"/>
      </w:pPr>
      <w:r>
        <w:drawing>
          <wp:inline xmlns:a="http://schemas.openxmlformats.org/drawingml/2006/main" xmlns:pic="http://schemas.openxmlformats.org/drawingml/2006/picture">
            <wp:extent cx="6080760" cy="4647888"/>
            <wp:docPr id="12" name="Picture 12"/>
            <wp:cNvGraphicFramePr>
              <a:graphicFrameLocks noChangeAspect="1"/>
            </wp:cNvGraphicFramePr>
            <a:graphic>
              <a:graphicData uri="http://schemas.openxmlformats.org/drawingml/2006/picture">
                <pic:pic>
                  <pic:nvPicPr>
                    <pic:cNvPr id="0" name="figure06_reaction_selectivity.png"/>
                    <pic:cNvPicPr/>
                  </pic:nvPicPr>
                  <pic:blipFill>
                    <a:blip r:embed="rId22"/>
                    <a:stretch>
                      <a:fillRect/>
                    </a:stretch>
                  </pic:blipFill>
                  <pic:spPr>
                    <a:xfrm>
                      <a:off x="0" y="0"/>
                      <a:ext cx="6080760" cy="4647888"/>
                    </a:xfrm>
                    <a:prstGeom prst="rect"/>
                  </pic:spPr>
                </pic:pic>
              </a:graphicData>
            </a:graphic>
          </wp:inline>
        </w:drawing>
      </w:r>
    </w:p>
    <w:p>
      <w:pPr>
        <w:pStyle w:val="FigureCaption"/>
        <w:keepLines/>
      </w:pPr>
      <w:r>
        <w:rPr>
          <w:b/>
        </w:rPr>
        <w:t xml:space="preserve">Figure 6  Reaction Selectivity Sensitivity. </w:t>
      </w:r>
      <w:r>
        <w:t>Reaction-selectivity sensitivity. Primary-superoxide yield is plotted against kQ/kD for unpolarized, doublet, quartet, pD=0.25, and pD=0.75 benchmarks across three mixing and escape settings. The vertical line marks kQ/kD=1 as the spin-independent null. The kQ/kD axis is a sensitivity coordinate, not a measured or chemically defensible probability distribution or physical range.</w:t>
      </w:r>
    </w:p>
    <w:p>
      <w:pPr>
        <w:pStyle w:val="SourceNote"/>
        <w:keepLines/>
      </w:pPr>
      <w:r>
        <w:rPr>
          <w:b/>
        </w:rPr>
        <w:t xml:space="preserve">Source data  </w:t>
      </w:r>
      <w:r>
        <w:t>/Users/arjunlingala/Downloads/ROS_Spin/results/paper/data/figure06_reaction_selectivity.csv</w:t>
      </w:r>
      <w:r>
        <w:rPr>
          <w:b/>
        </w:rPr>
        <w:t xml:space="preserve">    Caption  </w:t>
      </w:r>
      <w:r>
        <w:t>/Users/arjunlingala/Downloads/ROS_Spin/results/paper/captions/figure06_reaction_selectivity_caption.txt</w:t>
      </w:r>
    </w:p>
    <w:p>
      <w:r>
        <w:br w:type="page"/>
      </w:r>
    </w:p>
    <w:p>
      <w:pPr>
        <w:pStyle w:val="Heading1"/>
      </w:pPr>
      <w:r>
        <w:t>Figure 7 Controls</w:t>
      </w:r>
    </w:p>
    <w:p>
      <w:pPr>
        <w:keepNext/>
        <w:jc w:val="center"/>
      </w:pPr>
      <w:r>
        <w:drawing>
          <wp:inline xmlns:a="http://schemas.openxmlformats.org/drawingml/2006/main" xmlns:pic="http://schemas.openxmlformats.org/drawingml/2006/picture">
            <wp:extent cx="6080760" cy="3960777"/>
            <wp:docPr id="13" name="Picture 13"/>
            <wp:cNvGraphicFramePr>
              <a:graphicFrameLocks noChangeAspect="1"/>
            </wp:cNvGraphicFramePr>
            <a:graphic>
              <a:graphicData uri="http://schemas.openxmlformats.org/drawingml/2006/picture">
                <pic:pic>
                  <pic:nvPicPr>
                    <pic:cNvPr id="0" name="figure07_controls.png"/>
                    <pic:cNvPicPr/>
                  </pic:nvPicPr>
                  <pic:blipFill>
                    <a:blip r:embed="rId23"/>
                    <a:stretch>
                      <a:fillRect/>
                    </a:stretch>
                  </pic:blipFill>
                  <pic:spPr>
                    <a:xfrm>
                      <a:off x="0" y="0"/>
                      <a:ext cx="6080760" cy="3960777"/>
                    </a:xfrm>
                    <a:prstGeom prst="rect"/>
                  </pic:spPr>
                </pic:pic>
              </a:graphicData>
            </a:graphic>
          </wp:inline>
        </w:drawing>
      </w:r>
    </w:p>
    <w:p>
      <w:pPr>
        <w:pStyle w:val="FigureCaption"/>
        <w:keepLines/>
      </w:pPr>
      <w:r>
        <w:rPr>
          <w:b/>
        </w:rPr>
        <w:t xml:space="preserve">Figure 7  Controls and Limiting Cases. </w:t>
      </w:r>
      <w:r>
        <w:t>Controls and limiting cases. Baseline sensitivity, zero mixing, kQ=kD spin-independent reaction, fast relaxation, rapid escape, doublet benchmark, and quartet benchmark cases show primary reaction, escape, and unresolved survival. Stacked outcomes make probability accounting visible. All rates and initial-state restrictions are computational controls, not established encounter parameters or preparations.</w:t>
      </w:r>
    </w:p>
    <w:p>
      <w:pPr>
        <w:pStyle w:val="SourceNote"/>
        <w:keepLines/>
      </w:pPr>
      <w:r>
        <w:rPr>
          <w:b/>
        </w:rPr>
        <w:t xml:space="preserve">Source data  </w:t>
      </w:r>
      <w:r>
        <w:t>/Users/arjunlingala/Downloads/ROS_Spin/results/paper/data/figure07_controls.csv</w:t>
      </w:r>
      <w:r>
        <w:rPr>
          <w:b/>
        </w:rPr>
        <w:t xml:space="preserve">    Caption  </w:t>
      </w:r>
      <w:r>
        <w:t>/Users/arjunlingala/Downloads/ROS_Spin/results/paper/captions/figure07_controls_caption.txt</w:t>
      </w:r>
    </w:p>
    <w:p>
      <w:r>
        <w:br w:type="page"/>
      </w:r>
    </w:p>
    <w:p>
      <w:pPr>
        <w:pStyle w:val="Heading1"/>
      </w:pPr>
      <w:r>
        <w:t>Figure 8 Independent Solver Validation</w:t>
      </w:r>
    </w:p>
    <w:p>
      <w:r>
        <w:t>The worst absolute discrepancy between the reference matrix exponential and the separately constructed adaptive Dormand-Prince solver is 1.044e-12. The maximum encounter probability-balance error is 1.318e-13, and the maximum downstream radical-equivalent balance error is 1.694e-21 M. These checks validate numerical consistency rather than physical parameterization.</w:t>
      </w:r>
    </w:p>
    <w:p>
      <w:pPr>
        <w:keepNext/>
        <w:jc w:val="center"/>
      </w:pPr>
      <w:r>
        <w:drawing>
          <wp:inline xmlns:a="http://schemas.openxmlformats.org/drawingml/2006/main" xmlns:pic="http://schemas.openxmlformats.org/drawingml/2006/picture">
            <wp:extent cx="6080760" cy="4392634"/>
            <wp:docPr id="14" name="Picture 14"/>
            <wp:cNvGraphicFramePr>
              <a:graphicFrameLocks noChangeAspect="1"/>
            </wp:cNvGraphicFramePr>
            <a:graphic>
              <a:graphicData uri="http://schemas.openxmlformats.org/drawingml/2006/picture">
                <pic:pic>
                  <pic:nvPicPr>
                    <pic:cNvPr id="0" name="figure08_solver_validation.png"/>
                    <pic:cNvPicPr/>
                  </pic:nvPicPr>
                  <pic:blipFill>
                    <a:blip r:embed="rId24"/>
                    <a:stretch>
                      <a:fillRect/>
                    </a:stretch>
                  </pic:blipFill>
                  <pic:spPr>
                    <a:xfrm>
                      <a:off x="0" y="0"/>
                      <a:ext cx="6080760" cy="4392634"/>
                    </a:xfrm>
                    <a:prstGeom prst="rect"/>
                  </pic:spPr>
                </pic:pic>
              </a:graphicData>
            </a:graphic>
          </wp:inline>
        </w:drawing>
      </w:r>
    </w:p>
    <w:p>
      <w:pPr>
        <w:pStyle w:val="FigureCaption"/>
        <w:keepLines/>
      </w:pPr>
      <w:r>
        <w:rPr>
          <w:b/>
        </w:rPr>
        <w:t xml:space="preserve">Figure 8  Independent Numerical Validation. </w:t>
      </w:r>
      <w:r>
        <w:t>Independent numerical validation. A separately constructed adaptive Dormand-Prince 5(4) solver is compared with the constant-generator matrix-exponential reference for full density matrices, doublet and quartet populations, survival, reaction yields, escape yield, and probability balance. Dashed lines show declared tolerances. Agreement validates numerical implementation only, not physical encounter inputs.</w:t>
      </w:r>
    </w:p>
    <w:p>
      <w:pPr>
        <w:pStyle w:val="SourceNote"/>
        <w:keepLines/>
      </w:pPr>
      <w:r>
        <w:rPr>
          <w:b/>
        </w:rPr>
        <w:t xml:space="preserve">Source data  </w:t>
      </w:r>
      <w:r>
        <w:t>/Users/arjunlingala/Downloads/ROS_Spin/results/paper/data/figure08_solver_validation.csv</w:t>
      </w:r>
      <w:r>
        <w:rPr>
          <w:b/>
        </w:rPr>
        <w:t xml:space="preserve">    Caption  </w:t>
      </w:r>
      <w:r>
        <w:t>/Users/arjunlingala/Downloads/ROS_Spin/results/paper/captions/figure08_solver_validation_caption.txt</w:t>
      </w:r>
    </w:p>
    <w:p>
      <w:r>
        <w:br w:type="page"/>
      </w:r>
    </w:p>
    <w:p>
      <w:pPr>
        <w:pStyle w:val="Heading1"/>
      </w:pPr>
      <w:r>
        <w:t>Figure 9 Downstream ROS Kinetics</w:t>
      </w:r>
    </w:p>
    <w:p>
      <w:r>
        <w:t>A distinct fixed-pH model partitions the radical pool between HO2 and O2-minus, applies spontaneous and SOD-mediated dismutation, consumes two radical equivalents per H2O2, and tracks an optional H2O2 loss channel. This stage does not feed an encounter spin population directly into H2O2.</w:t>
      </w:r>
    </w:p>
    <w:p>
      <w:pPr>
        <w:keepNext/>
        <w:jc w:val="center"/>
      </w:pPr>
      <w:r>
        <w:drawing>
          <wp:inline xmlns:a="http://schemas.openxmlformats.org/drawingml/2006/main" xmlns:pic="http://schemas.openxmlformats.org/drawingml/2006/picture">
            <wp:extent cx="6080760" cy="2066140"/>
            <wp:docPr id="15" name="Picture 15"/>
            <wp:cNvGraphicFramePr>
              <a:graphicFrameLocks noChangeAspect="1"/>
            </wp:cNvGraphicFramePr>
            <a:graphic>
              <a:graphicData uri="http://schemas.openxmlformats.org/drawingml/2006/picture">
                <pic:pic>
                  <pic:nvPicPr>
                    <pic:cNvPr id="0" name="figure09_downstream_kinetics.png"/>
                    <pic:cNvPicPr/>
                  </pic:nvPicPr>
                  <pic:blipFill>
                    <a:blip r:embed="rId25"/>
                    <a:stretch>
                      <a:fillRect/>
                    </a:stretch>
                  </pic:blipFill>
                  <pic:spPr>
                    <a:xfrm>
                      <a:off x="0" y="0"/>
                      <a:ext cx="6080760" cy="2066140"/>
                    </a:xfrm>
                    <a:prstGeom prst="rect"/>
                  </pic:spPr>
                </pic:pic>
              </a:graphicData>
            </a:graphic>
          </wp:inline>
        </w:drawing>
      </w:r>
    </w:p>
    <w:p>
      <w:pPr>
        <w:pStyle w:val="FigureCaption"/>
        <w:keepLines/>
      </w:pPr>
      <w:r>
        <w:rPr>
          <w:b/>
        </w:rPr>
        <w:t xml:space="preserve">Figure 9  Downstream ROS Kinetics. </w:t>
      </w:r>
      <w:r>
        <w:t>Downstream ROS kinetics. Total superoxide-family radical pool, HO2, O2-minus, accumulated H2O2, and accumulated H2O2 loss are shown for spontaneous dismutation, SOD-mediated dismutation, and SOD plus H2O2 loss. The calculation starts from an illustrative 10 micromolar single radical pulse at fixed pH 7.4, assumes rapid acid-base equilibrium and constant rates/SOD, and consumes two radical equivalents per H2O2. No spin population is mapped directly to H2O2, and the trajectories are not cellular predictions.</w:t>
      </w:r>
    </w:p>
    <w:p>
      <w:pPr>
        <w:pStyle w:val="SourceNote"/>
        <w:keepLines/>
      </w:pPr>
      <w:r>
        <w:rPr>
          <w:b/>
        </w:rPr>
        <w:t xml:space="preserve">Source data  </w:t>
      </w:r>
      <w:r>
        <w:t>/Users/arjunlingala/Downloads/ROS_Spin/results/paper/data/figure09_downstream_kinetics.csv</w:t>
      </w:r>
      <w:r>
        <w:rPr>
          <w:b/>
        </w:rPr>
        <w:t xml:space="preserve">    Caption  </w:t>
      </w:r>
      <w:r>
        <w:t>/Users/arjunlingala/Downloads/ROS_Spin/results/paper/captions/figure09_downstream_kinetics_caption.txt</w:t>
      </w:r>
    </w:p>
    <w:p>
      <w:r>
        <w:br w:type="page"/>
      </w:r>
    </w:p>
    <w:p>
      <w:pPr>
        <w:pStyle w:val="Heading1"/>
      </w:pPr>
      <w:r>
        <w:t>Figure 10 Primary Source Bulk Rate Context</w:t>
      </w:r>
    </w:p>
    <w:p>
      <w:r>
        <w:t>The plotted literature values remain condition-specific bulk kinetic records. Their units and incomplete conditions prevent their use as encounter-level state-resolved reaction rates.</w:t>
      </w:r>
    </w:p>
    <w:p>
      <w:pPr>
        <w:keepNext/>
        <w:jc w:val="center"/>
      </w:pPr>
      <w:r>
        <w:drawing>
          <wp:inline xmlns:a="http://schemas.openxmlformats.org/drawingml/2006/main" xmlns:pic="http://schemas.openxmlformats.org/drawingml/2006/picture">
            <wp:extent cx="6080760" cy="2375432"/>
            <wp:docPr id="16" name="Picture 16"/>
            <wp:cNvGraphicFramePr>
              <a:graphicFrameLocks noChangeAspect="1"/>
            </wp:cNvGraphicFramePr>
            <a:graphic>
              <a:graphicData uri="http://schemas.openxmlformats.org/drawingml/2006/picture">
                <pic:pic>
                  <pic:nvPicPr>
                    <pic:cNvPr id="0" name="figure10_bulk_rate_comparison.png"/>
                    <pic:cNvPicPr/>
                  </pic:nvPicPr>
                  <pic:blipFill>
                    <a:blip r:embed="rId26"/>
                    <a:stretch>
                      <a:fillRect/>
                    </a:stretch>
                  </pic:blipFill>
                  <pic:spPr>
                    <a:xfrm>
                      <a:off x="0" y="0"/>
                      <a:ext cx="6080760" cy="2375432"/>
                    </a:xfrm>
                    <a:prstGeom prst="rect"/>
                  </pic:spPr>
                </pic:pic>
              </a:graphicData>
            </a:graphic>
          </wp:inline>
        </w:drawing>
      </w:r>
    </w:p>
    <w:p>
      <w:pPr>
        <w:pStyle w:val="FigureCaption"/>
        <w:keepLines/>
      </w:pPr>
      <w:r>
        <w:rPr>
          <w:b/>
        </w:rPr>
        <w:t xml:space="preserve">Figure 10  Literature Bulk Rate Comparison. </w:t>
      </w:r>
      <w:r>
        <w:t>Literature bulk-rate comparison. Actual numerical values stored in the configuration JSON and matched provenance CSV are plotted with reported uncertainty, pH, temperature, environment, species/protonation, method, and source identifiers. Missing conditions remain visibly marked and records are not combined into a universal rate. These M^-1 s^-1 bulk total constants are not encounter-level kD or kQ in s^-1.</w:t>
      </w:r>
    </w:p>
    <w:p>
      <w:pPr>
        <w:pStyle w:val="SourceNote"/>
        <w:keepLines/>
      </w:pPr>
      <w:r>
        <w:rPr>
          <w:b/>
        </w:rPr>
        <w:t xml:space="preserve">Source data  </w:t>
      </w:r>
      <w:r>
        <w:t>/Users/arjunlingala/Downloads/ROS_Spin/results/paper/data/figure10_bulk_rate_comparison.csv</w:t>
      </w:r>
      <w:r>
        <w:rPr>
          <w:b/>
        </w:rPr>
        <w:t xml:space="preserve">    Caption  </w:t>
      </w:r>
      <w:r>
        <w:t>/Users/arjunlingala/Downloads/ROS_Spin/results/paper/captions/figure10_bulk_rate_comparison_caption.txt</w:t>
      </w:r>
    </w:p>
    <w:p>
      <w:r>
        <w:br w:type="page"/>
      </w:r>
    </w:p>
    <w:p>
      <w:pPr>
        <w:pStyle w:val="Heading1"/>
      </w:pPr>
      <w:r>
        <w:t>Figure 11 Circuit Embedding Validation</w:t>
      </w:r>
    </w:p>
    <w:p>
      <w:r>
        <w:t>Circuit status for the recorded run is qiskit_executed. The three-qubit calculation embeds the six physical states within an eight-state space, checks the two unused states for leakage, and compares statevectors and doublet/quartet observables. It validates coherent encoding consistency only; it does not demonstrate quantum advantage or independently validate the chemistry.</w:t>
      </w:r>
    </w:p>
    <w:p>
      <w:pPr>
        <w:keepNext/>
        <w:jc w:val="center"/>
      </w:pPr>
      <w:r>
        <w:drawing>
          <wp:inline xmlns:a="http://schemas.openxmlformats.org/drawingml/2006/main" xmlns:pic="http://schemas.openxmlformats.org/drawingml/2006/picture">
            <wp:extent cx="6080760" cy="3263402"/>
            <wp:docPr id="17" name="Picture 17"/>
            <wp:cNvGraphicFramePr>
              <a:graphicFrameLocks noChangeAspect="1"/>
            </wp:cNvGraphicFramePr>
            <a:graphic>
              <a:graphicData uri="http://schemas.openxmlformats.org/drawingml/2006/picture">
                <pic:pic>
                  <pic:nvPicPr>
                    <pic:cNvPr id="0" name="figure11_circuit_validation.png"/>
                    <pic:cNvPicPr/>
                  </pic:nvPicPr>
                  <pic:blipFill>
                    <a:blip r:embed="rId27"/>
                    <a:stretch>
                      <a:fillRect/>
                    </a:stretch>
                  </pic:blipFill>
                  <pic:spPr>
                    <a:xfrm>
                      <a:off x="0" y="0"/>
                      <a:ext cx="6080760" cy="3263402"/>
                    </a:xfrm>
                    <a:prstGeom prst="rect"/>
                  </pic:spPr>
                </pic:pic>
              </a:graphicData>
            </a:graphic>
          </wp:inline>
        </w:drawing>
      </w:r>
    </w:p>
    <w:p>
      <w:pPr>
        <w:pStyle w:val="FigureCaption"/>
        <w:keepLines/>
      </w:pPr>
      <w:r>
        <w:rPr>
          <w:b/>
        </w:rPr>
        <w:t xml:space="preserve">Figure 11  Three Qubit Coherent Embedding Validation. </w:t>
      </w:r>
      <w:r>
        <w:t>Three-qubit coherent-embedding validation. The six-state coherent reference unitary is compared with its eight-state three-qubit embedding and, when requested and available, actual Qiskit statevector execution. Statevector, doublet and quartet observable, basis-ordering, and unused-state leakage errors are compared with declared tolerances. This validates coherent simulator and encoding consistency only; it does not validate reaction, relaxation, escape, downstream chemistry, hardware performance, or quantum advantage.</w:t>
      </w:r>
    </w:p>
    <w:p>
      <w:pPr>
        <w:pStyle w:val="SourceNote"/>
        <w:keepLines/>
      </w:pPr>
      <w:r>
        <w:rPr>
          <w:b/>
        </w:rPr>
        <w:t xml:space="preserve">Source data  </w:t>
      </w:r>
      <w:r>
        <w:t>/Users/arjunlingala/Downloads/ROS_Spin/results/paper/data/figure11_circuit_validation.csv</w:t>
      </w:r>
      <w:r>
        <w:rPr>
          <w:b/>
        </w:rPr>
        <w:t xml:space="preserve">    Caption  </w:t>
      </w:r>
      <w:r>
        <w:t>/Users/arjunlingala/Downloads/ROS_Spin/results/paper/captions/figure11_circuit_validation_caption.txt</w:t>
      </w:r>
    </w:p>
    <w:p>
      <w:pPr>
        <w:sectPr>
          <w:headerReference w:type="default" r:id="rId9"/>
          <w:footerReference w:type="default" r:id="rId10"/>
          <w:pgSz w:w="12240" w:h="15840"/>
          <w:pgMar w:top="1037" w:right="1181" w:bottom="1037" w:left="1181" w:header="720" w:footer="720" w:gutter="0"/>
          <w:cols w:space="720"/>
          <w:titlePg/>
          <w:docGrid w:linePitch="360"/>
        </w:sectPr>
      </w:pPr>
    </w:p>
    <w:p>
      <w:pPr>
        <w:pStyle w:val="Heading1"/>
      </w:pPr>
      <w:r>
        <w:t>Baseline and Control Tables</w:t>
      </w:r>
    </w:p>
    <w:p>
      <w:r>
        <w:t>Tables 4-7 report the generated baseline, controls, independent-solver errors, and coherent-embedding metrics. All numeric cells are populated from their CSV sources.</w:t>
      </w:r>
    </w:p>
    <w:p>
      <w:pPr>
        <w:pStyle w:val="Heading2"/>
      </w:pPr>
      <w:r>
        <w:t>Table 4  Baseline Results</w:t>
      </w:r>
    </w:p>
    <w:tbl>
      <w:tblPr>
        <w:tblW w:type="auto" w:w="0"/>
        <w:jc w:val="center"/>
        <w:tblLayout w:type="autofit"/>
        <w:tblLook w:firstColumn="1" w:firstRow="1" w:lastColumn="0" w:lastRow="0" w:noHBand="0" w:noVBand="1" w:val="04A0"/>
      </w:tblPr>
      <w:tblGrid>
        <w:gridCol w:w="1807"/>
        <w:gridCol w:w="1807"/>
        <w:gridCol w:w="1807"/>
        <w:gridCol w:w="1807"/>
        <w:gridCol w:w="1807"/>
        <w:gridCol w:w="1807"/>
        <w:gridCol w:w="1807"/>
        <w:gridCol w:w="1807"/>
      </w:tblGrid>
      <w:tr>
        <w:trPr>
          <w:tblHeader w:val="true"/>
        </w:trPr>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Initial state</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Initial pD</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D reaction</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Q reaction</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Primary superoxide</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Escape</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Survival</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Balance</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unpolarized I6/6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0.33333333333333337</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0.1848290544320762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0.05729985974754856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0.24212891417962476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0.757827651907562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4.343391281261024e-05</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0.9999999999999993</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doublet-manifold mixture PD/2</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0.9999999999999999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0.4333861334320349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0.012110102986419376</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0.4454962364184543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0.5544871632962286</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1.6600285316311623e-05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0.9999999999999993</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quartet-manifold mixture PQ/4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-1.008102552748629e-17</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0.060550514932096816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0.07989473812811315</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0.14044525306020997</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0.8594978962132286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5.685072656075954e-05</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0.9999999999999993</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manifold mixture pD=0.25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0.24999999999999994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0.15375941955708133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0.06294857934268971</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0.21670799889977105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0.7832452129839784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4.678811624964756e-05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0.9999999999999992</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manifold mixture pD=0.75</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0.7499999999999999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0.34017722880705037</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0.029056261771842826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0.3692334905788932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0.6307398465254785</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2.6662895627423608e-05</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0.9999999999999992</w:t>
            </w:r>
          </w:p>
        </w:tc>
      </w:tr>
    </w:tbl>
    <w:p/>
    <w:p>
      <w:pPr>
        <w:pStyle w:val="SourceNote"/>
      </w:pPr>
      <w:r>
        <w:rPr>
          <w:b/>
        </w:rPr>
        <w:t xml:space="preserve">Generated CSV source  </w:t>
      </w:r>
      <w:r>
        <w:t>/Users/arjunlingala/Downloads/ROS_Spin/results/paper/tables/table04_baseline_results.csv</w:t>
      </w:r>
    </w:p>
    <w:p>
      <w:pPr>
        <w:pStyle w:val="Heading2"/>
      </w:pPr>
      <w:r>
        <w:t>Table 5  Controls and Extrema</w:t>
      </w:r>
    </w:p>
    <w:tbl>
      <w:tblPr>
        <w:tblW w:type="auto" w:w="0"/>
        <w:jc w:val="center"/>
        <w:tblLayout w:type="autofit"/>
        <w:tblLook w:firstColumn="1" w:firstRow="1" w:lastColumn="0" w:lastRow="0" w:noHBand="0" w:noVBand="1" w:val="04A0"/>
      </w:tblPr>
      <w:tblGrid>
        <w:gridCol w:w="1314"/>
        <w:gridCol w:w="1314"/>
        <w:gridCol w:w="1314"/>
        <w:gridCol w:w="1314"/>
        <w:gridCol w:w="1314"/>
        <w:gridCol w:w="1314"/>
        <w:gridCol w:w="1314"/>
        <w:gridCol w:w="1314"/>
        <w:gridCol w:w="1314"/>
        <w:gridCol w:w="1314"/>
        <w:gridCol w:w="1314"/>
      </w:tblGrid>
      <w:tr>
        <w:trPr>
          <w:tblHeader w:val="true"/>
        </w:trPr>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Type</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Source</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Control</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Initial state</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Mixing/kref</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Relaxation/kref</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Escape/kref</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kQ/kD</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Primary superoxide</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Escape yield</w:t>
            </w:r>
          </w:p>
        </w:tc>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Survival</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Baseline sensitivity</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0.24212891417962476</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0.757827651907562</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4.343391281261024e-05</w:t>
            </w:r>
          </w:p>
        </w:tc>
      </w:tr>
      <w:tr>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Zero mixing</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0.2338612039677051</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0.7660670883725904</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7.170765970365598e-05</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Spin-independent reaction</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0.4999999437324118</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0.49999994373241186</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1.1253517471925926e-07</w:t>
            </w:r>
          </w:p>
        </w:tc>
      </w:tr>
      <w:tr>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Fast relaxation</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0.285254760496954</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0.714731466709809</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1.3772793160686254e-05</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Rapid escape</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0.003966367009909883</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0.9960336329900332</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r>
      <w:tr>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Doublet benchmark</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0.4454962364184543</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0.5544871632962286</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1.6600285316311623e-05</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control</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figure07_controls</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Quartet benchmark</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0.14044525306020997</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0.8594978962132286</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5.685072656075954e-05</w:t>
            </w:r>
          </w:p>
        </w:tc>
      </w:tr>
      <w:tr>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selected_grid_minimum</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figure04_mixing_escape_heatmaps</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unpolarized I6/6</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0.0033003735153258</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0.9966996264846175</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selected_grid_maximum</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figure04_mixing_escape_heatmaps</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unpolarized I6/6</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15.848931924611142</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0.9999999999999905</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2.513571360957245e-15</w:t>
            </w:r>
          </w:p>
        </w:tc>
      </w:tr>
      <w:tr>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selected_grid_minimum</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figure05_mixing_relaxation_heatmaps</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unpolarized I6/6</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0.1666666479108041</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0.8331096728255349</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0.000223679263659914</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selected_grid_maximum</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figure05_mixing_relaxation_heatmaps</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unpolarized I6/6</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0.8737914889921969</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0.1262085110076903</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3.014601656113909e-28</w:t>
            </w:r>
          </w:p>
        </w:tc>
      </w:tr>
      <w:tr>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selected_grid_minimum</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figure06_reaction_selectivity</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quartet-manifold mixture PQ/4</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0.0005948839976204568</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0.9994051160023725</w:t>
            </w:r>
          </w:p>
        </w:tc>
        <w:tc>
          <w:tcPr>
            <w:tcW w:type="dxa" w:w="13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1.1921979225581182e-35</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selected_grid_maximum</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figure06_reaction_selectivity</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quartet-manifold mixture PQ/4</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0.1</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10.0</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0.9896245364115824</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0.01037506762991176</w:t>
            </w:r>
          </w:p>
        </w:tc>
        <w:tc>
          <w:tcPr>
            <w:tcW w:type="dxa" w:w="13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3.959585024229424e-07</w:t>
            </w:r>
          </w:p>
        </w:tc>
      </w:tr>
    </w:tbl>
    <w:p/>
    <w:p>
      <w:pPr>
        <w:pStyle w:val="SourceNote"/>
      </w:pPr>
      <w:r>
        <w:rPr>
          <w:b/>
        </w:rPr>
        <w:t xml:space="preserve">Generated CSV source  </w:t>
      </w:r>
      <w:r>
        <w:t>/Users/arjunlingala/Downloads/ROS_Spin/results/paper/tables/table05_controls_and_extrema.csv</w:t>
      </w:r>
    </w:p>
    <w:p>
      <w:pPr>
        <w:pStyle w:val="Heading2"/>
      </w:pPr>
      <w:r>
        <w:t>Table 6  Independent Solver Validation</w:t>
      </w:r>
    </w:p>
    <w:tbl>
      <w:tblPr>
        <w:tblW w:type="auto" w:w="0"/>
        <w:jc w:val="center"/>
        <w:tblLayout w:type="autofit"/>
        <w:tblLook w:firstColumn="1" w:firstRow="1" w:lastColumn="0" w:lastRow="0" w:noHBand="0" w:noVBand="1" w:val="04A0"/>
      </w:tblPr>
      <w:tblGrid>
        <w:gridCol w:w="1807"/>
        <w:gridCol w:w="1807"/>
        <w:gridCol w:w="1807"/>
        <w:gridCol w:w="1807"/>
        <w:gridCol w:w="1807"/>
        <w:gridCol w:w="1807"/>
        <w:gridCol w:w="1807"/>
        <w:gridCol w:w="1807"/>
      </w:tblGrid>
      <w:tr>
        <w:trPr>
          <w:tblHeader w:val="true"/>
        </w:trPr>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Observable</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Worst absolute error</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Worst relative error</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Tolerance</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Pass</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Reference solver</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Independent solver</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Scope</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density_matrix</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5.07316411303867e-13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1.8731682878912015e-12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2e-09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doublet_population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1.044438840969164e-12</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1.044438840969164e-12</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quartet_population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9.652834087603424e-13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9.652834087603424e-13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survival</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4.69416172599324e-13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4.694161725993241e-13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doublet_reaction_yield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4.1511238890734603e-13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4.1511238890734603e-13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quartet_reaction_yield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6.47953912746857e-14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6.47953912746857e-14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primary_superoxide_yield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3.536615444943436e-13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3.536615444943436e-13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escape_yield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1.5892842597509116e-13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1.5892842597509116e-13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3e-09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reference_probability_accounting</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2.3092638912203256e-14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2.3092638912203256e-14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1e-08</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independent_probability_accounting</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7.771561172376096e-16</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7.771561172376096e-16</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1e-08</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constant-generator matrix exponential Pade(13)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adaptive Dormand-Prince RK5(4)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implementation agreement, not physical validation</w:t>
            </w:r>
          </w:p>
        </w:tc>
      </w:tr>
    </w:tbl>
    <w:p/>
    <w:p>
      <w:pPr>
        <w:pStyle w:val="SourceNote"/>
      </w:pPr>
      <w:r>
        <w:rPr>
          <w:b/>
        </w:rPr>
        <w:t xml:space="preserve">Generated CSV source  </w:t>
      </w:r>
      <w:r>
        <w:t>/Users/arjunlingala/Downloads/ROS_Spin/results/paper/tables/table06_independent_solver_validation.csv</w:t>
      </w:r>
    </w:p>
    <w:p>
      <w:pPr>
        <w:pStyle w:val="Heading2"/>
      </w:pPr>
      <w:r>
        <w:t>Table 7  Circuit Validation</w:t>
      </w:r>
    </w:p>
    <w:p>
      <w:pPr>
        <w:pStyle w:val="Heading3"/>
      </w:pPr>
      <w:r>
        <w:t>Table 7A Numerical metrics</w:t>
      </w:r>
    </w:p>
    <w:tbl>
      <w:tblPr>
        <w:tblW w:type="auto" w:w="0"/>
        <w:jc w:val="center"/>
        <w:tblLayout w:type="autofit"/>
        <w:tblLook w:firstColumn="1" w:firstRow="1" w:lastColumn="0" w:lastRow="0" w:noHBand="0" w:noVBand="1" w:val="04A0"/>
      </w:tblPr>
      <w:tblGrid>
        <w:gridCol w:w="2892"/>
        <w:gridCol w:w="2892"/>
        <w:gridCol w:w="2892"/>
        <w:gridCol w:w="2892"/>
        <w:gridCol w:w="2892"/>
      </w:tblGrid>
      <w:tr>
        <w:trPr>
          <w:tblHeader w:val="true"/>
        </w:trPr>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5"/>
              </w:rPr>
              <w:t>Metric</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5"/>
              </w:rPr>
              <w:t>Layer</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5"/>
              </w:rPr>
              <w:t>Value</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5"/>
              </w:rPr>
              <w:t>Tolerance</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5"/>
              </w:rPr>
              <w:t>Pass</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numpy_embedding_statevector_error</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 embedding</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5.551115123125783e-17</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1e-12</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numpy_embedding_doublet_observable_error</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 embedding</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numpy_embedding_quartet_observable_error</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 embedding</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1e-12</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numpy_embedding_leakage_probability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NumPy embedding</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1e-24</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qiskit_statevector_error</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5.551115123125783e-17</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1e-12</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qiskit_doublet_observable_error</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qiskit_quartet_observable_error</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1e-12</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qiskit_leakage_probability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1e-24</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qiskit_basis_ordering_error</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Qiskit</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0.0</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1e-15</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5"/>
              </w:rPr>
              <w:t>True</w:t>
            </w:r>
          </w:p>
        </w:tc>
      </w:tr>
    </w:tbl>
    <w:p/>
    <w:p>
      <w:pPr>
        <w:pStyle w:val="Heading3"/>
      </w:pPr>
      <w:r>
        <w:t>Table 7B Execution status and scope</w:t>
      </w:r>
    </w:p>
    <w:tbl>
      <w:tblPr>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Metric</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Qiskit available</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Execution</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Implementation</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Scope</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Reason</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numpy_embedding_statevector_error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numpy_embedding_doublet_observable_error</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numpy_embedding_quartet_observable_error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numpy_embedding_leakage_probability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qiskit_statevector_error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qiskit_doublet_observable_error</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qiskit_quartet_observable_error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qiskit_leakage_probability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qiskit_basis_ordering_error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True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one inserted dense 8x8 UnitaryGate; not decomposed gates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closed coherent simulator and encoding consistency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r>
          </w:p>
        </w:tc>
      </w:tr>
    </w:tbl>
    <w:p/>
    <w:p>
      <w:pPr>
        <w:pStyle w:val="SourceNote"/>
      </w:pPr>
      <w:r>
        <w:rPr>
          <w:b/>
        </w:rPr>
        <w:t xml:space="preserve">Generated CSV source  </w:t>
      </w:r>
      <w:r>
        <w:t>/Users/arjunlingala/Downloads/ROS_Spin/results/paper/tables/table07_circuit_validation.csv</w:t>
      </w:r>
    </w:p>
    <w:p>
      <w:pPr>
        <w:pStyle w:val="Heading1"/>
      </w:pPr>
      <w:r>
        <w:t>Table 2  Parameter Provenance</w:t>
      </w:r>
    </w:p>
    <w:p>
      <w:r>
        <w:t>The table is split into two aligned panels for print legibility. The symbol column links the panels; the generated CSV preserves the complete row schema.</w:t>
      </w:r>
    </w:p>
    <w:p>
      <w:pPr>
        <w:pStyle w:val="Heading2"/>
      </w:pPr>
      <w:r>
        <w:t>Table 2A Identity conditions and value</w:t>
      </w:r>
    </w:p>
    <w:tbl>
      <w:tblPr>
        <w:tblW w:type="auto" w:w="0"/>
        <w:jc w:val="center"/>
        <w:tblLayout w:type="autofit"/>
        <w:tblLook w:firstColumn="1" w:firstRow="1" w:lastColumn="0" w:lastRow="0" w:noHBand="0" w:noVBand="1" w:val="04A0"/>
      </w:tblPr>
      <w:tblGrid>
        <w:gridCol w:w="1606"/>
        <w:gridCol w:w="1606"/>
        <w:gridCol w:w="1606"/>
        <w:gridCol w:w="1606"/>
        <w:gridCol w:w="1606"/>
        <w:gridCol w:w="1606"/>
        <w:gridCol w:w="1606"/>
        <w:gridCol w:w="1606"/>
        <w:gridCol w:w="1606"/>
      </w:tblGrid>
      <w:tr>
        <w:trPr>
          <w:tblHeader w:val="true"/>
        </w:trPr>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Symbol</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Definition</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Value or range</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Unit</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Exact species</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Charge or protonation</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Environment</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Temperature</w:t>
            </w:r>
          </w:p>
        </w:tc>
        <w:tc>
          <w:tcPr>
            <w:tcW w:type="dxa" w:w="160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pH</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g_SQ</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isotropic doxorubicin semiquinone g value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2.0035</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dimensionless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semiquinone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protonation/formal charge not assigned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N2-purged 100 mM phosphate; 100 uM doxorubicin; 400 uM xanthine; 0.2 U xanthine oxidase in 2 mL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7.5</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deltaHpp_SQ</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peak-to-peak aqueous one-line width</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3.25</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semiquinone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protonation/formal charge not assigned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N2-purged 100 mM phosphate; 100 uM doxorubicin; 400 uM xanthine; 0.2 U xanthine oxidase in 2 mL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7.5</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deltaHpp_SQ_replication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independent aqueous one-line width</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semiquinone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protonation/formal charge not assigned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hypoxic 50 mM Tris; 1 mM doxorubicin; 400 uM hypoxanthine; 0.1 U/mL xanthine oxidase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7.4</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A_SQ</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resolved doxorubicin/adriamycin semiquinone hyperfine values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numeric extraction 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adriamycin semiquinone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lambda_0</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gas-phase O2 spin-spin fine-structure constant</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1.9847530</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cm^-1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16O2 X3Sigma_g- v=0</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 phase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extracted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pH not applicable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gamma_0</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gas-phase O2 spin-rotation constant</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-8.42930e-3</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cm^-1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16O2 X3Sigma_g- v=0</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 phase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extracted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pH not applicable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D_O2_gas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axial D from D=2 lambda convention conversion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3.969506</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cm^-1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16O2 X3Sigma_g- v=0</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 phase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extracted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pH not applicable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D_O2_solid_air</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axial matrix O2 zero-field splitting</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3.572(3)</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cm^-1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ground-state O2</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solid air condensed in waveguide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5 K</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pH not applicable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D_O2_N2_matrix</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O2 zero-field splitting in solid nitrogen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3.497</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cm^-1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ground-state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O2 diluted in solid N2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15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pH not applicable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T1_O2_solution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bulk dissolved oxygen electron spin-lattice relaxation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approximately 7.5</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ground-state O2</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water; 1:1 water/glycerol; cyclohexane; methanol; benzene; acetone; acetonitrile; DMSO</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room temperature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reported/not applicable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K_O2_T4L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O2 association constant in T4 lysozyme L99A cavities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48</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ground-state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T4 lysozyme L99A; 50 mM phosphate; 25 mM NaCl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298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5.5</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tau_rot_O2_T4L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O2 rotational correlation components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0.164;1.41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ground-state O2</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T4 lysozyme L99A cavities; 50 mM phosphate; 25 mM NaCl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298 K</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5.5</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g_D_E_O2_encounter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O2 g and ZFS tensors in transient doxorubicin-semiquinone/O2 encounter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ground-state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doxorubicin-semiquinone solution encounter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T1_T2_Tm_SQ</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or close anthracycline semiquinone electron-spin relaxation/dephasing</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semiquinone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chemically relevant solution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k_O2_total_pH6</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total bulk semiquinone oxidation by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3.5e8</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adriamycin semiquinone plus ground-state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biological-pH semiquinone described as internally protonated/zwitterionic; O2 neutral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 phosphate/formate system; O2 or O2/N2 purge at least 30 min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room temperature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6.0</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k_O2_total_pH11_5</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total bulk semiquinone oxidation by O2</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1.7e8</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adriamycin semiquinone plus ground-state O2</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deprotonated semiquinone form; O2 neutral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 borate/OH- system; O2 or O2/N2 purge at least 30 min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room temperature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11.5</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k_O2_total_1981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earlier total bulk semiquinone oxidation by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4.4e7</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adriamycin semiquinone plus 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 buffer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t_half_SQ_anaerobic</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semiquinone chemical half-life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50</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adriamycin semiquinone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anaerobic aqueous medium</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diffusion_distance_SQ</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author-calculated bulk travel bounds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&lt;0.6 anaerobic;&lt;0.1 air-saturated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um</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adriamycin semiquinone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 buffer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source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encounter_geometry_J_D_kassoc_ksep</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separation; orientation; exchange; dipolar; association/separation; cage duration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doxorubicin-semiquinone/O2 encounter</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chemically relevant solution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DQ_coherence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direct spin-correlated coherent D/Q encounter evidence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doxorubicin-semiquinone/O2 encounter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chemically relevant solution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doublet encounter electron-transfer rate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doublet doxorubicin-semiquinone/O2 encounter</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chemically relevant solution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k_Q</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quartet encounter electron-transfer rate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quartet doxorubicin-semiquinone/O2 encounter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chemically relevant solution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k_Q_over_k_D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quartet/doublet rate ratio</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dimensionless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doxorubicin-semiquinone/O2 encounter</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chemically relevant solution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pKa_HO2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hydroperoxyl acid dissociation constant</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4.88</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dimensionless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HO2 radical to O2 radical anion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 to -1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oxygen-saturated formic acid/sodium formate aqueous buffer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0-13 investigated</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k_HH</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elementary HO2 plus HO2 dismutation rate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0.76e6</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HO2 radical plus HO2 radical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 plus neutral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oxygen-saturated formic acid/sodium formate aqueous buffer</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0-13 mechanism study</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k_HA</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elementary HO2 plus O2 radical-anion dismutation rate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8.5e7</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HO2 radical plus superoxide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neutral plus -1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oxygen-saturated formic acid/sodium formate aqueous buffer</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0-13 mechanism study</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k_AA</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direct superoxide plus superoxide disproportionation upper bound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&lt;100</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superoxide plus superoxide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 plus -1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oxygen-saturated formic acid/sodium formate aqueous buffer</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0-13 mechanism study</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k_SOD_oxidation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bovine CuZnSOD oxidized-enzyme half-reaction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1.2e9</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bovine CuZnSOD plus superoxide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enzyme state E0 plus -1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 O2; EDTA; formate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record</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k_SOD_reduction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bovine CuZnSOD reduced-enzyme half-reaction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2.2e9</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bovine CuZnSOD plus superoxide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enzyme state E- plus -1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 O2; EDTA; formate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record</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k_SOD_overall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overall bovine CuZnSOD-superoxide rate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2.37e9</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M^-1 s^-1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native bovine CuZnSOD plus superoxide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enzyme plus -1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aqueous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298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v_O2minus_heart_SMP</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superoxide formation rate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control 1.6+/-0.2;doxorubicin 69.6+/-2.7</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bovine-heart submitochondrial particles plus doxorubicin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HCl microspecies 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isolated submitochondrial particles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v_H2O2_heart_SMP</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hydrogen peroxide formation rate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control undetectable;doxorubicin 2.2+/-0.3</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bovine-heart submitochondrial particles plus doxorubicin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HCl microspecies 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isolated submitochondrial particles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v_O2minus_Ehrlich_microsomes</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SOD-inhibitable superoxide proxy rate; control vs drug</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0.51+/-0.26 n=3;14.71+/-1.43 n=6</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Ehrlich-Lettre tumor microsomes plus doxorubicin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HCl microspecies 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200 ug protein in 1 mL; 150 mM potassium phosphate; 100 uM EDTA; 1 mM NADPH</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7.4</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v_O2minus_Ehrlich_mitochondria</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SOD-inhibitable superoxide proxy rate; control vs drug</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1.12+/-0.15 n=7;7.29+/-0.61 n=10</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Ehrlich tumor mitochondria plus doxorubicin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HCl microspecies 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100 ug protein/mL; sucrose/20 mM HEPES/100 uM EDTA; 100 uM NADH; 4 uM rotenone; 5 min preincubation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8.2</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v_O2minus_Ehrlich_nuclei</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SOD-inhibitable superoxide proxy rate; control vs drug</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0.36+/-0.05 n=7;3.29+/-0.33 n=12</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Ehrlich tumor nuclear fraction plus doxorubicin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HCl microspecies 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200 ug nuclear protein; sucrose/20 mM HEPES/100 uM EDTA; 1 mM NADPH</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7.4</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v_H2O2_Ehrlich</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H2O2 formation in microsomes; mitochondria; intact cells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3.42+/-0.48 n=4;2.6+/-0.6 n=3;0.64+/-0.04 n=3</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 nmol min^-1 per 1e7 cells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Ehrlich tumor fractions or intact cells plus doxorubicin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HCl microspecies 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fraction buffers as above; intact 1.5e7 cells/3 mL Chelex-treated PBS</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7.4 microsomes;8.2 mitochondria;cell PBS pH not reported</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H2O2_PC3</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apparent intracellular steady-state hydrogen peroxide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basal 13+/-4;1 uM doxorubicin 51+/-13</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pM</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PC3 human prostate cancer cells plus doxorubicin</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microspecies 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cell culture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for intracellular measurement</w:t>
            </w:r>
          </w:p>
        </w:tc>
      </w:tr>
      <w:tr>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MitoSOX_H9c2</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relative mitochondrial oxidant fluorescence</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1.40+/-0.04;1.80+/-0.08;2.80+/-0.08</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fold control</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rat H9c2 cardiomyoblasts plus doxorubicin</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microspecies not reported</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HBSS with Ca/Mg and 1% BSA; 5 uM MitoSOX</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r>
      <w:tr>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negative_5_imino</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quinone-disabled anthracycline negative control</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doxorubicin 14.71+/-1.43;5-iminodaunorubicin 0.45+/-0.15</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nmol min^-1 mg^-1</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Ehrlich microsomes plus anthracycline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dissolved microspecies not reported</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microsomal system above</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310 K</w:t>
            </w:r>
          </w:p>
        </w:tc>
        <w:tc>
          <w:tcPr>
            <w:tcW w:type="dxa" w:w="1606"/>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7.4</w:t>
            </w:r>
          </w:p>
        </w:tc>
      </w:tr>
    </w:tbl>
    <w:p/>
    <w:p>
      <w:pPr>
        <w:pStyle w:val="Heading2"/>
      </w:pPr>
      <w:r>
        <w:t>Table 2B Method provenance and suitability</w:t>
      </w:r>
    </w:p>
    <w:tbl>
      <w:tblPr>
        <w:tblW w:type="auto" w:w="0"/>
        <w:jc w:val="center"/>
        <w:tblLayout w:type="autofit"/>
        <w:tblLook w:firstColumn="1" w:firstRow="1" w:lastColumn="0" w:lastRow="0" w:noHBand="0" w:noVBand="1" w:val="04A0"/>
      </w:tblPr>
      <w:tblGrid>
        <w:gridCol w:w="1807"/>
        <w:gridCol w:w="1807"/>
        <w:gridCol w:w="1807"/>
        <w:gridCol w:w="1807"/>
        <w:gridCol w:w="1807"/>
        <w:gridCol w:w="1807"/>
        <w:gridCol w:w="1807"/>
        <w:gridCol w:w="1807"/>
      </w:tblGrid>
      <w:tr>
        <w:trPr>
          <w:tblHeader w:val="true"/>
        </w:trPr>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Symbol</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Method</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DOI or direct source</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Status</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Uncertainty</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Limitations</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Suitability</w:t>
            </w:r>
          </w:p>
        </w:tc>
        <w:tc>
          <w:tcPr>
            <w:tcW w:type="dxa" w:w="1807"/>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2"/>
              </w:rPr>
              <w:t>Code location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g_SQ</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CW EPR; 1 G modulation; 40 G scan; 1 mW</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https://doi.org/10.1016/0003-9861(91)90023-C</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isotropic one-line signal; no g tensor</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sensitivity_and_initialization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active_model.encounter.g_radical</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deltaHpp_SQ</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CW EPR</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https://doi.org/10.1016/0003-9861(91)90023-C</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 hyperfine and homogeneous/inhomogeneous broadening; cannot uniquely convert to T2</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reference_evidence.hyperfine.aqueous_linewidth_pH7_5</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deltaHpp_SQ_replication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CW EPR</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https://doi.org/10.1124/mol.115.098798</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unresolved line; not a hyperfine tensor or T2 measurement</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reference_evidence.hyperfine.aqueous_linewidth_replication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A_SQ</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EPR; ENDOR; TRIPLE resonance; partial deuteration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https://doi.org/10.1002/mrc.1260260812</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measured_source_identified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accessible abstract</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resolved assignments were investigated; numeric table/tensors/signs/isotope mapping and conditions were not accessible; do not say not investigated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unavailable_for_parameterization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reference_evidence.hyperfine.exact_study</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lambda_0</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microwave/optical spectral fit</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https://hitran.org/media/refs/HITRAN-1973.pdf</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fitted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available in accessible table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 rovibronic Hamiltonian and convention; never transfer into solution encounter</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reference_evidence.oxygen.gas.lambda_0</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gamma_0</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microwave/optical spectral fit</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https://hitran.org/media/refs/HITRAN-1973.pdf</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fitted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available in accessible table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 rovibronic Hamiltonian; never transfer into solution encounter</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reference_evidence.oxygen.gas.gamma_0</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D_O2_gas</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derived convention conversion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https://hitran.org/media/refs/HITRAN-1973.pdf</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calculated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propagated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 new measurement; sign and normalization depend on Hamiltonian convention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reference_evidence.oxygen.gas.derived_D</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D_O2_solid_air</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94-550 GHz multifrequency EPR</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https://doi.org/10.1006/jmre.2000.2175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measured_fitted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0.003 cm^-1</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frozen solid only; prohibited as solution surrogate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reference_evidence.oxygen.matrix_solid_air</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D_O2_N2_matrix</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high-field high-frequency EPR</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https://doi.org/10.1016/S0921-4526(00)00615-3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measured_fitted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temperature dependent; signal disappears above 25 K; g=2/no rhombicity fit</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reference_evidence.oxygen.matrix_nitrogen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T1_O2_solution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proton magnetic relaxation dispersion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https://doi.org/10.1006/jmre.2000.2219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indirectly_fitted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abstract</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bulk fluid scale; no direct time-domain O2 T1; not encounter-specific and not a static g/D/E tensor</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sensitivity_context</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reference_evidence.oxygen.bulk_solution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K_O2_T4L</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gas-pressure NMR plus MD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https://doi.org/10.1038/srep20534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measured_fitted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7 M^-1</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protein-cavity association; not doxorubicin/O2 and not a spin-Hamiltonian value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reference_evidence.oxygen.protein_cavity.association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tau_rot_O2_T4L</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molecular dynamics fit</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https://doi.org/10.1038/srep20534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calculated_fitted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0.006;0.02 ps</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rapid orientation averaging; not doxorubicin encounter dynamics</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reference_evidence.oxygen.protein_cavity.rotational_correlation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g_D_E_O2_encounter</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targeted primary-literature search</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found; gas/matrix/liquid/protein values are not substitutes</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reference_evidence.oxygen.doxorubicin_semiquinone_encounter</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T1_T2_Tm_SQ</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pulse-EPR and linewidth search</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only unresolved CW linewidths found; chemical half-life is not spin relaxation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reference_evidence.hyperfine.spin_relaxation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k_O2_total_pH6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electron pulse radiolysis transient absorption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https://doi.org/10.1038/bjc.1985.74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0.4e8 M^-1 s^-1</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total channel only; homogeneous solution; no encounter geometry or spin resolution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quantitative_bulk_validation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parameter_records.doxorubicin_semiquinone_plus_oxygen_pH6</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k_O2_total_pH11_5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electron pulse radiolysis transient absorption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https://doi.org/10.1038/bjc.1985.74</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0.2e8 M^-1 s^-1</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total channel only; alkaline; no encounter geometry or spin resolution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quantitative_bulk_validation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parameter_records.doxorubicin_semiquinone_plus_oxygen_pH11_5</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k_O2_total_1981</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 radiolysis</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https://doi.org/10.1016/0003-9861(81)90263-0</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differs from 1985 values; missing conditions prevent reconciliation; never k_D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parameter_records.doxorubicin_semiquinone_plus_oxygen_1981</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t_half_SQ_anaerobic</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 radiolysis</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https://doi.org/10.1016/0003-9861(81)90263-0</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chemical loss not spin T1/T2 or encounter duration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reference_evidence.encounter.chemical_lifetime_context</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diffusion_distance_SQ</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calculated from chemical lifetime/diffusion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https://doi.org/10.1016/0003-9861(81)90263-0</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calculated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pair separation or encounter radius; 8 us air-saturated chemical lifetime is not cage time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context_only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reference_evidence.encounter.diffusion_distance_context</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encounter_geometry_J_D_kassoc_ksep</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targeted structure/EPR/kinetics search</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 in inspected exact-system papers and not found elsewhere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reference_evidence.encounter.geometry_exchange_dipolar_association_separation_duration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DQ_coherence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targeted transient-EPR; CIDEP/CIDNP; magnetic-field; product-branching search</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retrieved exact-system studies did not investigate D/Q observables; no separate direct paper found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reference_evidence.encounter.coherence</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spin-resolved kinetics search</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bulk M^-1 s^-1 total rates cannot be converted or decomposed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illustrative_only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reference_evidence.encounter.k_D</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k_Q</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spin-resolved kinetics search</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 state-resolved rate or channel yield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illustrative_only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reference_evidence.encounter.k_Q</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k_Q_over_k_D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spin-resolved kinetics search</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unavailable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 defensible physical range or ordering; 0/0.01/0.1/1 are inactive illustrative benchmarks 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illustrative_only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reference_evidence.encounter.k_Q_over_k_D</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pKa_HO2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 radiolysis</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https://doi.org/10.1021/j100711a009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0.10</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buffer absence explains disagreement with earlier values; not a membrane/protein pKa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quantitative_aqueous</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reference_evidence.downstream.HO2_pKa</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k_HH</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pulse-radiolysis decay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https://doi.org/10.1021/j100711a009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species-resolved; do not call an O2- plus O2- rate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quantitative_aqueous</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reference_evidence.downstream.k_HO2_HO2</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k_HA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pulse-radiolysis decay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https://doi.org/10.1021/j100711a009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requires explicit acid-base speciation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quantitative_aqueous</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reference_evidence.downstream.k_HO2_O2minus</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k_AA</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pulse-radiolysis bound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https://doi.org/10.1021/j100711a009</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measured_upper_bound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reported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2026 reevaluation gives tighter &lt;0.3 M^-1 s^-1; common neutral-pH effective rates are not this elementary step</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quantitative_aqueous</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reference_evidence.downstream.k_O2minus_O2minus</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k_SOD_oxidation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 radiolysis optical 650/300 nm</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https://doi.org/10.1021/ja00790a007</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0.2e9 M^-1 s^-1</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exact enzyme/preparation only; surrogate for human or mitochondrial SOD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sensitivity_benchmark</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reference_evidence.downstream.k_CuZnSOD_oxidation</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k_SOD_reduction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 radiolysis optical 650/300 nm</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https://doi.org/10.1021/ja00790a007</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0.4e9 M^-1 s^-1</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exact enzyme/preparation only; surrogate otherwise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sensitivity_benchmark</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reference_evidence.downstream.k_CuZnSOD_reduction</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k_SOD_overall</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pulse radiolysis plus optical/EPR</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https://doi.org/10.1042/bj1390049</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0.18e9 M^-1 s^-1</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not a universal intracellular SOD1/SOD2 constant</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sensitivity_benchmark</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reference_evidence.downstream.k_CuZnSOD_overall</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v_O2minus_heart_SMP</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SOD-inhibitable cytochrome-c reduction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https://doi.org/10.1016/S0021-9258(17)35747-2</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0.2;2.7</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90 uM dose; exact buffer oxygen and timing unavailable in accessible abstract</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validation_datasets.beef_heart_submitochondrial_superoxide</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v_H2O2_heart_SMP</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catalase-released oxygen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https://doi.org/10.1016/S0021-9258(17)35747-2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200 uM dose; detection limit and exact conditions not reported in accessible abstract</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validation_datasets.beef_heart_submitochondrial_H2O2</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v_O2minus_Ehrlich_microsomes</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acetylated cytochrome-c reduction at 550 nm</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https://doi.org/10.1155/2019/9474823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0.26;1.43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135 uM dose; initial linear rate; oxygenation not separately reported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validation_datasets.Ehrlich_microsome_superoxide</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v_O2minus_Ehrlich_mitochondria</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acetylated cytochrome-c reduction at 550 nm</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https://doi.org/10.1155/2019/9474823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0.15;0.61</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135 uM dose; alkaline and rotenone-blocked; oxygenation not separately reported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validation_datasets.Ehrlich_mitochondrial_superoxide</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v_O2minus_Ehrlich_nuclei</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acetylated cytochrome-c reduction at 550 nm</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https://doi.org/10.1155/2019/9474823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0.05;0.33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135 uM dose; isolated fraction; oxygenation not separately reported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validation_datasets.Ehrlich_nuclear_superoxide</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v_H2O2_Ehrlich</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catalase-released oxygen; linear 10-30 min interval</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https://doi.org/10.1155/2019/9474823</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0.48;0.6;0.04</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135 uM fractions;400 uM cells; controls undetectable with detection limits not reported; PBS air-bubbled 30 min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validation_datasets.Ehrlich_H2O2</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H2O2_PC3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catalase-aminotriazole kinetic assay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https://doi.org/10.1016/j.abb.2005.06.015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measured_derived</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4;13 pM</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30 min exposure; oxygen fraction not reported; extracellular Amplex Red did not increase; catalase overexpression did not improve resistance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quantitative_matched_validation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validation_datasets.PC3_intracellular_H2O2</w:t>
            </w:r>
          </w:p>
        </w:tc>
      </w:tr>
      <w:tr>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MitoSOX_H9c2</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 h fluorescence</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https://doi.org/10.1016/j.bbrc.2007.04.106</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measured_mean_SD</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0.04;0.08;0.08</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10/20/50 uM doses; n=3; oxygen not reported; doxorubicin autofluorescence and nonspecific probe products prohibit absolute calibration</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sensitivity_only</w:t>
            </w:r>
          </w:p>
        </w:tc>
        <w:tc>
          <w:tcPr>
            <w:tcW w:type="dxa" w:w="1807"/>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validation_datasets.H9c2_MitoSOX</w:t>
            </w:r>
          </w:p>
        </w:tc>
      </w:tr>
      <w:tr>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negative_5_imino</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acetylated cytochrome-c reduction</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https://doi.org/10.1155/2019/9474823</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measured_mean_SE</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1.43;0.15</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both 135 uM; supports quinone dependence but not D/Q selectivity</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qualitative_disconfirming</w:t>
            </w:r>
          </w:p>
        </w:tc>
        <w:tc>
          <w:tcPr>
            <w:tcW w:type="dxa" w:w="1807"/>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2"/>
              </w:rPr>
              <w:t>validation_datasets.quinone_disabled_negative_control</w:t>
            </w:r>
          </w:p>
        </w:tc>
      </w:tr>
    </w:tbl>
    <w:p/>
    <w:p>
      <w:pPr>
        <w:pStyle w:val="SourceNote"/>
      </w:pPr>
      <w:r>
        <w:rPr>
          <w:b/>
        </w:rPr>
        <w:t xml:space="preserve">Generated CSV source  </w:t>
      </w:r>
      <w:r>
        <w:t>/Users/arjunlingala/Downloads/ROS_Spin/results/paper/tables/table02_parameter_provenance.csv</w:t>
      </w:r>
    </w:p>
    <w:p>
      <w:pPr>
        <w:pStyle w:val="Heading1"/>
      </w:pPr>
      <w:r>
        <w:t>Table 3  Unavailable Parameters and Consequences</w:t>
      </w:r>
    </w:p>
    <w:tbl>
      <w:tblPr>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Unavailable parameter</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Why needed</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Sensitivity allowed</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Range status</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Allowed treatment</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Prohibited conclusion</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accessible numerical doxorubicin semiquinone hyperfine tensor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nuclear-spin-driven electron-spin mixing in the exact radical.</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an exact-system hyperfine Hamiltonian or mixing rate.</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k_doublet_s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Sets doublet-resolved electron-transfer flux.</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quantitative D-channel reaction yield.</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k_quartet_s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Sets quartet-resolved electron-transfer flux.</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quantitative Q-channel reaction yield.</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physical k_quartet_s/k_doublet_s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Determines reaction selectivity between the two manifolds.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assigning a preferred manifold or physical selectivity range.</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escape rate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Sets competition between reaction and encounter separation.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quantitative reaction-versus-escape branching ratio.</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duration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Sets a physical observation endpoint or residence time.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physical encounter time axis and endpoint.</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semiquinone T1</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longitudinal relaxation within the encounter.</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an encounter-specific relaxation rate.</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semiquinone T2/Tm</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coherence decay under a physically matched model.</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quantitative dephasing or coherence-lifetime claims.</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exchange coupling</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Sets the isotropic electron-electron coupling magnitude.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quantitative exchange Hamiltonian.</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dipolar coupling and geometry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Sets anisotropic coupling and requires geometry/orientation.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quantitative dipolar Hamiltonian and orientation average.</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solution encounter O2 g and ZFS tensors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encounter-specific oxygen Zeeman/ZFS evolution.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transfer of gas, matrix, or protein O2 tensors into solution.</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encounter-specific O2 relaxation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spin relaxation of O2 within the solution encounter.</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assigning a solution-encounter O2 relaxation rate.</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compartment-specific H2O2 loss rate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compartment-specific removal of downstream H2O2.</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compartment-level H2O2 prediction.</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association rate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Connects bulk semiquinone and oxygen concentrations to encounter formation.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 illustrative sensitivity coordinate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quantitative encounter-formation flux.</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geometry separated from dipolar coupling</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separation, orientation, association, and residence physics.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with explicit opt-in</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defensible physical range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geometry scenarios only; none used in the baseline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a physical association or encounter model.</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chemically prepared initial D/Q population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Defines the encounter birth density matrix.</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yes, as benchmark mixtures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illustrative only; no measured preparation distribution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unpolarized and manifold-mixture benchmarks only</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Prohibits choosing a chemically prepared initial D/Q state.</w:t>
            </w:r>
          </w:p>
        </w:tc>
      </w:tr>
    </w:tbl>
    <w:p/>
    <w:p>
      <w:pPr>
        <w:pStyle w:val="SourceNote"/>
      </w:pPr>
      <w:r>
        <w:rPr>
          <w:b/>
        </w:rPr>
        <w:t xml:space="preserve">Generated CSV source  </w:t>
      </w:r>
      <w:r>
        <w:t>/Users/arjunlingala/Downloads/ROS_Spin/results/paper/tables/table03_unavailable_parameters_and_consequences.csv</w:t>
      </w:r>
    </w:p>
    <w:p>
      <w:pPr>
        <w:pStyle w:val="Heading1"/>
      </w:pPr>
      <w:r>
        <w:t>Table 8  Experimental Validation Evidence</w:t>
      </w:r>
    </w:p>
    <w:p>
      <w:pPr>
        <w:pStyle w:val="Heading2"/>
      </w:pPr>
      <w:r>
        <w:t>Table 8A System conditions and reported result</w:t>
      </w:r>
    </w:p>
    <w:tbl>
      <w:tblPr>
        <w:tblW w:type="auto" w:w="0"/>
        <w:jc w:val="center"/>
        <w:tblLayout w:type="autofit"/>
        <w:tblLook w:firstColumn="1" w:firstRow="1" w:lastColumn="0" w:lastRow="0" w:noHBand="0" w:noVBand="1" w:val="04A0"/>
      </w:tblPr>
      <w:tblGrid>
        <w:gridCol w:w="2410"/>
        <w:gridCol w:w="2410"/>
        <w:gridCol w:w="2410"/>
        <w:gridCol w:w="2410"/>
        <w:gridCol w:w="2410"/>
        <w:gridCol w:w="2410"/>
      </w:tblGrid>
      <w:tr>
        <w:trPr>
          <w:tblHeader w:val="true"/>
        </w:trPr>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3"/>
              </w:rPr>
              <w:t>Record</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3"/>
              </w:rPr>
              <w:t>Exact system</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3"/>
              </w:rPr>
              <w:t>Observable</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3"/>
              </w:rPr>
              <w:t>Conditions</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3"/>
              </w:rPr>
              <w:t>Reported result</w:t>
            </w:r>
          </w:p>
        </w:tc>
        <w:tc>
          <w:tcPr>
            <w:tcW w:type="dxa" w:w="241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3"/>
              </w:rPr>
              <w:t>Unit</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beef_heart_submitochondrial_superoxide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beef_heart_submitochondrial_superoxide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beef</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dose=90 uM doxorubicin; oxygen=not reported in accessible abstract</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{"control": 1.6, "doxorubicin": 69.6, "uncertainty_SE": [0.2, 2.7]}</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beef_heart_submitochondrial_H2O2</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beef_heart_submitochondrial_H2O2</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beef</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dose=200 uM doxorubicin; oxygen=not reported in accessible abstract</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{"control": "undetectable", "doxorubicin": 2.2, "uncertainty_SE": 0.3}</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Ehrlich_microsome_superoxide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200 ug microsomal protein in 1 mL; 150 mM potassium phosphate; 100 uM EDTA; 1 mM NADPH</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dose=135 uM; environment=200 ug microsomal protein in 1 mL; 150 mM potassium phosphate; 100 uM EDTA; 1 mM NADPH; temperature=310 K; pH=7.4; oxygen=not separately reported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{"control": 0.51, "doxorubicin": 14.71, "n": [3, 6], "uncertainty_SE": [0.26, 1.43]}</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Ehrlich_mitochondrial_superoxide</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100 ug protein/mL; 250 mM sucrose; 20 mM HEPES; 100 uM EDTA; NADH; 4 uM rotenone; 5 min preincubation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dose=135 uM; environment=100 ug protein/mL; 250 mM sucrose; 20 mM HEPES; 100 uM EDTA; NADH; 4 uM rotenone; 5 min preincubation; temperature=310 K; pH=8.2; oxygen=not separately reported</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{"control": 1.12, "doxorubicin": 7.29, "n": [7, 10], "uncertainty_SE": [0.15, 0.61]}</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Ehrlich_nuclear_superoxide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200 ug nuclear protein; sucrose/20 mM HEPES/100 uM EDTA; 1 mM NADPH</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dose=135 uM; environment=200 ug nuclear protein; sucrose/20 mM HEPES/100 uM EDTA; 1 mM NADPH; temperature=310 K; pH=7.4; oxygen=not separately reported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{"control": 0.36, "doxorubicin": 3.29, "n": [7, 12], "uncertainty_SE": [0.05, 0.33]}</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Ehrlich_H2O2</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fraction buffers as separately reported; cells in Chelex-treated PBS</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dose=135 uM fractions; 400 uM cells; environment=fraction buffers as separately reported; cells in Chelex-treated PBS; temperature=310 K; pH=7.4 microsomes;8.2 mitochondria;cell PBS pH not reported; oxygen=cells air-bubbled 30 min</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{"uncertainty_SE": [0.48, 0.6, 0.04], "values": [3.42, 2.6, 0.64]}</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 nmol min^-1 per 1e7 cells</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PC3_intracellular_H2O2</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PC3 human prostate cancer cells</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PC3</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 uM doxorubicin; environment=PC3 human prostate cancer cells; temperature=310 K; oxygen=not reported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{"basal": 13, "doxorubicin": 51, "time": "30 min", "uncertainty": [4, 13]}</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pM</w:t>
            </w:r>
          </w:p>
        </w:tc>
      </w:tr>
      <w:tr>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H9c2_MitoSOX</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HBSS with Ca/Mg and 1% BSA; 5 uM MitoSOX</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H9c2</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dose=10/20/50 uM doxorubicin; environment=HBSS with Ca/Mg and 1% BSA; 5 uM MitoSOX; temperature=310 K; oxygen=not reported</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{"uncertainty": [0.04, 0.08, 0.08], "values": [1.4, 1.8, 2.8]}</w:t>
            </w:r>
          </w:p>
        </w:tc>
        <w:tc>
          <w:tcPr>
            <w:tcW w:type="dxa" w:w="2410"/>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fold control</w:t>
            </w:r>
          </w:p>
        </w:tc>
      </w:tr>
      <w:tr>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quinone_disabled_negative_control</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Ehrlich microsomal system</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quinone</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dose=135 uM both compounds; environment=Ehrlich microsomal system; temperature=310 K; pH=7.4; oxygen=not separately reported</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{"doxorubicin": 14.71, "five_iminodaunorubicin": 0.45, "uncertainty_SE": [1.43, 0.15]}</w:t>
            </w:r>
          </w:p>
        </w:tc>
        <w:tc>
          <w:tcPr>
            <w:tcW w:type="dxa" w:w="2410"/>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3"/>
              </w:rPr>
              <w:t>nmol min^-1 mg^-1</w:t>
            </w:r>
          </w:p>
        </w:tc>
      </w:tr>
    </w:tbl>
    <w:p/>
    <w:p>
      <w:pPr>
        <w:pStyle w:val="Heading2"/>
      </w:pPr>
      <w:r>
        <w:t>Table 8B Evidence method and limitation</w:t>
      </w:r>
    </w:p>
    <w:tbl>
      <w:tblPr>
        <w:tblW w:type="auto" w:w="0"/>
        <w:jc w:val="center"/>
        <w:tblLayout w:type="autofit"/>
        <w:tblLook w:firstColumn="1" w:firstRow="1" w:lastColumn="0" w:lastRow="0" w:noHBand="0" w:noVBand="1" w:val="04A0"/>
      </w:tblPr>
      <w:tblGrid>
        <w:gridCol w:w="2892"/>
        <w:gridCol w:w="2892"/>
        <w:gridCol w:w="2892"/>
        <w:gridCol w:w="2892"/>
        <w:gridCol w:w="2892"/>
      </w:tblGrid>
      <w:tr>
        <w:trPr>
          <w:tblHeader w:val="true"/>
        </w:trPr>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Record</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Method</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Source</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Direct validation</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Limitation</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beef_heart_submitochondrial_superoxide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SOD-inhibitable cytochrome-c reduction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doi:10.1016/S0021-9258(17)35747-2</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Conditions and normalization differ; do not pool or fit.</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beef_heart_submitochondrial_H2O2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catalase-released oxygen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doi:10.1016/S0021-9258(17)35747-2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Detection limit and exact conditions not reported in accessible abstract.</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Ehrlich_microsome_superoxide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SOD-inhibitable acetylated cytochrome-c reduction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doi:10.1155/2019/9474823</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Conditions and normalization differ; do not pool or fit.</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Ehrlich_mitochondrial_superoxide</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SOD-inhibitable acetylated cytochrome-c reduction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doi:10.1155/2019/9474823</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Conditions and normalization differ; do not pool or fit.</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Ehrlich_nuclear_superoxide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SOD-inhibitable acetylated cytochrome-c reduction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doi:10.1155/2019/9474823</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Conditions and normalization differ; do not pool or fit.</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Ehrlich_H2O2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catalase-released oxygen; linear 10-30 min interval</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doi:10.1155/2019/9474823</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Conditions and normalization differ; do not pool or fit.</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PC3_intracellular_H2O2</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catalase-aminotriazole kinetic assay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doi:10.1016/j.abb.2005.06.015</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Apparent intracellular H2O2; medium Amplex Red did not increase and catalase overexpression did not increase resistance.</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H9c2_MitoSOX</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1 h fluorescence</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doi:10.1016/j.bbrc.2007.04.106</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Sensitivity only; autofluorescence and nonspecific probe products prohibit absolute calibration.</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quinone_disabled_negative_control</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acetylated cytochrome-c reduction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doi:10.1155/2019/9474823</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Supports quinone dependence but not D/Q selectivity.</w:t>
            </w:r>
          </w:p>
        </w:tc>
      </w:tr>
    </w:tbl>
    <w:p/>
    <w:p>
      <w:pPr>
        <w:pStyle w:val="SourceNote"/>
      </w:pPr>
      <w:r>
        <w:rPr>
          <w:b/>
        </w:rPr>
        <w:t xml:space="preserve">Generated CSV source  </w:t>
      </w:r>
      <w:r>
        <w:t>/Users/arjunlingala/Downloads/ROS_Spin/results/paper/tables/table08_experimental_validation_evidence.csv</w:t>
      </w:r>
    </w:p>
    <w:p>
      <w:pPr>
        <w:pStyle w:val="Heading1"/>
      </w:pPr>
      <w:r>
        <w:t>Table 9  Requirements Traceability</w:t>
      </w:r>
    </w:p>
    <w:p>
      <w:pPr>
        <w:pStyle w:val="Heading2"/>
      </w:pPr>
      <w:r>
        <w:t>Table 9A Requirement to implementation mapping</w:t>
      </w:r>
    </w:p>
    <w:tbl>
      <w:tblPr>
        <w:tblW w:type="auto" w:w="0"/>
        <w:jc w:val="center"/>
        <w:tblLayout w:type="autofit"/>
        <w:tblLook w:firstColumn="1" w:firstRow="1" w:lastColumn="0" w:lastRow="0" w:noHBand="0" w:noVBand="1" w:val="04A0"/>
      </w:tblPr>
      <w:tblGrid>
        <w:gridCol w:w="2892"/>
        <w:gridCol w:w="2892"/>
        <w:gridCol w:w="2892"/>
        <w:gridCol w:w="2892"/>
        <w:gridCol w:w="2892"/>
      </w:tblGrid>
      <w:tr>
        <w:trPr>
          <w:tblHeader w:val="true"/>
        </w:trPr>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Requirement</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Topic or output</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Exact file</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Exact code object</w:t>
            </w:r>
          </w:p>
        </w:tc>
        <w:tc>
          <w:tcPr>
            <w:tcW w:type="dxa" w:w="28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Figure or table</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Semiquinone g and hyperfine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configs/doxorubicin_parameters.json; 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hamiltonian; validate_authority_bundle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7; Table 2</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O2 electronic parameters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configs/doxorubicin_parameters.json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active_model.encounter.g_oxygen; oxygen_zfs_d_rad_s; oxygen_zfs_e_rad_s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Tables 2-3</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3</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 relaxation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_lindblad; propagate_encounter_reference; propagate_encounter_independent</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5, 7, 8</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4</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Bulk SQ/O2 kinetics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 configs/parameter_provenance.csv</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evaluate_bulk_superoxide_rate</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10; Table 2</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5</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coherence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hamiltonian; propagate_encounter_reference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1-2</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6</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D/Q reaction selectivity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 sensitivity_analysis.py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P_DOUBLET; P_QUARTET; run_selectivity_sweep</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3, 4, 6</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7</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Escape and encounter lifetime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 sensitivity_analysis.py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EncounterParameters.k_escape_s; run_mixing_escape_sweep</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4, 7; Table 5</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8</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Exchange dipolar and geometry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EncounterParameters; hamiltonian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7; Table 3</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9</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Downstream speciation and dismutation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downstream_ros_species_resolved</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9</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10</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Experimental ROS validation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configs/doxorubicin_parameters.json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validation_datasets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Table 8</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11</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 numerical behavior</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propagate_encounter_reference; propagate_encounter_independent</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8; Table 6</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12</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Circuit consistency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execute_three_qubit_unitary_circuit</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11; Table 7</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A</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parameter provenance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configs/parameter_provenance.csv</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_provenance_rows</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Table 2</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B</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Hamiltonian and spin algebra</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hamiltonian; P_DOUBLET; P_QUARTET</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 1; Table 1</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C</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initial-state benchmarks</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initial_density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2-3; Table 4</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D</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kQ/kD analysis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sensitivity_analysis.py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run_mixing_escape_sweep; run_selectivity_sweep</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4 and 6</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E</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reaction network</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spin_chemistry.py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primary_superoxide_formation; downstream_ros_species_resolved</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1 and 9</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F</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supported claims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deliverables/ROS_Spin_professor_summary.md</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SUPPORTED_CLAIMS</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Professor summary</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G</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unsupported claims</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deliverables/ROS_Spin_professor_summary.md</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PROHIBITED_CLAIMS</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Professor summary</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H</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configuration JSON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configs/doxorubicin_parameters.json</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validate_authority_bundle</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Table 2</w:t>
            </w:r>
          </w:p>
        </w:tc>
      </w:tr>
      <w:tr>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I</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machine-readable outputs</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paper_analysis.py</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write_csv; run_manifest.json</w:t>
            </w:r>
          </w:p>
        </w:tc>
        <w:tc>
          <w:tcPr>
            <w:tcW w:type="dxa" w:w="2892"/>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Figures 1-11; Tables 1-9</w:t>
            </w:r>
          </w:p>
        </w:tc>
      </w:tr>
      <w:tr>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J</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existing repository and legacy mapping</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README.md; legacy_entrypoint.py</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retired_entrypoint</w:t>
            </w:r>
          </w:p>
        </w:tc>
        <w:tc>
          <w:tcPr>
            <w:tcW w:type="dxa" w:w="2892"/>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Table 9</w:t>
            </w:r>
          </w:p>
        </w:tc>
      </w:tr>
    </w:tbl>
    <w:p/>
    <w:p>
      <w:pPr>
        <w:pStyle w:val="Heading2"/>
      </w:pPr>
      <w:r>
        <w:t>Table 9B Test evidence and remaining limitation</w:t>
      </w:r>
    </w:p>
    <w:tbl>
      <w:tblPr>
        <w:tblW w:type="auto" w:w="0"/>
        <w:jc w:val="center"/>
        <w:tblLayout w:type="autofit"/>
        <w:tblLook w:firstColumn="1" w:firstRow="1" w:lastColumn="0" w:lastRow="0" w:noHBand="0" w:noVBand="1" w:val="04A0"/>
      </w:tblPr>
      <w:tblGrid>
        <w:gridCol w:w="3614"/>
        <w:gridCol w:w="3614"/>
        <w:gridCol w:w="3614"/>
        <w:gridCol w:w="3614"/>
      </w:tblGrid>
      <w:tr>
        <w:trPr>
          <w:tblHeader w:val="true"/>
        </w:trPr>
        <w:tc>
          <w:tcPr>
            <w:tcW w:type="dxa" w:w="36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Requirement</w:t>
            </w:r>
          </w:p>
        </w:tc>
        <w:tc>
          <w:tcPr>
            <w:tcW w:type="dxa" w:w="36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Test</w:t>
            </w:r>
          </w:p>
        </w:tc>
        <w:tc>
          <w:tcPr>
            <w:tcW w:type="dxa" w:w="36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Evidence status</w:t>
            </w:r>
          </w:p>
        </w:tc>
        <w:tc>
          <w:tcPr>
            <w:tcW w:type="dxa" w:w="361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r>
              <w:rPr>
                <w:b/>
                <w:color w:val="FFFFFF"/>
                <w:sz w:val="14"/>
              </w:rPr>
              <w:t>Remaining limitation</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InitialStateAndHamiltonianTests; AuthorityAndModeTests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bounded_complete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isotropic g only; hyperfine tensors unavailable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2</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AuthorityAndModeTests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evidence_review_complete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 tensors unavailable</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3</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EncounterDynamicsTests; IndependentEncounterValidationTests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framework_complete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T1 and T2 unavailable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4</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AuthorityAndModeTests; PaperPipelineTests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condition_specific_complete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not encounter kD or kQ</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5</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EncounterDynamicsTests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evidence_unavailable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 measured coherent encounter</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6</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SpinAlgebraTests; PaperPipelineTests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sensitivity_complete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no physical ordering known</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7</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EncounterDynamicsTests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sensitivity_complete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physical value unavailable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8</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InitialStateAndHamiltonianTests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framework_complete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magnitudes and geometry unavailable</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9</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StagedChemistryTests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bounded_complete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fixed pH and constant SOD</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10</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AuthorityAndModeTests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catalog_complete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datasets incomparable for fitting</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11</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IndependentEncounterValidationTests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numerical, not physical validation</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Topic 12</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CoherentValidationTests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conditional_complete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coherent simulator and embedding only</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A</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AuthorityAndModeTests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B</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SpinAlgebraTests; InitialStateAndHamiltonianTests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C</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InitialStateAndHamiltonianTests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D</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PaperPipelineTests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StagedChemistryTests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F</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test_professor_handoff.py</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G</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test_professor_handoff.py</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H</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AuthorityAndModeTests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I</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PaperPipelineTests</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r>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Output J</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PaperPipelineTests</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complete</w:t>
            </w:r>
          </w:p>
        </w:tc>
        <w:tc>
          <w:tcPr>
            <w:tcW w:type="dxa" w:w="3614"/>
            <w:shd w:fill="EAF2F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line="240" w:lineRule="auto"/>
            </w:pPr>
            <w:r>
              <w:rPr>
                <w:sz w:val="14"/>
              </w:rPr>
              <w:t>Interpret only within the stated evidence and sensitivity scope.</w:t>
            </w:r>
          </w:p>
        </w:tc>
      </w:tr>
    </w:tbl>
    <w:p/>
    <w:p>
      <w:pPr>
        <w:pStyle w:val="SourceNote"/>
      </w:pPr>
      <w:r>
        <w:rPr>
          <w:b/>
        </w:rPr>
        <w:t xml:space="preserve">Generated CSV source  </w:t>
      </w:r>
      <w:r>
        <w:t>/Users/arjunlingala/Downloads/ROS_Spin/results/paper/tables/table09_requirements_traceability.csv</w:t>
      </w:r>
    </w:p>
    <w:p>
      <w:pPr>
        <w:sectPr>
          <w:headerReference w:type="default" r:id="rId28"/>
          <w:footerReference w:type="default" r:id="rId29"/>
          <w:pgSz w:w="15840" w:h="12240" w:orient="landscape"/>
          <w:pgMar w:top="792" w:right="691" w:bottom="792" w:left="691" w:header="720" w:footer="720" w:gutter="0"/>
          <w:cols w:space="720"/>
          <w:docGrid w:linePitch="360"/>
        </w:sectPr>
      </w:pPr>
    </w:p>
    <w:p>
      <w:pPr>
        <w:pStyle w:val="Heading1"/>
      </w:pPr>
      <w:r>
        <w:t>Supported Claims</w:t>
      </w:r>
    </w:p>
    <w:p>
      <w:pPr>
        <w:pStyle w:val="ListBullet"/>
      </w:pPr>
      <w:r>
        <w:t>The spin-1/2 semiquinone and spin-1 ground-state oxygen electronic space has dimension six and decomposes into doublet and quartet manifolds of dimensions two and four.</w:t>
      </w:r>
    </w:p>
    <w:p>
      <w:pPr>
        <w:pStyle w:val="ListBullet"/>
      </w:pPr>
      <w:r>
        <w:t>The implemented projectors, density matrices, Hamiltonian construction, trace-decreasing evolution, and probability accounting satisfy the repository's algebraic and numerical tests.</w:t>
      </w:r>
    </w:p>
    <w:p>
      <w:pPr>
        <w:pStyle w:val="ListBullet"/>
      </w:pPr>
      <w:r>
        <w:t>Under declared dimensionless scenarios, primary-superoxide yield depends on competition among spin-selective electron transfer, doublet-quartet mixing, relaxation, and encounter escape.</w:t>
      </w:r>
    </w:p>
    <w:p>
      <w:pPr>
        <w:pStyle w:val="ListBullet"/>
      </w:pPr>
      <w:r>
        <w:t>The adaptive Dormand-Prince implementation agrees with the constant-generator matrix-exponential reference within the declared numerical tolerances.</w:t>
      </w:r>
    </w:p>
    <w:p>
      <w:pPr>
        <w:pStyle w:val="ListBullet"/>
      </w:pPr>
      <w:r>
        <w:t>The three-qubit calculation checks coherent six-state-to-eight-state encoding and simulator consistency when Qiskit executes.</w:t>
      </w:r>
    </w:p>
    <w:p>
      <w:pPr>
        <w:pStyle w:val="ListBullet"/>
      </w:pPr>
      <w:r>
        <w:t>Condition-specific literature bulk rates and downstream aqueous kinetics can provide bounded context when their units, species, and experimental conditions remain explicit.</w:t>
      </w:r>
    </w:p>
    <w:p>
      <w:pPr>
        <w:pStyle w:val="Heading1"/>
      </w:pPr>
      <w:r>
        <w:t>Unsupported and Prohibited Claims</w:t>
      </w:r>
    </w:p>
    <w:p>
      <w:pPr>
        <w:pStyle w:val="ListBullet"/>
      </w:pPr>
      <w:r>
        <w:t>Absolute cellular superoxide or absolute in-vivo H2O2 concentration</w:t>
      </w:r>
    </w:p>
    <w:p>
      <w:pPr>
        <w:pStyle w:val="ListBullet"/>
      </w:pPr>
      <w:r>
        <w:t>Cardiotoxicity or therapeutic response</w:t>
      </w:r>
    </w:p>
    <w:p>
      <w:pPr>
        <w:pStyle w:val="ListBullet"/>
      </w:pPr>
      <w:r>
        <w:t>A measured kQ/kD value, ordering, probability distribution, or physical range</w:t>
      </w:r>
    </w:p>
    <w:p>
      <w:pPr>
        <w:pStyle w:val="ListBullet"/>
      </w:pPr>
      <w:r>
        <w:t>A confirmed coherent or spin-correlated semiquinone-oxygen encounter</w:t>
      </w:r>
    </w:p>
    <w:p>
      <w:pPr>
        <w:pStyle w:val="ListBullet"/>
      </w:pPr>
      <w:r>
        <w:t>A demonstrated doublet, quartet, entangled, or otherwise prepared encounter state</w:t>
      </w:r>
    </w:p>
    <w:p>
      <w:pPr>
        <w:pStyle w:val="ListBullet"/>
      </w:pPr>
      <w:r>
        <w:t>A quantitative magnetic-field effect</w:t>
      </w:r>
    </w:p>
    <w:p>
      <w:pPr>
        <w:pStyle w:val="ListBullet"/>
      </w:pPr>
      <w:r>
        <w:t>Transfer of bulk M^-1 s^-1 rates into encounter-level kD or kQ in s^-1</w:t>
      </w:r>
    </w:p>
    <w:p>
      <w:pPr>
        <w:pStyle w:val="ListBullet"/>
      </w:pPr>
      <w:r>
        <w:t>Quantum advantage, hardware performance, or independent validation of the chemistry</w:t>
      </w:r>
    </w:p>
    <w:p>
      <w:pPr>
        <w:pStyle w:val="Heading1"/>
      </w:pPr>
      <w:r>
        <w:t>Recommended Manuscript Framing</w:t>
      </w:r>
    </w:p>
    <w:p>
      <w:r>
        <w:t>Frame the work as an evidence-gated computational framework and conditional sensitivity study connected to the original anthracycline ROS question. Lead with the physical correction, present computed structural validation separately from sensitivity results and literature-derived calculations, and state the missing measurements as requirements for future quantitative chemistry rather than filling them with analogues.</w:t>
      </w:r>
    </w:p>
    <w:p>
      <w:r>
        <w:t>Recommended manuscript language: The simulations demonstrate how primary superoxide yield would depend on the competition among spin-selective electron transfer, doublet-quartet mixing, relaxation, and encounter escape under specified dimensionless scenarios. They do not establish that the assumed spin preparation, mixing magnitude, or state-selective rates occur in the doxorubicin semiquinone-oxygen system.</w:t>
      </w:r>
    </w:p>
    <w:p>
      <w:pPr>
        <w:pStyle w:val="Heading1"/>
      </w:pPr>
      <w:r>
        <w:t>Exact Reproduction Instructions</w:t>
      </w:r>
    </w:p>
    <w:p>
      <w:r>
        <w:t>From the repository root, run the following commands after installing the pinned requirements and ensuring LibreOffice is available:</w:t>
      </w:r>
    </w:p>
    <w:p>
      <w:pPr/>
      <w:r>
        <w:rPr>
          <w:rFonts w:ascii="Courier New" w:hAnsi="Courier New"/>
          <w:sz w:val="17"/>
        </w:rPr>
        <w:t>.venv/bin/python paper_analysis.py --mode full --output-dir results/paper --execute-circuit --overwrite</w:t>
        <w:br/>
        <w:t>.venv/bin/python render_equations.py assets/equations</w:t>
        <w:br/>
        <w:t>python3 professor_handoff.py --results-dir results/paper --deliverables-dir deliverables --overwrite</w:t>
      </w:r>
    </w:p>
    <w:p>
      <w:r>
        <w:t>The exact numerical invocation, dependency versions, source hashes, assumptions, tolerances, Qiskit status, and limitations are recorded in results/paper/metadata/run_manifest.json.</w:t>
      </w:r>
    </w:p>
    <w:p>
      <w:pPr>
        <w:pStyle w:val="Heading1"/>
      </w:pPr>
      <w:r>
        <w:t>References and DOI List</w:t>
      </w:r>
    </w:p>
    <w:p>
      <w:pPr>
        <w:pStyle w:val="ListBullet"/>
      </w:pPr>
      <w:r>
        <w:t>Arroyo, C. M.; Carmichael, A. J. Free Radic. Biol. Med. 9 (1990) 191–197. [doi:10.1016/0891-5849(90)90027-G](https://doi.org/10.1016/0891-5849(90)90027-G).</w:t>
      </w:r>
    </w:p>
    <w:p>
      <w:pPr>
        <w:pStyle w:val="ListBullet"/>
      </w:pPr>
      <w:r>
        <w:t>Behar, D. et al. J. Phys. Chem. 74 (1970) 3209–3213. [doi:10.1021/j100711a009](https://doi.org/10.1021/j100711a009).</w:t>
      </w:r>
    </w:p>
    <w:p>
      <w:pPr>
        <w:pStyle w:val="ListBullet"/>
      </w:pPr>
      <w:r>
        <w:t>Bielski, B. H. J. et al. J. Phys. Chem. Ref. Data 14 (1985) 1041–1100. [doi:10.1063/1.555739](https://doi.org/10.1063/1.555739).</w:t>
      </w:r>
    </w:p>
    <w:p>
      <w:pPr>
        <w:pStyle w:val="ListBullet"/>
      </w:pPr>
      <w:r>
        <w:t>Doroshow, J. H. Oxid. Med. Cell. Longev. 2019, 9474823. [doi:10.1155/2019/9474823](https://doi.org/10.1155/2019/9474823).</w:t>
      </w:r>
    </w:p>
    <w:p>
      <w:pPr>
        <w:pStyle w:val="ListBullet"/>
      </w:pPr>
      <w:r>
        <w:t>Doroshow, J. H.; Davies, K. J. A. J. Biol. Chem. 261 (1986) 3068–3074. [doi:10.1016/S0021-9258(17)35747-2](https://doi.org/10.1016/S0021-9258(17)35747-2).</w:t>
      </w:r>
    </w:p>
    <w:p>
      <w:pPr>
        <w:pStyle w:val="ListBullet"/>
      </w:pPr>
      <w:r>
        <w:t>Fielden, E. M. et al. Biochem. J. 139 (1974) 49–60. [doi:10.1042/bj1390049](https://doi.org/10.1042/bj1390049).</w:t>
      </w:r>
    </w:p>
    <w:p>
      <w:pPr>
        <w:pStyle w:val="ListBullet"/>
      </w:pPr>
      <w:r>
        <w:t>Forman, H. J.; Fridovich, I. Arch. Biochem. Biophys. 158 (1973) 396–400. [doi:10.1016/0003-9861(73)90636-X](https://doi.org/10.1016/0003-9861(73)90636-X).</w:t>
      </w:r>
    </w:p>
    <w:p>
      <w:pPr>
        <w:pStyle w:val="ListBullet"/>
      </w:pPr>
      <w:r>
        <w:t>Hasinoff, B. B. et al. Mol. Pharmacol. (2015). [doi:10.1124/mol.115.098798](https://doi.org/10.1124/mol.115.098798).</w:t>
      </w:r>
    </w:p>
    <w:p>
      <w:pPr>
        <w:pStyle w:val="ListBullet"/>
      </w:pPr>
      <w:r>
        <w:t>Jülich, T. et al. Magn. Reson. Chem. 26 (1988) 701–706. [doi:10.1002/mrc.1260260812](https://doi.org/10.1002/mrc.1260260812).</w:t>
      </w:r>
    </w:p>
    <w:p>
      <w:pPr>
        <w:pStyle w:val="ListBullet"/>
      </w:pPr>
      <w:r>
        <w:t>Kalyanaraman, B. et al. Arch. Biochem. Biophys. (1991). [doi:10.1016/0003-9861(91)90023-C](https://doi.org/10.1016/0003-9861(91)90023-C).</w:t>
      </w:r>
    </w:p>
    <w:p>
      <w:pPr>
        <w:pStyle w:val="ListBullet"/>
      </w:pPr>
      <w:r>
        <w:t>Kitahara, R. et al. Sci. Rep. 6 (2016) 20534. [doi:10.1038/srep20534](https://doi.org/10.1038/srep20534).</w:t>
      </w:r>
    </w:p>
    <w:p>
      <w:pPr>
        <w:pStyle w:val="ListBullet"/>
      </w:pPr>
      <w:r>
        <w:t>Klug-Roth, D. et al. J. Am. Chem. Soc. 95 (1973) 2786–2790. [doi:10.1021/ja00790a007](https://doi.org/10.1021/ja00790a007).</w:t>
      </w:r>
    </w:p>
    <w:p>
      <w:pPr>
        <w:pStyle w:val="ListBullet"/>
      </w:pPr>
      <w:r>
        <w:t>Land, E. J. et al. Br. J. Cancer 51 (1985) 515–523. [doi:10.1038/bjc.1985.74](https://doi.org/10.1038/bjc.1985.74); [full text](https://pmc.ncbi.nlm.nih.gov/articles/PMC1977136/).</w:t>
      </w:r>
    </w:p>
    <w:p>
      <w:pPr>
        <w:pStyle w:val="ListBullet"/>
      </w:pPr>
      <w:r>
        <w:t>Mukhopadhyay, P. et al. Biochem. Biophys. Res. Commun. 358 (2007) 203–208. [doi:10.1016/j.bbrc.2007.04.106](https://doi.org/10.1016/j.bbrc.2007.04.106).</w:t>
      </w:r>
    </w:p>
    <w:p>
      <w:pPr>
        <w:pStyle w:val="ListBullet"/>
      </w:pPr>
      <w:r>
        <w:t>Pardi, L. A. et al. J. Magn. Reson. 146 (2000) 375–378. [doi:10.1006/jmre.2000.2175](https://doi.org/10.1006/jmre.2000.2175).</w:t>
      </w:r>
    </w:p>
    <w:p>
      <w:pPr>
        <w:pStyle w:val="ListBullet"/>
      </w:pPr>
      <w:r>
        <w:t>Stanbury, D. M. J. Phys. Chem. B 130 (2026) 6654–6659. [doi:10.1021/acs.jpcb.6c01603](https://doi.org/10.1021/acs.jpcb.6c01603).</w:t>
      </w:r>
    </w:p>
    <w:p>
      <w:pPr>
        <w:pStyle w:val="ListBullet"/>
      </w:pPr>
      <w:r>
        <w:t>Svingen, B. A.; Powis, G. Arch. Biochem. Biophys. 209 (1981) 119–126. [doi:10.1016/0003-9861(81)90263-0](https://doi.org/10.1016/0003-9861(81)90263-0).</w:t>
      </w:r>
    </w:p>
    <w:p>
      <w:pPr>
        <w:pStyle w:val="ListBullet"/>
      </w:pPr>
      <w:r>
        <w:t>Teng, C. L. et al. J. Magn. Reson. 148 (2001) 31–34. [doi:10.1006/jmre.2000.2219](https://doi.org/10.1006/jmre.2000.2219).</w:t>
      </w:r>
    </w:p>
    <w:p>
      <w:pPr>
        <w:pStyle w:val="ListBullet"/>
      </w:pPr>
      <w:r>
        <w:t>van der Horst, E.; van Bentum, P. J. M. Physica B 294–295 (2001) 87–90. [doi:10.1016/S0921-4526(00)00615-3](https://doi.org/10.1016/S0921-4526(00)00615-3).</w:t>
      </w:r>
    </w:p>
    <w:p>
      <w:pPr>
        <w:pStyle w:val="ListBullet"/>
      </w:pPr>
      <w:r>
        <w:t>Wagner, B. A. et al. Arch. Biochem. Biophys. 440 (2005) 181–190. [doi:10.1016/j.abb.2005.06.015](https://doi.org/10.1016/j.abb.2005.06.015).</w:t>
      </w:r>
    </w:p>
    <w:p>
      <w:pPr>
        <w:pStyle w:val="ListBullet"/>
      </w:pPr>
      <w:r>
        <w:t>Zielonka, J. et al. Free Radic. Biol. Med. 46 (2009) 329–338. [doi:10.1016/j.freeradbiomed.2008.10.031](https://doi.org/10.1016/j.freeradbiomed.2008.10.031).</w:t>
      </w:r>
    </w:p>
    <w:p>
      <w:pPr>
        <w:pStyle w:val="Heading1"/>
      </w:pPr>
      <w:r>
        <w:t>Appendix Figure Captions and Table Notes</w:t>
      </w:r>
    </w:p>
    <w:p>
      <w:r>
        <w:t>Each figure caption below is copied from the generated caption file that accompanies the plotted source data.</w:t>
      </w:r>
    </w:p>
    <w:p>
      <w:pPr>
        <w:pStyle w:val="Heading2"/>
      </w:pPr>
      <w:r>
        <w:t>Figure 1 Corrected Model Overview</w:t>
      </w:r>
    </w:p>
    <w:p>
      <w:r>
        <w:t>Figure 1. Corrected model overview. Doxorubicin reduction and semiquinone formation are classical upstream stages. A semiquinone-triplet-O2 encounter enters the six-state doublet/quartet quantum spin-evolution stage, followed by competing spin-selective electron transfer or escape. Integrated reaction flux forms primary superoxide; fixed-pH HO2/O2-minus speciation and dismutation subsequently form H2O2, which may be lost through a separate sink. Conceptual workflow created by the authors; not a simulation output. The diagram is non-quantitative and does not assert coherent preparation or a measured encounter.</w:t>
      </w:r>
    </w:p>
    <w:p>
      <w:pPr>
        <w:pStyle w:val="SourceNote"/>
      </w:pPr>
      <w:r>
        <w:rPr>
          <w:b/>
        </w:rPr>
        <w:t xml:space="preserve">Figure source  </w:t>
      </w:r>
      <w:r>
        <w:t>/Users/arjunlingala/Downloads/ROS_Spin/results/paper/data/figure01_model_overview.csv</w:t>
      </w:r>
    </w:p>
    <w:p>
      <w:pPr>
        <w:pStyle w:val="Heading2"/>
      </w:pPr>
      <w:r>
        <w:t>Figure 2 Benchmark Encounter Trajectories</w:t>
      </w:r>
    </w:p>
    <w:p>
      <w:r>
        <w:t>Figure 2. Benchmark encounter trajectories. Surviving doublet and quartet populations, total survival, cumulative doublet and quartet reaction yields, primary-superoxide yield, and escape yield are shown against normalized time for five benchmark mixtures. At every sampled time, YD + YQ + Yescape + Psurvival = 1 within numerical tolerance. The settings kD/kref=1, kQ/kD=0.1, kescape/kref=1, omega_local/kref=1, and gammaR/kref=gammaO/kref=0.1 are illustrative sensitivity coordinates, not measured parameters.</w:t>
      </w:r>
    </w:p>
    <w:p>
      <w:pPr>
        <w:pStyle w:val="SourceNote"/>
      </w:pPr>
      <w:r>
        <w:rPr>
          <w:b/>
        </w:rPr>
        <w:t xml:space="preserve">Figure source  </w:t>
      </w:r>
      <w:r>
        <w:t>/Users/arjunlingala/Downloads/ROS_Spin/results/paper/data/figure02_benchmark_trajectories.csv</w:t>
      </w:r>
    </w:p>
    <w:p>
      <w:pPr>
        <w:pStyle w:val="Heading2"/>
      </w:pPr>
      <w:r>
        <w:t>Figure 3 Initial State Comparison</w:t>
      </w:r>
    </w:p>
    <w:p>
      <w:r>
        <w:t>Figure 3. Initial-state comparison. Final reaction, escape, and unresolved survival outcomes are compared for the unpolarized encounter, doublet-manifold benchmark, quartet-manifold benchmark, and pD=0.25 and pD=0.75 mixtures. The doublet and quartet cases are computational limiting benchmarks rather than demonstrated chemically prepared states. Primary superoxide is the sum of integrated D and Q reaction yields, not a final spin population.</w:t>
      </w:r>
    </w:p>
    <w:p>
      <w:pPr>
        <w:pStyle w:val="SourceNote"/>
      </w:pPr>
      <w:r>
        <w:rPr>
          <w:b/>
        </w:rPr>
        <w:t xml:space="preserve">Figure source  </w:t>
      </w:r>
      <w:r>
        <w:t>/Users/arjunlingala/Downloads/ROS_Spin/results/paper/data/figure03_initial_state_comparison.csv</w:t>
      </w:r>
    </w:p>
    <w:p>
      <w:pPr>
        <w:pStyle w:val="Heading2"/>
      </w:pPr>
      <w:r>
        <w:t>Figure 4 Mixing versus Escape Heatmaps</w:t>
      </w:r>
    </w:p>
    <w:p>
      <w:r>
        <w:t>Figure 4. Mixing-versus-escape heatmaps. Primary-superoxide yield per encounter is calculated over normalized local D/Q mixing and escape rates for kQ/kD=0, 0.1, 1, and 10. The kQ/kD=1 panel is the spin-independent null condition. Zero and logarithmic nonzero coordinates are illustrative; no displayed range is experimentally established.</w:t>
      </w:r>
    </w:p>
    <w:p>
      <w:pPr>
        <w:pStyle w:val="SourceNote"/>
      </w:pPr>
      <w:r>
        <w:rPr>
          <w:b/>
        </w:rPr>
        <w:t xml:space="preserve">Figure source  </w:t>
      </w:r>
      <w:r>
        <w:t>/Users/arjunlingala/Downloads/ROS_Spin/results/paper/data/figure04_mixing_escape_heatmaps.csv</w:t>
      </w:r>
    </w:p>
    <w:p>
      <w:pPr>
        <w:pStyle w:val="Heading2"/>
      </w:pPr>
      <w:r>
        <w:t>Figure 5 Mixing versus Relaxation Heatmaps</w:t>
      </w:r>
    </w:p>
    <w:p>
      <w:r>
        <w:t>Figure 5. Mixing-versus-relaxation heatmaps. Primary-superoxide yield is calculated for an unpolarized benchmark over normalized local mixing and equal radical/O2 relaxation rates. The fixed settings are kD/kref=1, kescape/kref=1, and duration=8/kref; panels show kQ/kD=0, 0.1, 1, and 10, with equality marked as the spin-independent null. All coordinates are illustrative and non-predictive.</w:t>
      </w:r>
    </w:p>
    <w:p>
      <w:pPr>
        <w:pStyle w:val="SourceNote"/>
      </w:pPr>
      <w:r>
        <w:rPr>
          <w:b/>
        </w:rPr>
        <w:t xml:space="preserve">Figure source  </w:t>
      </w:r>
      <w:r>
        <w:t>/Users/arjunlingala/Downloads/ROS_Spin/results/paper/data/figure05_mixing_relaxation_heatmaps.csv</w:t>
      </w:r>
    </w:p>
    <w:p>
      <w:pPr>
        <w:pStyle w:val="Heading2"/>
      </w:pPr>
      <w:r>
        <w:t>Figure 6 Reaction Selectivity Sensitivity</w:t>
      </w:r>
    </w:p>
    <w:p>
      <w:r>
        <w:t>Figure 6. Reaction-selectivity sensitivity. Primary-superoxide yield is plotted against kQ/kD for unpolarized, doublet, quartet, pD=0.25, and pD=0.75 benchmarks across three mixing and escape settings. The vertical line marks kQ/kD=1 as the spin-independent null. The kQ/kD axis is a sensitivity coordinate, not a measured or chemically defensible probability distribution or physical range.</w:t>
      </w:r>
    </w:p>
    <w:p>
      <w:pPr>
        <w:pStyle w:val="SourceNote"/>
      </w:pPr>
      <w:r>
        <w:rPr>
          <w:b/>
        </w:rPr>
        <w:t xml:space="preserve">Figure source  </w:t>
      </w:r>
      <w:r>
        <w:t>/Users/arjunlingala/Downloads/ROS_Spin/results/paper/data/figure06_reaction_selectivity.csv</w:t>
      </w:r>
    </w:p>
    <w:p>
      <w:pPr>
        <w:pStyle w:val="Heading2"/>
      </w:pPr>
      <w:r>
        <w:t>Figure 7 Controls and Limiting Cases</w:t>
      </w:r>
    </w:p>
    <w:p>
      <w:r>
        <w:t>Figure 7. Controls and limiting cases. Baseline sensitivity, zero mixing, kQ=kD spin-independent reaction, fast relaxation, rapid escape, doublet benchmark, and quartet benchmark cases show primary reaction, escape, and unresolved survival. Stacked outcomes make probability accounting visible. All rates and initial-state restrictions are computational controls, not established encounter parameters or preparations.</w:t>
      </w:r>
    </w:p>
    <w:p>
      <w:pPr>
        <w:pStyle w:val="SourceNote"/>
      </w:pPr>
      <w:r>
        <w:rPr>
          <w:b/>
        </w:rPr>
        <w:t xml:space="preserve">Figure source  </w:t>
      </w:r>
      <w:r>
        <w:t>/Users/arjunlingala/Downloads/ROS_Spin/results/paper/data/figure07_controls.csv</w:t>
      </w:r>
    </w:p>
    <w:p>
      <w:pPr>
        <w:pStyle w:val="Heading2"/>
      </w:pPr>
      <w:r>
        <w:t>Figure 8 Independent Numerical Validation</w:t>
      </w:r>
    </w:p>
    <w:p>
      <w:r>
        <w:t>Figure 8. Independent numerical validation. A separately constructed adaptive Dormand-Prince 5(4) solver is compared with the constant-generator matrix-exponential reference for full density matrices, doublet and quartet populations, survival, reaction yields, escape yield, and probability balance. Dashed lines show declared tolerances. Agreement validates numerical implementation only, not physical encounter inputs.</w:t>
      </w:r>
    </w:p>
    <w:p>
      <w:pPr>
        <w:pStyle w:val="SourceNote"/>
      </w:pPr>
      <w:r>
        <w:rPr>
          <w:b/>
        </w:rPr>
        <w:t xml:space="preserve">Figure source  </w:t>
      </w:r>
      <w:r>
        <w:t>/Users/arjunlingala/Downloads/ROS_Spin/results/paper/data/figure08_solver_validation.csv</w:t>
      </w:r>
    </w:p>
    <w:p>
      <w:pPr>
        <w:pStyle w:val="Heading2"/>
      </w:pPr>
      <w:r>
        <w:t>Figure 9 Downstream ROS Kinetics</w:t>
      </w:r>
    </w:p>
    <w:p>
      <w:r>
        <w:t>Figure 9. Downstream ROS kinetics. Total superoxide-family radical pool, HO2, O2-minus, accumulated H2O2, and accumulated H2O2 loss are shown for spontaneous dismutation, SOD-mediated dismutation, and SOD plus H2O2 loss. The calculation starts from an illustrative 10 micromolar single radical pulse at fixed pH 7.4, assumes rapid acid-base equilibrium and constant rates/SOD, and consumes two radical equivalents per H2O2. No spin population is mapped directly to H2O2, and the trajectories are not cellular predictions.</w:t>
      </w:r>
    </w:p>
    <w:p>
      <w:pPr>
        <w:pStyle w:val="SourceNote"/>
      </w:pPr>
      <w:r>
        <w:rPr>
          <w:b/>
        </w:rPr>
        <w:t xml:space="preserve">Figure source  </w:t>
      </w:r>
      <w:r>
        <w:t>/Users/arjunlingala/Downloads/ROS_Spin/results/paper/data/figure09_downstream_kinetics.csv</w:t>
      </w:r>
    </w:p>
    <w:p>
      <w:pPr>
        <w:pStyle w:val="Heading2"/>
      </w:pPr>
      <w:r>
        <w:t>Figure 10 Literature Bulk Rate Comparison</w:t>
      </w:r>
    </w:p>
    <w:p>
      <w:r>
        <w:t>Figure 10. Literature bulk-rate comparison. Actual numerical values stored in the configuration JSON and matched provenance CSV are plotted with reported uncertainty, pH, temperature, environment, species/protonation, method, and source identifiers. Missing conditions remain visibly marked and records are not combined into a universal rate. These M^-1 s^-1 bulk total constants are not encounter-level kD or kQ in s^-1.</w:t>
      </w:r>
    </w:p>
    <w:p>
      <w:pPr>
        <w:pStyle w:val="SourceNote"/>
      </w:pPr>
      <w:r>
        <w:rPr>
          <w:b/>
        </w:rPr>
        <w:t xml:space="preserve">Figure source  </w:t>
      </w:r>
      <w:r>
        <w:t>/Users/arjunlingala/Downloads/ROS_Spin/results/paper/data/figure10_bulk_rate_comparison.csv</w:t>
      </w:r>
    </w:p>
    <w:p>
      <w:pPr>
        <w:pStyle w:val="Heading2"/>
      </w:pPr>
      <w:r>
        <w:t>Figure 11 Three Qubit Coherent Embedding Validation</w:t>
      </w:r>
    </w:p>
    <w:p>
      <w:r>
        <w:t>Figure 11. Three-qubit coherent-embedding validation. The six-state coherent reference unitary is compared with its eight-state three-qubit embedding and, when requested and available, actual Qiskit statevector execution. Statevector, doublet and quartet observable, basis-ordering, and unused-state leakage errors are compared with declared tolerances. This validates coherent simulator and encoding consistency only; it does not validate reaction, relaxation, escape, downstream chemistry, hardware performance, or quantum advantage.</w:t>
      </w:r>
    </w:p>
    <w:p>
      <w:pPr>
        <w:pStyle w:val="SourceNote"/>
      </w:pPr>
      <w:r>
        <w:rPr>
          <w:b/>
        </w:rPr>
        <w:t xml:space="preserve">Figure source  </w:t>
      </w:r>
      <w:r>
        <w:t>/Users/arjunlingala/Downloads/ROS_Spin/results/paper/data/figure11_circuit_validation.csv</w:t>
      </w:r>
    </w:p>
    <w:p>
      <w:pPr>
        <w:pStyle w:val="Heading2"/>
      </w:pPr>
      <w:r>
        <w:t>Table 1 Original versus Corrected ROS Spin Model</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/Users/arjunlingala/Downloads/ROS_Spin/results/paper/tables/table01_original_versus_corrected_model.csv</w:t>
      </w:r>
    </w:p>
    <w:p>
      <w:pPr>
        <w:pStyle w:val="Heading2"/>
      </w:pPr>
      <w:r>
        <w:t>Table 2 Parameter Provenance</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/Users/arjunlingala/Downloads/ROS_Spin/results/paper/tables/table02_parameter_provenance.csv</w:t>
      </w:r>
    </w:p>
    <w:p>
      <w:pPr>
        <w:pStyle w:val="Heading2"/>
      </w:pPr>
      <w:r>
        <w:t>Table 3 Unavailable Parameters and Consequences</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/Users/arjunlingala/Downloads/ROS_Spin/results/paper/tables/table03_unavailable_parameters_and_consequences.csv</w:t>
      </w:r>
    </w:p>
    <w:p>
      <w:pPr>
        <w:pStyle w:val="Heading2"/>
      </w:pPr>
      <w:r>
        <w:t>Table 4 Baseline Results</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/Users/arjunlingala/Downloads/ROS_Spin/results/paper/tables/table04_baseline_results.csv</w:t>
      </w:r>
    </w:p>
    <w:p>
      <w:pPr>
        <w:pStyle w:val="Heading2"/>
      </w:pPr>
      <w:r>
        <w:t>Table 5 Controls and Extrema</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/Users/arjunlingala/Downloads/ROS_Spin/results/paper/tables/table05_controls_and_extrema.csv</w:t>
      </w:r>
    </w:p>
    <w:p>
      <w:pPr>
        <w:pStyle w:val="Heading2"/>
      </w:pPr>
      <w:r>
        <w:t>Table 6 Independent Solver Validation</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/Users/arjunlingala/Downloads/ROS_Spin/results/paper/tables/table06_independent_solver_validation.csv</w:t>
      </w:r>
    </w:p>
    <w:p>
      <w:pPr>
        <w:pStyle w:val="Heading2"/>
      </w:pPr>
      <w:r>
        <w:t>Table 7 Circuit Validation</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/Users/arjunlingala/Downloads/ROS_Spin/results/paper/tables/table07_circuit_validation.csv</w:t>
      </w:r>
    </w:p>
    <w:p>
      <w:pPr>
        <w:pStyle w:val="Heading2"/>
      </w:pPr>
      <w:r>
        <w:t>Table 8 Experimental Validation Evidence</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/Users/arjunlingala/Downloads/ROS_Spin/results/paper/tables/table08_experimental_validation_evidence.csv</w:t>
      </w:r>
    </w:p>
    <w:p>
      <w:pPr>
        <w:pStyle w:val="Heading2"/>
      </w:pPr>
      <w:r>
        <w:t>Table 9 Requirements Traceability</w:t>
      </w:r>
    </w:p>
    <w:p>
      <w:r>
        <w:t>Generated programmatically from repository code or machine-readable evidence. Interpret all values within the status, conditions, suitability, and limitations columns.</w:t>
      </w:r>
    </w:p>
    <w:p>
      <w:pPr>
        <w:pStyle w:val="SourceNote"/>
      </w:pPr>
      <w:r>
        <w:rPr>
          <w:b/>
        </w:rPr>
        <w:t xml:space="preserve">Generated CSV source  </w:t>
      </w:r>
      <w:r>
        <w:t>/Users/arjunlingala/Downloads/ROS_Spin/results/paper/tables/table09_requirements_traceability.csv</w:t>
      </w:r>
    </w:p>
    <w:sectPr w:rsidR="00FC693F" w:rsidRPr="0006063C" w:rsidSect="00034616">
      <w:headerReference w:type="default" r:id="rId30"/>
      <w:footerReference w:type="default" r:id="rId31"/>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Page </w:t>
    </w:r>
    <w:r>
      <w:rPr>
        <w:rFonts w:ascii="Aptos" w:hAnsi="Aptos"/>
        <w:color w:val="5A5A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Page </w:t>
    </w:r>
    <w:r>
      <w:rPr>
        <w:rFonts w:ascii="Aptos" w:hAnsi="Aptos"/>
        <w:color w:val="5A5A5A"/>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Page </w:t>
    </w:r>
    <w:r>
      <w:rPr>
        <w:rFonts w:ascii="Aptos" w:hAnsi="Aptos"/>
        <w:color w:val="5A5A5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A5A5A"/>
        <w:sz w:val="16"/>
      </w:rPr>
      <w:t>ROS Spin Professor Handoff</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A5A5A"/>
        <w:sz w:val="16"/>
      </w:rPr>
      <w:t>ROS Spin Professor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60"/>
    </w:pPr>
    <w:rPr>
      <w:rFonts w:ascii="Aptos" w:hAnsi="Aptos"/>
      <w:color w:val="000000"/>
      <w:sz w:val="17"/>
    </w:rPr>
  </w:style>
  <w:style w:type="paragraph" w:customStyle="1" w:styleId="SourceNote">
    <w:name w:val="Source Note"/>
    <w:pPr>
      <w:spacing w:after="120"/>
    </w:pPr>
    <w:rPr>
      <w:rFonts w:ascii="Aptos" w:hAnsi="Aptos"/>
      <w:color w:val="5555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 Spin Professor Handoff</dc:title>
  <dc:subject>Corrected Doxorubicin Semiquinone Oxygen Spin Chemistry Model</dc:subject>
  <dc:creator>ROS_Spin project team</dc:creator>
  <cp:keywords>doxorubicin semiquinone oxygen doublet quartet ROS</cp:keywords>
  <dc:description>generated by python-docx</dc:description>
  <cp:lastModifiedBy/>
  <cp:revision>1</cp:revision>
  <dcterms:created xsi:type="dcterms:W3CDTF">2013-12-23T23:15:00Z</dcterms:created>
  <dcterms:modified xsi:type="dcterms:W3CDTF">2013-12-23T23:15:00Z</dcterms:modified>
  <cp:category/>
</cp:coreProperties>
</file>