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sz w:val="48"/>
          <w:szCs w:val="4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48"/>
          <w:szCs w:val="48"/>
          <w:rtl w:val="0"/>
        </w:rPr>
        <w:t xml:space="preserve">#U2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48"/>
          <w:szCs w:val="48"/>
          <w:rtl w:val="0"/>
        </w:rPr>
        <w:t xml:space="preserve"> Bankas PHP V.1</w:t>
      </w:r>
    </w:p>
    <w:p w:rsidR="00000000" w:rsidDel="00000000" w:rsidP="00000000" w:rsidRDefault="00000000" w:rsidRPr="00000000" w14:paraId="00000002">
      <w:pPr>
        <w:spacing w:line="24.000000000000004" w:lineRule="auto"/>
        <w:rPr>
          <w:rFonts w:ascii="Montserrat" w:cs="Montserrat" w:eastAsia="Montserrat" w:hAnsi="Montserrat"/>
          <w:b w:val="1"/>
          <w:b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ontserrat" w:cs="Montserrat" w:eastAsia="Montserrat" w:hAnsi="Montserrat"/>
          <w:b w:val="1"/>
          <w:bCs w:val="1"/>
          <w:sz w:val="48"/>
          <w:szCs w:val="48"/>
        </w:rPr>
      </w:pPr>
      <w:r w:rsidDel="00000000" w:rsidR="00000000" w:rsidRPr="00000000">
        <w:rPr>
          <w:rFonts w:ascii="Courier New" w:cs="Courier New" w:eastAsia="Courier New" w:hAnsi="Courier New"/>
          <w:sz w:val="26"/>
          <w:szCs w:val="26"/>
          <w:rtl w:val="0"/>
        </w:rPr>
        <w:t xml:space="preserve">Funkcinio PHP banko aplikacijos versija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Roboto Mono" w:cs="Roboto Mono" w:eastAsia="Roboto Mono" w:hAnsi="Roboto Mono"/>
          <w:i w:val="1"/>
          <w:iCs w:val="1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sz w:val="24"/>
          <w:szCs w:val="24"/>
          <w:rtl w:val="0"/>
        </w:rPr>
        <w:t xml:space="preserve">Banką sudaro atskiri puslapiai:</w:t>
      </w:r>
    </w:p>
    <w:p w:rsidR="00000000" w:rsidDel="00000000" w:rsidP="00000000" w:rsidRDefault="00000000" w:rsidRPr="00000000" w14:paraId="00000006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Sąskaitų sąrašas su mygtuku “ištrinti” ir linku į “pridėti lėšų” ir “nuskaičiuoti lėšas” puslapius;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Naujos sąskaitos sukūrimas (įvedami duomenys: vardas, pavardė, sąskaitos numeris, asmens kodas)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Puslapis “pridėti lėšas”. Turi matytis savininko vardas, pavardė sąskaitos likutis ir laukelis sumai įvesti;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Puslapis “nuskaičiuoti lėšas”. Analogiškai prieš tai buvusiam punktui;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Visi puslapis turi bendrą meniu su nuorodom.</w:t>
      </w:r>
    </w:p>
    <w:p w:rsidR="00000000" w:rsidDel="00000000" w:rsidP="00000000" w:rsidRDefault="00000000" w:rsidRPr="00000000" w14:paraId="0000000C">
      <w:pPr>
        <w:ind w:left="720" w:firstLine="0"/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i w:val="1"/>
          <w:iCs w:val="1"/>
          <w:sz w:val="24"/>
          <w:szCs w:val="24"/>
          <w:rtl w:val="0"/>
        </w:rPr>
        <w:t xml:space="preserve">Paaiškinimai ir reikalavimai.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Montserrat" w:cs="Montserrat" w:eastAsia="Montserrat" w:hAnsi="Montserra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Nauja sąskaita sukuriama su pradine 0 suma, o lėšos pridedamos/nuimamos pagalbiniuose puslapiuose;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Sąskaitos, kurioje yra lėšų ištrinti neturi būti galima;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Sąskaitas saraše rūšiuoti pagal savininko pavardę;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Sąskaitoje likusi suma negali būti minusinė;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Asmens kodas turi būti unikalus. Negali būti dviejų vartotojų su tuo pačiu asmens kodu;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Duomenų bazė -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JSON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failas (arba serializuotas failas);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Informacijos keitimui naudoti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POST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metodą ir peradresavimą, kitais atvejais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GET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metodą;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Po kiekvienos įrašymo (trynimo) operacijos turi būti parodomas pranešimas apie operacijos rezultatus;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Sąskaitos numeris b puslapyje (naujos sąskaitos kūrimas) turi būti sugeneruojamas automatiškai ir html atvaizduojamas kaip readonly. Sąskaita turi atitikti </w:t>
      </w:r>
      <w:hyperlink r:id="rId6">
        <w:r w:rsidDel="00000000" w:rsidR="00000000" w:rsidRPr="00000000">
          <w:rPr>
            <w:rFonts w:ascii="Montserrat" w:cs="Montserrat" w:eastAsia="Montserrat" w:hAnsi="Montserrat"/>
            <w:color w:val="1155cc"/>
            <w:sz w:val="24"/>
            <w:szCs w:val="24"/>
            <w:u w:val="single"/>
            <w:rtl w:val="0"/>
          </w:rPr>
          <w:t xml:space="preserve">IBAN</w:t>
        </w:r>
      </w:hyperlink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formatą. Bankas lietuviškas;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Asmens kodas turi būti tikrinamas ar atitinka </w:t>
      </w:r>
      <w:hyperlink r:id="rId7">
        <w:r w:rsidDel="00000000" w:rsidR="00000000" w:rsidRPr="00000000">
          <w:rPr>
            <w:rFonts w:ascii="Montserrat" w:cs="Montserrat" w:eastAsia="Montserrat" w:hAnsi="Montserrat"/>
            <w:color w:val="1155cc"/>
            <w:sz w:val="24"/>
            <w:szCs w:val="24"/>
            <w:u w:val="single"/>
            <w:rtl w:val="0"/>
          </w:rPr>
          <w:t xml:space="preserve">taisykles</w:t>
        </w:r>
      </w:hyperlink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Vardas ir pavardė ilgesni nei 3 simboliai;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Tikrinimas tik BackEnd’e. 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u w:val="single"/>
          <w:rtl w:val="0"/>
        </w:rPr>
        <w:t xml:space="preserve">FrontEnd’e tikrinimo nedarykite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  <w:rPr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rtl w:val="0"/>
        </w:rPr>
        <w:t xml:space="preserve">Papildomai</w:t>
      </w:r>
      <w:r w:rsidDel="00000000" w:rsidR="00000000" w:rsidRPr="00000000">
        <w:rPr>
          <w:rFonts w:ascii="Montserrat" w:cs="Montserrat" w:eastAsia="Montserrat" w:hAnsi="Montserrat"/>
          <w:sz w:val="24"/>
          <w:szCs w:val="24"/>
          <w:rtl w:val="0"/>
        </w:rPr>
        <w:t xml:space="preserve"> galite padaryti prisijungimą prie banko jo darbuotojams, kad tik prisijungę vartotojai (banko darbuotojai) galėtų dirbti su aplikacija. Prisijungimo duomenis saugokite atskirame JSON faile. Slaptažodžius saugokite užkoduotus (hash).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Zero"/>
      <w:lvlText w:val="%1."/>
      <w:lvlJc w:val="left"/>
      <w:pPr>
        <w:ind w:left="720" w:hanging="360"/>
      </w:pPr>
      <w:rPr>
        <w:rFonts w:ascii="Roboto Mono" w:cs="Roboto Mono" w:eastAsia="Roboto Mono" w:hAnsi="Roboto Mono"/>
        <w:b w:val="0"/>
        <w:bCs w:val="0"/>
        <w:color w:val="6d9eeb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Zero"/>
      <w:lvlText w:val="%1."/>
      <w:lvlJc w:val="left"/>
      <w:pPr>
        <w:ind w:left="720" w:hanging="360"/>
      </w:pPr>
      <w:rPr>
        <w:rFonts w:ascii="Roboto Mono" w:cs="Roboto Mono" w:eastAsia="Roboto Mono" w:hAnsi="Roboto Mono"/>
        <w:b w:val="0"/>
        <w:bCs w:val="0"/>
        <w:color w:val="6d9eeb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seb.lt/verslo-klientams/pagrindines-paslaugos/banko-saskaita-ir-pervedimai/kas-yra-iban" TargetMode="External"/><Relationship Id="rId7" Type="http://schemas.openxmlformats.org/officeDocument/2006/relationships/hyperlink" Target="https://lt.wikipedia.org/wiki/Asmens_koda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