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 Intelligence Model (EIM)</w:t>
        <w:br/>
        <w:t>Fase I – Ontología del Mercado</w:t>
      </w:r>
    </w:p>
    <w:p>
      <w:pPr>
        <w:pStyle w:val="Heading2"/>
      </w:pPr>
      <w:r>
        <w:t>Objetivo</w:t>
      </w:r>
    </w:p>
    <w:p>
      <w:r>
        <w:t>Definir el marco conceptual del EIM. Esta fase establece el lenguaje, entidades y principios del modelo sin desarrollar fórmulas ni algoritmos.</w:t>
      </w:r>
    </w:p>
    <w:p>
      <w:pPr>
        <w:pStyle w:val="Heading2"/>
      </w:pPr>
      <w: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Ontología</w:t>
            </w:r>
          </w:p>
        </w:tc>
        <w:tc>
          <w:tcPr>
            <w:tcW w:type="dxa" w:w="2880"/>
          </w:tcPr>
          <w:p>
            <w:r>
              <w:t>Diccionario ontológico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Catálogo maestro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Relaciones</w:t>
            </w:r>
          </w:p>
        </w:tc>
        <w:tc>
          <w:tcPr>
            <w:tcW w:type="dxa" w:w="2880"/>
          </w:tcPr>
          <w:p>
            <w:r>
              <w:t>Mapa de dependencias</w:t>
            </w:r>
          </w:p>
        </w:tc>
      </w:tr>
      <w:tr>
        <w:tc>
          <w:tcPr>
            <w:tcW w:type="dxa" w:w="2880"/>
          </w:tcPr>
          <w:p>
            <w:r>
              <w:t>IV</w:t>
            </w:r>
          </w:p>
        </w:tc>
        <w:tc>
          <w:tcPr>
            <w:tcW w:type="dxa" w:w="2880"/>
          </w:tcPr>
          <w:p>
            <w:r>
              <w:t>Formalización matemática</w:t>
            </w:r>
          </w:p>
        </w:tc>
        <w:tc>
          <w:tcPr>
            <w:tcW w:type="dxa" w:w="2880"/>
          </w:tcPr>
          <w:p>
            <w:r>
              <w:t>Manual matemático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Diagnóstico</w:t>
            </w:r>
          </w:p>
        </w:tc>
        <w:tc>
          <w:tcPr>
            <w:tcW w:type="dxa" w:w="2880"/>
          </w:tcPr>
          <w:p>
            <w:r>
              <w:t>Sistema experto</w:t>
            </w:r>
          </w:p>
        </w:tc>
      </w:tr>
      <w:tr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Informe estadístico</w:t>
            </w:r>
          </w:p>
        </w:tc>
      </w:tr>
      <w:tr>
        <w:tc>
          <w:tcPr>
            <w:tcW w:type="dxa" w:w="2880"/>
          </w:tcPr>
          <w:p>
            <w:r>
              <w:t>VII</w:t>
            </w:r>
          </w:p>
        </w:tc>
        <w:tc>
          <w:tcPr>
            <w:tcW w:type="dxa" w:w="2880"/>
          </w:tcPr>
          <w:p>
            <w:r>
              <w:t>Implementación</w:t>
            </w:r>
          </w:p>
        </w:tc>
        <w:tc>
          <w:tcPr>
            <w:tcW w:type="dxa" w:w="2880"/>
          </w:tcPr>
          <w:p>
            <w:r>
              <w:t>Software</w:t>
            </w:r>
          </w:p>
        </w:tc>
      </w:tr>
    </w:tbl>
    <w:p>
      <w:pPr>
        <w:pStyle w:val="Heading2"/>
      </w:pPr>
      <w:r>
        <w:t>Ontología del mercado</w:t>
      </w:r>
    </w:p>
    <w:p>
      <w:r>
        <w:t>El mercado es un sistema dinámico. Las EMAs son instrumentos de observación para medir propiedades emergentes del sistema, no el fenómeno en sí.</w:t>
      </w:r>
    </w:p>
    <w:p>
      <w:pPr>
        <w:pStyle w:val="Heading2"/>
      </w:pPr>
      <w:r>
        <w:t>Niveles ontológicos</w:t>
      </w:r>
    </w:p>
    <w:p>
      <w:pPr>
        <w:pStyle w:val="ListBullet"/>
      </w:pPr>
      <w:r>
        <w:t>Hechos: precio, tiempo, volumen y EMAs.</w:t>
      </w:r>
    </w:p>
    <w:p>
      <w:pPr>
        <w:pStyle w:val="ListBullet"/>
      </w:pPr>
      <w:r>
        <w:t>Propiedades: dirección, pendiente, separación, persistencia, compresión.</w:t>
      </w:r>
    </w:p>
    <w:p>
      <w:pPr>
        <w:pStyle w:val="ListBullet"/>
      </w:pPr>
      <w:r>
        <w:t>Estados: fuerte, débil, ordenado, agotado.</w:t>
      </w:r>
    </w:p>
    <w:p>
      <w:pPr>
        <w:pStyle w:val="ListBullet"/>
      </w:pPr>
      <w:r>
        <w:t>Escenarios: continuación, ruptura, pullback, cambio estructural.</w:t>
      </w:r>
    </w:p>
    <w:p>
      <w:pPr>
        <w:pStyle w:val="Heading2"/>
      </w:pPr>
      <w:r>
        <w:t>Entidades fundamentales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Consenso observable.</w:t>
            </w:r>
          </w:p>
        </w:tc>
      </w:tr>
      <w:tr>
        <w:tc>
          <w:tcPr>
            <w:tcW w:type="dxa" w:w="4320"/>
          </w:tcPr>
          <w:p>
            <w:r>
              <w:t>Tiempo</w:t>
            </w:r>
          </w:p>
        </w:tc>
        <w:tc>
          <w:tcPr>
            <w:tcW w:type="dxa" w:w="4320"/>
          </w:tcPr>
          <w:p>
            <w:r>
              <w:t>Dimensión de evolución.</w:t>
            </w:r>
          </w:p>
        </w:tc>
      </w:tr>
      <w:tr>
        <w:tc>
          <w:tcPr>
            <w:tcW w:type="dxa" w:w="4320"/>
          </w:tcPr>
          <w:p>
            <w:r>
              <w:t>Tendencia</w:t>
            </w:r>
          </w:p>
        </w:tc>
        <w:tc>
          <w:tcPr>
            <w:tcW w:type="dxa" w:w="4320"/>
          </w:tcPr>
          <w:p>
            <w:r>
              <w:t>Persistencia direccional.</w:t>
            </w:r>
          </w:p>
        </w:tc>
      </w:tr>
      <w:tr>
        <w:tc>
          <w:tcPr>
            <w:tcW w:type="dxa" w:w="4320"/>
          </w:tcPr>
          <w:p>
            <w:r>
              <w:t>Momentum</w:t>
            </w:r>
          </w:p>
        </w:tc>
        <w:tc>
          <w:tcPr>
            <w:tcW w:type="dxa" w:w="4320"/>
          </w:tcPr>
          <w:p>
            <w:r>
              <w:t>Capacidad de sostener la tendencia.</w:t>
            </w:r>
          </w:p>
        </w:tc>
      </w:tr>
      <w:tr>
        <w:tc>
          <w:tcPr>
            <w:tcW w:type="dxa" w:w="4320"/>
          </w:tcPr>
          <w:p>
            <w:r>
              <w:t>Estructura</w:t>
            </w:r>
          </w:p>
        </w:tc>
        <w:tc>
          <w:tcPr>
            <w:tcW w:type="dxa" w:w="4320"/>
          </w:tcPr>
          <w:p>
            <w:r>
              <w:t>Organización interna.</w:t>
            </w:r>
          </w:p>
        </w:tc>
      </w:tr>
      <w:tr>
        <w:tc>
          <w:tcPr>
            <w:tcW w:type="dxa" w:w="4320"/>
          </w:tcPr>
          <w:p>
            <w:r>
              <w:t>Energía</w:t>
            </w:r>
          </w:p>
        </w:tc>
        <w:tc>
          <w:tcPr>
            <w:tcW w:type="dxa" w:w="4320"/>
          </w:tcPr>
          <w:p>
            <w:r>
              <w:t>Potencial acumulado.</w:t>
            </w:r>
          </w:p>
        </w:tc>
      </w:tr>
      <w:tr>
        <w:tc>
          <w:tcPr>
            <w:tcW w:type="dxa" w:w="4320"/>
          </w:tcPr>
          <w:p>
            <w:r>
              <w:t>Elasticidad</w:t>
            </w:r>
          </w:p>
        </w:tc>
        <w:tc>
          <w:tcPr>
            <w:tcW w:type="dxa" w:w="4320"/>
          </w:tcPr>
          <w:p>
            <w:r>
              <w:t>Alejamiento del equilibrio.</w:t>
            </w:r>
          </w:p>
        </w:tc>
      </w:tr>
      <w:tr>
        <w:tc>
          <w:tcPr>
            <w:tcW w:type="dxa" w:w="4320"/>
          </w:tcPr>
          <w:p>
            <w:r>
              <w:t>Equilibrio</w:t>
            </w:r>
          </w:p>
        </w:tc>
        <w:tc>
          <w:tcPr>
            <w:tcW w:type="dxa" w:w="4320"/>
          </w:tcPr>
          <w:p>
            <w:r>
              <w:t>Oscilación alrededor de referencia.</w:t>
            </w:r>
          </w:p>
        </w:tc>
      </w:tr>
      <w:tr>
        <w:tc>
          <w:tcPr>
            <w:tcW w:type="dxa" w:w="4320"/>
          </w:tcPr>
          <w:p>
            <w:r>
              <w:t>Fricción</w:t>
            </w:r>
          </w:p>
        </w:tc>
        <w:tc>
          <w:tcPr>
            <w:tcW w:type="dxa" w:w="4320"/>
          </w:tcPr>
          <w:p>
            <w:r>
              <w:t>Resistencia al movimiento.</w:t>
            </w:r>
          </w:p>
        </w:tc>
      </w:tr>
      <w:tr>
        <w:tc>
          <w:tcPr>
            <w:tcW w:type="dxa" w:w="4320"/>
          </w:tcPr>
          <w:p>
            <w:r>
              <w:t>Coherencia</w:t>
            </w:r>
          </w:p>
        </w:tc>
        <w:tc>
          <w:tcPr>
            <w:tcW w:type="dxa" w:w="4320"/>
          </w:tcPr>
          <w:p>
            <w:r>
              <w:t>Consistencia entre propiedades.</w:t>
            </w:r>
          </w:p>
        </w:tc>
      </w:tr>
    </w:tbl>
    <w:p>
      <w:pPr>
        <w:pStyle w:val="Heading2"/>
      </w:pPr>
      <w:r>
        <w:t>Principio rector</w:t>
      </w:r>
    </w:p>
    <w:p>
      <w:pPr>
        <w:jc w:val="center"/>
      </w:pPr>
      <w:r>
        <w:rPr>
          <w:b/>
        </w:rPr>
        <w:t>El mercado debe analizarse como un sistema de propiedades emergentes; las EMAs son instrumentos de medición.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