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7" w:rsidRDefault="00BF1B57" w:rsidP="0043249F">
      <w:pPr>
        <w:spacing w:line="220" w:lineRule="atLeast"/>
        <w:jc w:val="center"/>
        <w:rPr>
          <w:rFonts w:asciiTheme="minorEastAsia" w:eastAsiaTheme="minorEastAsia" w:hAnsiTheme="minorEastAsia" w:cs="Arial" w:hint="eastAsia"/>
          <w:b/>
          <w:sz w:val="72"/>
          <w:szCs w:val="72"/>
        </w:rPr>
      </w:pPr>
    </w:p>
    <w:p w:rsidR="00BF1B57" w:rsidRDefault="00BF1B57" w:rsidP="0043249F">
      <w:pPr>
        <w:spacing w:line="220" w:lineRule="atLeast"/>
        <w:jc w:val="center"/>
        <w:rPr>
          <w:rFonts w:asciiTheme="minorEastAsia" w:eastAsiaTheme="minorEastAsia" w:hAnsiTheme="minorEastAsia" w:cs="Arial" w:hint="eastAsia"/>
          <w:b/>
          <w:sz w:val="72"/>
          <w:szCs w:val="72"/>
        </w:rPr>
      </w:pPr>
    </w:p>
    <w:p w:rsidR="00BF1B57" w:rsidRDefault="00BF1B57" w:rsidP="0043249F">
      <w:pPr>
        <w:spacing w:line="220" w:lineRule="atLeast"/>
        <w:jc w:val="center"/>
        <w:rPr>
          <w:rFonts w:asciiTheme="minorEastAsia" w:eastAsiaTheme="minorEastAsia" w:hAnsiTheme="minorEastAsia" w:cs="Arial" w:hint="eastAsia"/>
          <w:b/>
          <w:sz w:val="72"/>
          <w:szCs w:val="72"/>
        </w:rPr>
      </w:pPr>
    </w:p>
    <w:p w:rsidR="0043249F" w:rsidRPr="00FD20E8" w:rsidRDefault="0043249F" w:rsidP="0043249F">
      <w:pPr>
        <w:spacing w:line="220" w:lineRule="atLeast"/>
        <w:jc w:val="center"/>
        <w:rPr>
          <w:rFonts w:asciiTheme="minorEastAsia" w:eastAsiaTheme="minorEastAsia" w:hAnsiTheme="minorEastAsia" w:cs="Arial"/>
          <w:b/>
          <w:sz w:val="72"/>
          <w:szCs w:val="72"/>
        </w:rPr>
      </w:pPr>
      <w:r w:rsidRPr="00FD20E8">
        <w:rPr>
          <w:rFonts w:asciiTheme="minorEastAsia" w:eastAsiaTheme="minorEastAsia" w:hAnsiTheme="minorEastAsia" w:cs="Arial"/>
          <w:b/>
          <w:sz w:val="72"/>
          <w:szCs w:val="72"/>
        </w:rPr>
        <w:t>OpenStation</w:t>
      </w:r>
    </w:p>
    <w:p w:rsidR="004358AB" w:rsidRPr="006400DF" w:rsidRDefault="0043249F" w:rsidP="0043249F">
      <w:pPr>
        <w:spacing w:line="220" w:lineRule="atLeast"/>
        <w:jc w:val="center"/>
        <w:rPr>
          <w:rFonts w:asciiTheme="minorEastAsia" w:eastAsiaTheme="minorEastAsia" w:hAnsiTheme="minorEastAsia"/>
          <w:b/>
          <w:color w:val="0070C0"/>
          <w:sz w:val="72"/>
          <w:szCs w:val="72"/>
        </w:rPr>
      </w:pPr>
      <w:r w:rsidRPr="006400DF">
        <w:rPr>
          <w:rFonts w:asciiTheme="minorEastAsia" w:eastAsiaTheme="minorEastAsia" w:hAnsiTheme="minorEastAsia" w:hint="eastAsia"/>
          <w:b/>
          <w:color w:val="0070C0"/>
          <w:sz w:val="72"/>
          <w:szCs w:val="72"/>
        </w:rPr>
        <w:t>技术白皮书</w:t>
      </w:r>
    </w:p>
    <w:p w:rsidR="00DC2FD7" w:rsidRDefault="00DC2FD7" w:rsidP="0043249F">
      <w:pPr>
        <w:spacing w:line="220" w:lineRule="atLeast"/>
        <w:jc w:val="center"/>
        <w:rPr>
          <w:rFonts w:ascii="仿宋" w:eastAsia="仿宋" w:hAnsi="仿宋"/>
          <w:sz w:val="72"/>
          <w:szCs w:val="72"/>
        </w:rPr>
      </w:pPr>
    </w:p>
    <w:p w:rsidR="00DC2FD7" w:rsidRDefault="00DC2FD7" w:rsidP="0043249F">
      <w:pPr>
        <w:spacing w:line="220" w:lineRule="atLeast"/>
        <w:jc w:val="center"/>
        <w:rPr>
          <w:rFonts w:ascii="仿宋" w:eastAsia="仿宋" w:hAnsi="仿宋"/>
          <w:sz w:val="72"/>
          <w:szCs w:val="72"/>
        </w:rPr>
      </w:pPr>
    </w:p>
    <w:p w:rsidR="00DC2FD7" w:rsidRDefault="00DC2FD7" w:rsidP="0043249F">
      <w:pPr>
        <w:spacing w:line="220" w:lineRule="atLeast"/>
        <w:jc w:val="center"/>
        <w:rPr>
          <w:rFonts w:ascii="仿宋" w:eastAsia="仿宋" w:hAnsi="仿宋"/>
          <w:sz w:val="72"/>
          <w:szCs w:val="72"/>
        </w:rPr>
      </w:pPr>
    </w:p>
    <w:p w:rsidR="00DC2FD7" w:rsidRDefault="00DC2FD7" w:rsidP="0043249F">
      <w:pPr>
        <w:spacing w:line="220" w:lineRule="atLeast"/>
        <w:jc w:val="center"/>
        <w:rPr>
          <w:rFonts w:ascii="仿宋" w:eastAsia="仿宋" w:hAnsi="仿宋"/>
          <w:sz w:val="72"/>
          <w:szCs w:val="72"/>
        </w:rPr>
      </w:pPr>
    </w:p>
    <w:p w:rsidR="00DC2FD7" w:rsidRDefault="00DC2FD7" w:rsidP="0043249F">
      <w:pPr>
        <w:spacing w:line="220" w:lineRule="atLeast"/>
        <w:jc w:val="center"/>
        <w:rPr>
          <w:rFonts w:ascii="仿宋" w:eastAsia="仿宋" w:hAnsi="仿宋"/>
          <w:sz w:val="72"/>
          <w:szCs w:val="72"/>
        </w:rPr>
      </w:pPr>
    </w:p>
    <w:p w:rsidR="00DC2FD7" w:rsidRDefault="00DC2FD7" w:rsidP="00BF1B57">
      <w:pPr>
        <w:spacing w:line="220" w:lineRule="atLeast"/>
        <w:rPr>
          <w:rFonts w:ascii="仿宋" w:eastAsia="仿宋" w:hAnsi="仿宋"/>
          <w:sz w:val="72"/>
          <w:szCs w:val="72"/>
        </w:rPr>
      </w:pPr>
    </w:p>
    <w:p w:rsidR="00BD2B4D" w:rsidRPr="00820646" w:rsidRDefault="00BD2B4D" w:rsidP="00A70931">
      <w:pPr>
        <w:spacing w:line="220" w:lineRule="atLeas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820646">
        <w:rPr>
          <w:rFonts w:asciiTheme="minorEastAsia" w:eastAsiaTheme="minorEastAsia" w:hAnsiTheme="minorEastAsia" w:hint="eastAsia"/>
          <w:b/>
          <w:sz w:val="30"/>
          <w:szCs w:val="30"/>
        </w:rPr>
        <w:t>元物质（深圳）智能科技有限公司</w:t>
      </w:r>
    </w:p>
    <w:p w:rsidR="00DC2FD7" w:rsidRPr="00820646" w:rsidRDefault="00DC2FD7" w:rsidP="00A70931">
      <w:pPr>
        <w:spacing w:line="220" w:lineRule="atLeas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820646">
        <w:rPr>
          <w:rFonts w:asciiTheme="minorEastAsia" w:eastAsiaTheme="minorEastAsia" w:hAnsiTheme="minorEastAsia"/>
          <w:b/>
          <w:sz w:val="30"/>
          <w:szCs w:val="30"/>
        </w:rPr>
        <w:t>2022年3月</w:t>
      </w:r>
    </w:p>
    <w:p w:rsidR="00963EDA" w:rsidRPr="004A65E1" w:rsidRDefault="00461FA0" w:rsidP="0043249F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4A65E1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致谢与声明</w:t>
      </w:r>
    </w:p>
    <w:p w:rsidR="00461FA0" w:rsidRPr="00707B0E" w:rsidRDefault="00461FA0" w:rsidP="00461FA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07B0E">
        <w:rPr>
          <w:rFonts w:asciiTheme="minorEastAsia" w:eastAsiaTheme="minorEastAsia" w:hAnsiTheme="minorEastAsia"/>
          <w:sz w:val="21"/>
          <w:szCs w:val="21"/>
        </w:rPr>
        <w:t xml:space="preserve">尊敬的用户： </w:t>
      </w:r>
    </w:p>
    <w:p w:rsidR="00991B52" w:rsidRPr="00707B0E" w:rsidRDefault="00461FA0" w:rsidP="00707B0E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07B0E">
        <w:rPr>
          <w:rFonts w:asciiTheme="minorEastAsia" w:eastAsiaTheme="minorEastAsia" w:hAnsiTheme="minorEastAsia"/>
          <w:sz w:val="21"/>
          <w:szCs w:val="21"/>
        </w:rPr>
        <w:t>衷心感谢您选用了</w:t>
      </w:r>
      <w:proofErr w:type="gramStart"/>
      <w:r w:rsidR="00341CF2">
        <w:rPr>
          <w:rFonts w:asciiTheme="minorEastAsia" w:eastAsiaTheme="minorEastAsia" w:hAnsiTheme="minorEastAsia"/>
          <w:sz w:val="21"/>
          <w:szCs w:val="21"/>
        </w:rPr>
        <w:t>元物质</w:t>
      </w:r>
      <w:proofErr w:type="spellStart"/>
      <w:proofErr w:type="gramEnd"/>
      <w:r w:rsidRPr="00707B0E">
        <w:rPr>
          <w:rFonts w:asciiTheme="minorEastAsia" w:eastAsiaTheme="minorEastAsia" w:hAnsiTheme="minorEastAsia"/>
          <w:sz w:val="21"/>
          <w:szCs w:val="21"/>
        </w:rPr>
        <w:t>openstation</w:t>
      </w:r>
      <w:proofErr w:type="spellEnd"/>
      <w:r w:rsidRPr="00707B0E">
        <w:rPr>
          <w:rFonts w:asciiTheme="minorEastAsia" w:eastAsiaTheme="minorEastAsia" w:hAnsiTheme="minorEastAsia"/>
          <w:sz w:val="21"/>
          <w:szCs w:val="21"/>
        </w:rPr>
        <w:t>系统！</w:t>
      </w:r>
    </w:p>
    <w:p w:rsidR="00991B52" w:rsidRPr="00707B0E" w:rsidRDefault="00461FA0" w:rsidP="00707B0E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07B0E">
        <w:rPr>
          <w:rFonts w:asciiTheme="minorEastAsia" w:eastAsiaTheme="minorEastAsia" w:hAnsiTheme="minorEastAsia"/>
          <w:sz w:val="21"/>
          <w:szCs w:val="21"/>
        </w:rPr>
        <w:t>本手册介绍了</w:t>
      </w:r>
      <w:proofErr w:type="gramStart"/>
      <w:r w:rsidRPr="00707B0E">
        <w:rPr>
          <w:rFonts w:asciiTheme="minorEastAsia" w:eastAsiaTheme="minorEastAsia" w:hAnsiTheme="minorEastAsia"/>
          <w:sz w:val="21"/>
          <w:szCs w:val="21"/>
        </w:rPr>
        <w:t>元物质</w:t>
      </w:r>
      <w:proofErr w:type="gramEnd"/>
      <w:r w:rsidR="00991B52" w:rsidRPr="00707B0E">
        <w:rPr>
          <w:rFonts w:asciiTheme="minorEastAsia" w:eastAsiaTheme="minorEastAsia" w:hAnsiTheme="minorEastAsia"/>
          <w:sz w:val="21"/>
          <w:szCs w:val="21"/>
        </w:rPr>
        <w:t>openstation</w:t>
      </w:r>
      <w:r w:rsidRPr="00707B0E">
        <w:rPr>
          <w:rFonts w:asciiTheme="minorEastAsia" w:eastAsiaTheme="minorEastAsia" w:hAnsiTheme="minorEastAsia"/>
          <w:sz w:val="21"/>
          <w:szCs w:val="21"/>
        </w:rPr>
        <w:t>系统所能实现的功能，可使您更好地了解本软件的</w:t>
      </w:r>
      <w:bookmarkStart w:id="0" w:name="_GoBack"/>
      <w:bookmarkEnd w:id="0"/>
      <w:r w:rsidRPr="00707B0E">
        <w:rPr>
          <w:rFonts w:asciiTheme="minorEastAsia" w:eastAsiaTheme="minorEastAsia" w:hAnsiTheme="minorEastAsia"/>
          <w:sz w:val="21"/>
          <w:szCs w:val="21"/>
        </w:rPr>
        <w:t xml:space="preserve">使用范围和使用方法。 </w:t>
      </w:r>
      <w:r w:rsidR="00DD7059">
        <w:rPr>
          <w:rFonts w:asciiTheme="minorEastAsia" w:eastAsiaTheme="minorEastAsia" w:hAnsiTheme="minorEastAsia"/>
          <w:sz w:val="21"/>
          <w:szCs w:val="21"/>
        </w:rPr>
        <w:t>元物质（深圳）智能科技有限公司</w:t>
      </w:r>
      <w:r w:rsidRPr="00707B0E">
        <w:rPr>
          <w:rFonts w:asciiTheme="minorEastAsia" w:eastAsiaTheme="minorEastAsia" w:hAnsiTheme="minorEastAsia"/>
          <w:sz w:val="21"/>
          <w:szCs w:val="21"/>
        </w:rPr>
        <w:t xml:space="preserve">拥有本手册的版权。 未经 </w:t>
      </w:r>
      <w:r w:rsidR="00DD7059">
        <w:rPr>
          <w:rFonts w:asciiTheme="minorEastAsia" w:eastAsiaTheme="minorEastAsia" w:hAnsiTheme="minorEastAsia"/>
          <w:sz w:val="21"/>
          <w:szCs w:val="21"/>
        </w:rPr>
        <w:t>元物质（深圳）智能科技有限公司</w:t>
      </w:r>
      <w:r w:rsidRPr="00707B0E">
        <w:rPr>
          <w:rFonts w:asciiTheme="minorEastAsia" w:eastAsiaTheme="minorEastAsia" w:hAnsiTheme="minorEastAsia"/>
          <w:sz w:val="21"/>
          <w:szCs w:val="21"/>
        </w:rPr>
        <w:t xml:space="preserve">许可，任何单位和个人不得以任何形式复制本用户手册。 </w:t>
      </w:r>
      <w:r w:rsidR="00DD7059">
        <w:rPr>
          <w:rFonts w:asciiTheme="minorEastAsia" w:eastAsiaTheme="minorEastAsia" w:hAnsiTheme="minorEastAsia"/>
          <w:sz w:val="21"/>
          <w:szCs w:val="21"/>
        </w:rPr>
        <w:t>元物质（深圳）智能科技有限公司</w:t>
      </w:r>
      <w:r w:rsidRPr="00707B0E">
        <w:rPr>
          <w:rFonts w:asciiTheme="minorEastAsia" w:eastAsiaTheme="minorEastAsia" w:hAnsiTheme="minorEastAsia"/>
          <w:sz w:val="21"/>
          <w:szCs w:val="21"/>
        </w:rPr>
        <w:t>保留随时修改本手册的权利。</w:t>
      </w:r>
    </w:p>
    <w:p w:rsidR="00991B52" w:rsidRPr="00707B0E" w:rsidRDefault="00461FA0" w:rsidP="00707B0E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07B0E">
        <w:rPr>
          <w:rFonts w:asciiTheme="minorEastAsia" w:eastAsiaTheme="minorEastAsia" w:hAnsiTheme="minorEastAsia"/>
          <w:sz w:val="21"/>
          <w:szCs w:val="21"/>
        </w:rPr>
        <w:t>本手册中的内容如有变动恕不另行通知。</w:t>
      </w:r>
    </w:p>
    <w:p w:rsidR="00461FA0" w:rsidRPr="00707B0E" w:rsidRDefault="00461FA0" w:rsidP="00707B0E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07B0E">
        <w:rPr>
          <w:rFonts w:asciiTheme="minorEastAsia" w:eastAsiaTheme="minorEastAsia" w:hAnsiTheme="minorEastAsia"/>
          <w:sz w:val="21"/>
          <w:szCs w:val="21"/>
        </w:rPr>
        <w:t>如果您对本手册有疑问或建议，请向元物质</w:t>
      </w:r>
      <w:r w:rsidR="004F789F" w:rsidRPr="004F789F">
        <w:rPr>
          <w:rFonts w:asciiTheme="minorEastAsia" w:eastAsiaTheme="minorEastAsia" w:hAnsiTheme="minorEastAsia" w:hint="eastAsia"/>
          <w:sz w:val="21"/>
          <w:szCs w:val="21"/>
        </w:rPr>
        <w:t>（深圳）智能科技有限公司</w:t>
      </w:r>
      <w:r w:rsidRPr="00707B0E">
        <w:rPr>
          <w:rFonts w:asciiTheme="minorEastAsia" w:eastAsiaTheme="minorEastAsia" w:hAnsiTheme="minorEastAsia"/>
          <w:sz w:val="21"/>
          <w:szCs w:val="21"/>
        </w:rPr>
        <w:t>垂询。</w:t>
      </w:r>
    </w:p>
    <w:p w:rsidR="00991B52" w:rsidRPr="00707B0E" w:rsidRDefault="00991B52" w:rsidP="00707B0E">
      <w:pPr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91B52" w:rsidRDefault="00991B52" w:rsidP="00991B52">
      <w:pPr>
        <w:spacing w:line="220" w:lineRule="atLeast"/>
        <w:ind w:firstLineChars="200" w:firstLine="440"/>
      </w:pPr>
    </w:p>
    <w:p w:rsidR="00975FCE" w:rsidRDefault="00975FCE" w:rsidP="00D5149E">
      <w:pPr>
        <w:spacing w:line="220" w:lineRule="atLeast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975FCE" w:rsidRDefault="00975FCE" w:rsidP="00D5149E">
      <w:pPr>
        <w:spacing w:line="220" w:lineRule="atLeast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69528F" w:rsidRDefault="0069528F" w:rsidP="00D5149E">
      <w:pPr>
        <w:spacing w:line="220" w:lineRule="atLeast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387883" w:rsidRPr="00D5149E" w:rsidRDefault="00387883" w:rsidP="00D5149E">
      <w:pPr>
        <w:spacing w:line="220" w:lineRule="atLeast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D5149E">
        <w:rPr>
          <w:rFonts w:asciiTheme="minorEastAsia" w:eastAsiaTheme="minorEastAsia" w:hAnsiTheme="minorEastAsia"/>
          <w:b/>
          <w:sz w:val="32"/>
          <w:szCs w:val="32"/>
        </w:rPr>
        <w:lastRenderedPageBreak/>
        <w:t>声明</w:t>
      </w:r>
    </w:p>
    <w:p w:rsidR="00387883" w:rsidRPr="00D5149E" w:rsidRDefault="00387883" w:rsidP="00D5149E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D5149E">
        <w:rPr>
          <w:rFonts w:asciiTheme="minorEastAsia" w:eastAsiaTheme="minorEastAsia" w:hAnsiTheme="minorEastAsia"/>
          <w:b/>
          <w:sz w:val="28"/>
          <w:szCs w:val="28"/>
        </w:rPr>
        <w:t xml:space="preserve">最终用户软件许可协议 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>请务必仔细阅读并理解以下最终用户许可协议（以下简称《协议》）。一旦安装或使用随此《协议》提供的软件（以下简称"软件"），即表明您同意本《协议》的各项条款。如果您不同意，则请不要使用"软件"。</w:t>
      </w:r>
    </w:p>
    <w:p w:rsidR="00387883" w:rsidRPr="000675F5" w:rsidRDefault="00387883" w:rsidP="000675F5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0675F5">
        <w:rPr>
          <w:rFonts w:asciiTheme="minorEastAsia" w:eastAsiaTheme="minorEastAsia" w:hAnsiTheme="minorEastAsia"/>
          <w:b/>
          <w:sz w:val="28"/>
          <w:szCs w:val="28"/>
        </w:rPr>
        <w:t xml:space="preserve"> 通则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本《协议》是您（个人或单位实体）与 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>（"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"）之间达成的法律协议。本《协议》适用于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可能向您提供或使您可以得到的"软件"的更新、补充，附加组件或基于 Internet 的服务组件，除非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对这些更新、补充、附加组件或基于 Internet 的服务组件规定了其他条款。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有权停止通过使用"软件"而向您提供或使您可以得到的任何基于 Internet 的服务。与"软件"有关的任何产品支持服务也受此《协议》的约束，除非在您和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之间达成的其他协议中另有规定。"软件"中可能附带了对本《协议》的修正或补充。</w:t>
      </w:r>
    </w:p>
    <w:p w:rsidR="00387883" w:rsidRPr="000675F5" w:rsidRDefault="00387883" w:rsidP="000675F5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0675F5">
        <w:rPr>
          <w:rFonts w:asciiTheme="minorEastAsia" w:eastAsiaTheme="minorEastAsia" w:hAnsiTheme="minorEastAsia"/>
          <w:b/>
          <w:sz w:val="28"/>
          <w:szCs w:val="28"/>
        </w:rPr>
        <w:t>许可证的授予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1.在</w:t>
      </w:r>
      <w:proofErr w:type="gramStart"/>
      <w:r w:rsidRPr="00D5149E">
        <w:rPr>
          <w:rFonts w:asciiTheme="minorEastAsia" w:eastAsiaTheme="minorEastAsia" w:hAnsiTheme="minorEastAsia"/>
        </w:rPr>
        <w:t>元物质</w:t>
      </w:r>
      <w:proofErr w:type="gramEnd"/>
      <w:r w:rsidRPr="00D5149E">
        <w:rPr>
          <w:rFonts w:asciiTheme="minorEastAsia" w:eastAsiaTheme="minorEastAsia" w:hAnsiTheme="minorEastAsia"/>
        </w:rPr>
        <w:t>授权使用的机器上使用，出于备份或档案管理的目的，可以制作本软件的拷贝。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2.本软件只限购买者本人（本单位）使用，如转让或转卖，本公司将追究其法律责任。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3.不得通过非正常途径，强制性进行注册授权，增加受控节点管理数。</w:t>
      </w:r>
    </w:p>
    <w:p w:rsidR="00387883" w:rsidRPr="000675F5" w:rsidRDefault="00387883" w:rsidP="000675F5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0675F5">
        <w:rPr>
          <w:rFonts w:asciiTheme="minorEastAsia" w:eastAsiaTheme="minorEastAsia" w:hAnsiTheme="minorEastAsia"/>
          <w:b/>
          <w:sz w:val="28"/>
          <w:szCs w:val="28"/>
        </w:rPr>
        <w:t>被授权人所应该履行的义务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1.禁止复制和扩散光盘。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2.禁止对本软件进行逆向工程、反汇编或解体拆卸。 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>3.禁止以任何方式将本软件中的部分或全部数据用于商业目的。</w:t>
      </w:r>
    </w:p>
    <w:p w:rsidR="00727A29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>4.您将本软件或拷贝的全部或局部转手给另一使用方时，您的许可权即自行终止。</w:t>
      </w:r>
    </w:p>
    <w:p w:rsidR="00387883" w:rsidRDefault="00387883" w:rsidP="00727A29">
      <w:pPr>
        <w:spacing w:line="220" w:lineRule="atLeast"/>
        <w:ind w:firstLineChars="200" w:firstLine="562"/>
        <w:rPr>
          <w:b/>
        </w:rPr>
      </w:pPr>
      <w:r w:rsidRPr="0027396A">
        <w:rPr>
          <w:rFonts w:asciiTheme="minorEastAsia" w:eastAsiaTheme="minorEastAsia" w:hAnsiTheme="minorEastAsia"/>
          <w:b/>
          <w:sz w:val="28"/>
          <w:szCs w:val="28"/>
        </w:rPr>
        <w:t xml:space="preserve">本软件的版权和所有权： 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>本软件及其所有拷贝的名称，与光盘上或本软件中注明的公司同在。本软件及文档享有版权，并受国家版权法及国际条约条款的保护。</w:t>
      </w:r>
      <w:proofErr w:type="gramStart"/>
      <w:r w:rsidRPr="00D5149E">
        <w:rPr>
          <w:rFonts w:asciiTheme="minorEastAsia" w:eastAsiaTheme="minorEastAsia" w:hAnsiTheme="minorEastAsia"/>
        </w:rPr>
        <w:t>您不得</w:t>
      </w:r>
      <w:proofErr w:type="gramEnd"/>
      <w:r w:rsidRPr="00D5149E">
        <w:rPr>
          <w:rFonts w:asciiTheme="minorEastAsia" w:eastAsiaTheme="minorEastAsia" w:hAnsiTheme="minorEastAsia"/>
        </w:rPr>
        <w:t xml:space="preserve">从本软件中删除其版权声明。并保证为本软件的拷贝（全部或部分）复制版权声明。您同意制止以任何形式非法拷贝本软件。 </w:t>
      </w:r>
    </w:p>
    <w:p w:rsidR="00387883" w:rsidRPr="0027396A" w:rsidRDefault="00387883" w:rsidP="0027396A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27396A">
        <w:rPr>
          <w:rFonts w:asciiTheme="minorEastAsia" w:eastAsiaTheme="minorEastAsia" w:hAnsiTheme="minorEastAsia"/>
          <w:b/>
          <w:sz w:val="28"/>
          <w:szCs w:val="28"/>
        </w:rPr>
        <w:t xml:space="preserve">售后担保： 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担保，在正常使用的情况下，自售出之日起九十天内，其软件载体无材料或工艺缺陷。经验证确有缺陷时，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的全部责任就是退换其软件载体。也是给您的唯一补偿。您若是通过购买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>其它产品而获得此软件的免费赠送，则按相关产品</w:t>
      </w:r>
      <w:r w:rsidRPr="00D5149E">
        <w:rPr>
          <w:rFonts w:asciiTheme="minorEastAsia" w:eastAsiaTheme="minorEastAsia" w:hAnsiTheme="minorEastAsia"/>
        </w:rPr>
        <w:lastRenderedPageBreak/>
        <w:t xml:space="preserve">的售后服务条款处理担保事项。因事故、滥用或错误应用导致的载体缺陷，或者导致其它损坏，售后担保无效。退换的载体享受原担保期剩余时间，或三十天的担保。取其长者优先。 </w:t>
      </w:r>
    </w:p>
    <w:p w:rsidR="00387883" w:rsidRPr="0027396A" w:rsidRDefault="00387883" w:rsidP="0027396A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27396A">
        <w:rPr>
          <w:rFonts w:asciiTheme="minorEastAsia" w:eastAsiaTheme="minorEastAsia" w:hAnsiTheme="minorEastAsia"/>
          <w:b/>
          <w:sz w:val="28"/>
          <w:szCs w:val="28"/>
        </w:rPr>
        <w:t>商标声明：</w:t>
      </w:r>
    </w:p>
    <w:p w:rsidR="00387883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 是</w:t>
      </w:r>
      <w:r w:rsidR="00C52321">
        <w:rPr>
          <w:rFonts w:asciiTheme="minorEastAsia" w:eastAsiaTheme="minorEastAsia" w:hAnsiTheme="minorEastAsia"/>
        </w:rPr>
        <w:t xml:space="preserve">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的注册商标。其他商标分别属于其相应的注册公司。 责任限制： </w:t>
      </w:r>
    </w:p>
    <w:p w:rsidR="00A45F55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上述担保，无论是明示的或是暗示的，均为担保的全部内容，包括对特殊应用目的的商品性和适应性担保。无论遵循本协议与否，就使用本软件而产生的：利润损失、可用性消失、商业中断，或任何形式的间接、特别、意外或必然的破坏，或任何其他方的索赔， 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及其代理、销售人员均不承担 IV 任何赔偿责任。即使 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事先被告知此类事有可能发生，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>及其代理、销售人员亦不承担赔偿责任。</w:t>
      </w:r>
    </w:p>
    <w:p w:rsidR="00A45F55" w:rsidRPr="0027396A" w:rsidRDefault="00387883" w:rsidP="0027396A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27396A">
        <w:rPr>
          <w:rFonts w:asciiTheme="minorEastAsia" w:eastAsiaTheme="minorEastAsia" w:hAnsiTheme="minorEastAsia"/>
          <w:b/>
          <w:sz w:val="28"/>
          <w:szCs w:val="28"/>
        </w:rPr>
        <w:t xml:space="preserve">许可终止： </w:t>
      </w:r>
    </w:p>
    <w:p w:rsidR="00A45F55" w:rsidRPr="00D5149E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D5149E">
        <w:rPr>
          <w:rFonts w:asciiTheme="minorEastAsia" w:eastAsiaTheme="minorEastAsia" w:hAnsiTheme="minorEastAsia"/>
        </w:rPr>
        <w:t xml:space="preserve">您若违反本协议的任一条款与条件， 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可能随时会终止许可。终止许可之时，您必须立即销毁本软件及文档的所有拷贝，或归还给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 xml:space="preserve">。 </w:t>
      </w:r>
    </w:p>
    <w:p w:rsidR="00A45F55" w:rsidRPr="0027396A" w:rsidRDefault="00387883" w:rsidP="0027396A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27396A">
        <w:rPr>
          <w:rFonts w:asciiTheme="minorEastAsia" w:eastAsiaTheme="minorEastAsia" w:hAnsiTheme="minorEastAsia"/>
          <w:b/>
          <w:sz w:val="28"/>
          <w:szCs w:val="28"/>
        </w:rPr>
        <w:t>适用法律：</w:t>
      </w:r>
    </w:p>
    <w:p w:rsidR="00991B52" w:rsidRDefault="00387883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 w:rsidRPr="00387883">
        <w:rPr>
          <w:b/>
        </w:rPr>
        <w:t xml:space="preserve"> </w:t>
      </w:r>
      <w:r w:rsidRPr="00D5149E">
        <w:rPr>
          <w:rFonts w:asciiTheme="minorEastAsia" w:eastAsiaTheme="minorEastAsia" w:hAnsiTheme="minorEastAsia"/>
        </w:rPr>
        <w:t xml:space="preserve">本协议适用中华人民共和国法律，包括但不限于《知识产权海关保护条例》、《著作权法》、《专利法》、《商标法》等。 至此，您确认已经详细阅读并已理解本协议全部条款，特别是对于限制或免除 </w:t>
      </w:r>
      <w:r w:rsidR="00591320" w:rsidRPr="00D5149E">
        <w:rPr>
          <w:rFonts w:asciiTheme="minorEastAsia" w:eastAsiaTheme="minorEastAsia" w:hAnsiTheme="minorEastAsia"/>
        </w:rPr>
        <w:t>元物质（深圳）智能科技有限公司</w:t>
      </w:r>
      <w:r w:rsidRPr="00D5149E">
        <w:rPr>
          <w:rFonts w:asciiTheme="minorEastAsia" w:eastAsiaTheme="minorEastAsia" w:hAnsiTheme="minorEastAsia"/>
        </w:rPr>
        <w:t>及其代理、销售人员有关责任的免责条款已经详细阅读并充分理解其内容，并同意严格遵守各条款和条件。</w:t>
      </w: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、</w:t>
      </w: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D5149E" w:rsidRPr="00D5149E" w:rsidRDefault="00D5149E" w:rsidP="00387883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</w:p>
    <w:p w:rsidR="008E06EF" w:rsidRDefault="008E06EF" w:rsidP="003E7A15">
      <w:pPr>
        <w:pStyle w:val="TOC"/>
        <w:jc w:val="center"/>
      </w:pPr>
    </w:p>
    <w:p w:rsidR="007D3654" w:rsidRPr="00045F6D" w:rsidRDefault="007D3654" w:rsidP="00045F6D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  <w:r w:rsidRPr="00045F6D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t>1 前言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2F5598"/>
          <w:sz w:val="32"/>
          <w:szCs w:val="32"/>
        </w:rPr>
      </w:pPr>
      <w:r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  <w:t xml:space="preserve">1.1 </w:t>
      </w:r>
      <w:r>
        <w:rPr>
          <w:rFonts w:ascii="宋体" w:eastAsia="宋体" w:hAnsiTheme="minorHAnsi" w:cs="宋体" w:hint="eastAsia"/>
          <w:color w:val="2F5598"/>
          <w:sz w:val="32"/>
          <w:szCs w:val="32"/>
        </w:rPr>
        <w:t>文档用途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>
        <w:rPr>
          <w:rFonts w:ascii="宋体" w:eastAsia="宋体" w:hAnsiTheme="minorHAnsi" w:cs="宋体" w:hint="eastAsia"/>
          <w:color w:val="000000"/>
          <w:sz w:val="24"/>
          <w:szCs w:val="24"/>
        </w:rPr>
        <w:t>本文档用于</w:t>
      </w:r>
      <w:proofErr w:type="gramStart"/>
      <w:r>
        <w:rPr>
          <w:rFonts w:ascii="宋体" w:eastAsia="宋体" w:hAnsiTheme="minorHAnsi" w:cs="宋体" w:hint="eastAsia"/>
          <w:color w:val="000000"/>
          <w:sz w:val="24"/>
          <w:szCs w:val="24"/>
        </w:rPr>
        <w:t>元物质</w:t>
      </w:r>
      <w:proofErr w:type="gramEnd"/>
      <w:r>
        <w:rPr>
          <w:rFonts w:ascii="宋体" w:eastAsia="宋体" w:hAnsiTheme="minorHAnsi" w:cs="宋体" w:hint="eastAsia"/>
          <w:color w:val="000000"/>
          <w:sz w:val="24"/>
          <w:szCs w:val="24"/>
        </w:rPr>
        <w:t>人工智能平台OpenStation的介绍。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2F5598"/>
          <w:sz w:val="32"/>
          <w:szCs w:val="32"/>
        </w:rPr>
      </w:pPr>
      <w:r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  <w:t xml:space="preserve">1.2 </w:t>
      </w:r>
      <w:r>
        <w:rPr>
          <w:rFonts w:ascii="宋体" w:eastAsia="宋体" w:hAnsiTheme="minorHAnsi" w:cs="宋体" w:hint="eastAsia"/>
          <w:color w:val="2F5598"/>
          <w:sz w:val="32"/>
          <w:szCs w:val="32"/>
        </w:rPr>
        <w:t>适用范围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>
        <w:rPr>
          <w:rFonts w:ascii="宋体" w:eastAsia="宋体" w:hAnsiTheme="minorHAnsi" w:cs="宋体" w:hint="eastAsia"/>
          <w:color w:val="000000"/>
          <w:sz w:val="24"/>
          <w:szCs w:val="24"/>
        </w:rPr>
        <w:t>本文档为</w:t>
      </w:r>
      <w:proofErr w:type="gramStart"/>
      <w:r>
        <w:rPr>
          <w:rFonts w:ascii="宋体" w:eastAsia="宋体" w:hAnsiTheme="minorHAnsi" w:cs="宋体" w:hint="eastAsia"/>
          <w:color w:val="000000"/>
          <w:sz w:val="24"/>
          <w:szCs w:val="24"/>
        </w:rPr>
        <w:t>元物质</w:t>
      </w:r>
      <w:proofErr w:type="gramEnd"/>
      <w:r>
        <w:rPr>
          <w:rFonts w:ascii="宋体" w:eastAsia="宋体" w:hAnsiTheme="minorHAnsi" w:cs="宋体" w:hint="eastAsia"/>
          <w:color w:val="000000"/>
          <w:sz w:val="24"/>
          <w:szCs w:val="24"/>
        </w:rPr>
        <w:t>OpenStation产品线内部参考文档。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2F5598"/>
          <w:sz w:val="32"/>
          <w:szCs w:val="32"/>
        </w:rPr>
      </w:pPr>
      <w:r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  <w:t xml:space="preserve">1.3 </w:t>
      </w:r>
      <w:r>
        <w:rPr>
          <w:rFonts w:ascii="宋体" w:eastAsia="宋体" w:hAnsiTheme="minorHAnsi" w:cs="宋体" w:hint="eastAsia"/>
          <w:color w:val="2F5598"/>
          <w:sz w:val="32"/>
          <w:szCs w:val="32"/>
        </w:rPr>
        <w:t>适用对象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>
        <w:rPr>
          <w:rFonts w:ascii="宋体" w:eastAsia="宋体" w:hAnsiTheme="minorHAnsi" w:cs="宋体" w:hint="eastAsia"/>
          <w:color w:val="000000"/>
          <w:sz w:val="24"/>
          <w:szCs w:val="24"/>
        </w:rPr>
        <w:t>本文档提供给以下相关人员使用：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>
        <w:rPr>
          <w:rFonts w:ascii="Wingdings-Regular" w:eastAsia="Wingdings-Regular" w:hAnsiTheme="minorHAnsi" w:cs="Wingdings-Regular" w:hint="eastAsia"/>
          <w:color w:val="000000"/>
          <w:sz w:val="18"/>
          <w:szCs w:val="18"/>
        </w:rPr>
        <w:t></w:t>
      </w:r>
      <w:r>
        <w:rPr>
          <w:rFonts w:ascii="Wingdings-Regular" w:eastAsia="Wingdings-Regular" w:hAnsiTheme="minorHAnsi" w:cs="Wingdings-Regular"/>
          <w:color w:val="000000"/>
          <w:sz w:val="18"/>
          <w:szCs w:val="18"/>
        </w:rPr>
        <w:t xml:space="preserve"> </w:t>
      </w:r>
      <w:r>
        <w:rPr>
          <w:rFonts w:ascii="宋体" w:eastAsia="宋体" w:hAnsiTheme="minorHAnsi" w:cs="宋体" w:hint="eastAsia"/>
          <w:color w:val="000000"/>
          <w:sz w:val="24"/>
          <w:szCs w:val="24"/>
        </w:rPr>
        <w:t>软件研发工程师</w:t>
      </w:r>
    </w:p>
    <w:p w:rsidR="00FC2EDF" w:rsidRDefault="00FC2EDF" w:rsidP="00FC2E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>
        <w:rPr>
          <w:rFonts w:ascii="Wingdings-Regular" w:eastAsia="Wingdings-Regular" w:hAnsiTheme="minorHAnsi" w:cs="Wingdings-Regular" w:hint="eastAsia"/>
          <w:color w:val="000000"/>
          <w:sz w:val="18"/>
          <w:szCs w:val="18"/>
        </w:rPr>
        <w:t></w:t>
      </w:r>
      <w:r>
        <w:rPr>
          <w:rFonts w:ascii="Wingdings-Regular" w:eastAsia="Wingdings-Regular" w:hAnsiTheme="minorHAnsi" w:cs="Wingdings-Regular"/>
          <w:color w:val="000000"/>
          <w:sz w:val="18"/>
          <w:szCs w:val="18"/>
        </w:rPr>
        <w:t xml:space="preserve"> </w:t>
      </w:r>
      <w:r>
        <w:rPr>
          <w:rFonts w:ascii="宋体" w:eastAsia="宋体" w:hAnsiTheme="minorHAnsi" w:cs="宋体" w:hint="eastAsia"/>
          <w:color w:val="000000"/>
          <w:sz w:val="24"/>
          <w:szCs w:val="24"/>
        </w:rPr>
        <w:t>系统运维工程师</w:t>
      </w:r>
    </w:p>
    <w:p w:rsidR="00745F50" w:rsidRDefault="00FC2EDF" w:rsidP="00FC2EDF">
      <w:pPr>
        <w:spacing w:line="220" w:lineRule="atLeast"/>
        <w:ind w:firstLineChars="100" w:firstLine="240"/>
      </w:pPr>
      <w:r>
        <w:rPr>
          <w:rFonts w:ascii="宋体" w:eastAsia="宋体" w:hAnsiTheme="minorHAnsi" w:cs="宋体" w:hint="eastAsia"/>
          <w:color w:val="000000"/>
          <w:sz w:val="24"/>
          <w:szCs w:val="24"/>
        </w:rPr>
        <w:t>其他获得授权的人员</w:t>
      </w: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745F50" w:rsidRDefault="00745F50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65124F" w:rsidRDefault="0065124F" w:rsidP="00387883">
      <w:pPr>
        <w:spacing w:line="220" w:lineRule="atLeast"/>
        <w:ind w:firstLineChars="200" w:firstLine="440"/>
      </w:pPr>
    </w:p>
    <w:p w:rsidR="00045F6D" w:rsidRDefault="00045F6D" w:rsidP="00387883">
      <w:pPr>
        <w:spacing w:line="220" w:lineRule="atLeast"/>
        <w:ind w:firstLineChars="200" w:firstLine="440"/>
      </w:pPr>
    </w:p>
    <w:p w:rsidR="00906CDF" w:rsidRDefault="00906CDF" w:rsidP="00387883">
      <w:pPr>
        <w:spacing w:line="220" w:lineRule="atLeast"/>
        <w:ind w:firstLineChars="200" w:firstLine="440"/>
      </w:pPr>
    </w:p>
    <w:p w:rsidR="004A217E" w:rsidRDefault="004A217E" w:rsidP="00387883">
      <w:pPr>
        <w:spacing w:line="220" w:lineRule="atLeast"/>
        <w:ind w:firstLineChars="200" w:firstLine="440"/>
      </w:pPr>
    </w:p>
    <w:p w:rsidR="00745F50" w:rsidRPr="00045F6D" w:rsidRDefault="00745F50" w:rsidP="00045F6D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  <w:r w:rsidRPr="00045F6D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lastRenderedPageBreak/>
        <w:t>2  OpenStation</w:t>
      </w:r>
      <w:r w:rsidR="00C10E2A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t>功能</w:t>
      </w:r>
      <w:r w:rsidRPr="00045F6D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t>概述</w:t>
      </w:r>
    </w:p>
    <w:p w:rsidR="00745F50" w:rsidRPr="004A2498" w:rsidRDefault="00745F50" w:rsidP="00745F50">
      <w:pPr>
        <w:spacing w:line="220" w:lineRule="atLeast"/>
        <w:ind w:left="440"/>
        <w:rPr>
          <w:b/>
        </w:rPr>
      </w:pPr>
    </w:p>
    <w:p w:rsidR="00745F50" w:rsidRPr="007D6474" w:rsidRDefault="00745F50" w:rsidP="007D6474">
      <w:pPr>
        <w:widowControl w:val="0"/>
        <w:autoSpaceDE w:val="0"/>
        <w:autoSpaceDN w:val="0"/>
        <w:snapToGrid/>
        <w:spacing w:after="0"/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</w:pPr>
      <w:r w:rsidRPr="007D6474">
        <w:rPr>
          <w:rFonts w:ascii="BookAntiqua-Bold" w:eastAsia="BookAntiqua-Bold" w:hAnsiTheme="minorHAnsi" w:cs="BookAntiqua-Bold" w:hint="eastAsia"/>
          <w:b/>
          <w:bCs/>
          <w:color w:val="2F5598"/>
          <w:sz w:val="32"/>
          <w:szCs w:val="32"/>
        </w:rPr>
        <w:t>2.1</w:t>
      </w:r>
      <w:r w:rsidR="00586D35" w:rsidRPr="007D6474">
        <w:rPr>
          <w:rFonts w:ascii="BookAntiqua-Bold" w:eastAsia="BookAntiqua-Bold" w:hAnsiTheme="minorHAnsi" w:cs="BookAntiqua-Bold" w:hint="eastAsia"/>
          <w:b/>
          <w:bCs/>
          <w:color w:val="2F5598"/>
          <w:sz w:val="32"/>
          <w:szCs w:val="32"/>
        </w:rPr>
        <w:t xml:space="preserve">   OpenStation产品介绍</w:t>
      </w:r>
    </w:p>
    <w:p w:rsidR="002266C5" w:rsidRDefault="002266C5" w:rsidP="00745F50">
      <w:pPr>
        <w:spacing w:line="220" w:lineRule="atLeast"/>
        <w:ind w:left="440"/>
      </w:pPr>
    </w:p>
    <w:p w:rsidR="00C613E4" w:rsidRPr="001F6DDF" w:rsidRDefault="00470340" w:rsidP="001F6DDF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proofErr w:type="gramStart"/>
      <w:r w:rsidRPr="001F6DDF">
        <w:rPr>
          <w:rFonts w:ascii="宋体" w:eastAsia="宋体" w:hAnsiTheme="minorHAnsi" w:cs="宋体"/>
          <w:color w:val="000000"/>
          <w:sz w:val="24"/>
          <w:szCs w:val="24"/>
        </w:rPr>
        <w:t>元物质</w:t>
      </w:r>
      <w:proofErr w:type="gramEnd"/>
      <w:r w:rsidRPr="001F6DDF">
        <w:rPr>
          <w:rFonts w:ascii="宋体" w:eastAsia="宋体" w:hAnsiTheme="minorHAnsi" w:cs="宋体"/>
          <w:color w:val="000000"/>
          <w:sz w:val="24"/>
          <w:szCs w:val="24"/>
        </w:rPr>
        <w:t>Open</w:t>
      </w:r>
      <w:r w:rsidRPr="001F6DDF">
        <w:rPr>
          <w:rFonts w:ascii="宋体" w:eastAsia="宋体" w:hAnsiTheme="minorHAnsi" w:cs="宋体" w:hint="eastAsia"/>
          <w:color w:val="000000"/>
          <w:sz w:val="24"/>
          <w:szCs w:val="24"/>
        </w:rPr>
        <w:t>S</w:t>
      </w:r>
      <w:r w:rsidRPr="001F6DDF">
        <w:rPr>
          <w:rFonts w:ascii="宋体" w:eastAsia="宋体" w:hAnsiTheme="minorHAnsi" w:cs="宋体"/>
          <w:color w:val="000000"/>
          <w:sz w:val="24"/>
          <w:szCs w:val="24"/>
        </w:rPr>
        <w:t>tation科研计算平台，是一个面向高校、科研机构的计算管理平台，他统一集成各个科研领域主流的计算框架和常用环境（TensorFlow、PyTorch、Caffe、MxNet、PaddlePaddle等），并将计算资源（CPU、GPU、内存、存储）统一管理起来的平台，简称Open</w:t>
      </w:r>
      <w:r w:rsidRPr="001F6DDF">
        <w:rPr>
          <w:rFonts w:ascii="宋体" w:eastAsia="宋体" w:hAnsiTheme="minorHAnsi" w:cs="宋体" w:hint="eastAsia"/>
          <w:color w:val="000000"/>
          <w:sz w:val="24"/>
          <w:szCs w:val="24"/>
        </w:rPr>
        <w:t>S</w:t>
      </w:r>
      <w:r w:rsidRPr="001F6DDF">
        <w:rPr>
          <w:rFonts w:ascii="宋体" w:eastAsia="宋体" w:hAnsiTheme="minorHAnsi" w:cs="宋体"/>
          <w:color w:val="000000"/>
          <w:sz w:val="24"/>
          <w:szCs w:val="24"/>
        </w:rPr>
        <w:t>tation。</w:t>
      </w:r>
    </w:p>
    <w:p w:rsidR="00586D35" w:rsidRPr="007D6474" w:rsidRDefault="00586D35" w:rsidP="007D6474">
      <w:pPr>
        <w:widowControl w:val="0"/>
        <w:autoSpaceDE w:val="0"/>
        <w:autoSpaceDN w:val="0"/>
        <w:snapToGrid/>
        <w:spacing w:after="0"/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</w:pPr>
    </w:p>
    <w:p w:rsidR="00586D35" w:rsidRPr="007D6474" w:rsidRDefault="00586D35" w:rsidP="007D6474">
      <w:pPr>
        <w:widowControl w:val="0"/>
        <w:autoSpaceDE w:val="0"/>
        <w:autoSpaceDN w:val="0"/>
        <w:snapToGrid/>
        <w:spacing w:after="0"/>
        <w:rPr>
          <w:rFonts w:ascii="BookAntiqua-Bold" w:eastAsia="BookAntiqua-Bold" w:hAnsiTheme="minorHAnsi" w:cs="BookAntiqua-Bold"/>
          <w:b/>
          <w:bCs/>
          <w:color w:val="2F5598"/>
          <w:sz w:val="32"/>
          <w:szCs w:val="32"/>
        </w:rPr>
      </w:pPr>
      <w:r w:rsidRPr="007D6474">
        <w:rPr>
          <w:rFonts w:ascii="BookAntiqua-Bold" w:eastAsia="BookAntiqua-Bold" w:hAnsiTheme="minorHAnsi" w:cs="BookAntiqua-Bold" w:hint="eastAsia"/>
          <w:b/>
          <w:bCs/>
          <w:color w:val="2F5598"/>
          <w:sz w:val="32"/>
          <w:szCs w:val="32"/>
        </w:rPr>
        <w:t>2.2  OpenStation</w:t>
      </w:r>
      <w:r w:rsidR="00C15295" w:rsidRPr="007D6474">
        <w:rPr>
          <w:rFonts w:ascii="BookAntiqua-Bold" w:eastAsia="BookAntiqua-Bold" w:hAnsiTheme="minorHAnsi" w:cs="BookAntiqua-Bold" w:hint="eastAsia"/>
          <w:b/>
          <w:bCs/>
          <w:color w:val="2F5598"/>
          <w:sz w:val="32"/>
          <w:szCs w:val="32"/>
        </w:rPr>
        <w:t>产品功能</w:t>
      </w:r>
    </w:p>
    <w:p w:rsidR="001F6DDF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</w:pPr>
      <w:r w:rsidRPr="003E7A15"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  <w:t xml:space="preserve">　</w:t>
      </w:r>
    </w:p>
    <w:p w:rsidR="00080D18" w:rsidRPr="003E7A15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4C5253"/>
          <w:sz w:val="24"/>
          <w:szCs w:val="24"/>
          <w:shd w:val="clear" w:color="auto" w:fill="FFFFFF"/>
        </w:rPr>
      </w:pPr>
      <w:r w:rsidRPr="003E7A15"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  <w:t>多框架模型统一管理</w:t>
      </w:r>
    </w:p>
    <w:p w:rsidR="00080D18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支持Tensorflow、Pytorch、Caffe、MXnet等主流框架模型，支持ONNX格式模型</w:t>
      </w:r>
    </w:p>
    <w:p w:rsidR="00080D18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支持自定义镜像，通过页面配置快速部署，以及云原生方式进行自定义编排</w:t>
      </w:r>
    </w:p>
    <w:p w:rsidR="00080D18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支持模型导入、查询、删除等操作</w:t>
      </w:r>
    </w:p>
    <w:p w:rsidR="00080D18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支持个人模型、组模型的权限管控</w:t>
      </w:r>
    </w:p>
    <w:p w:rsidR="00080D18" w:rsidRPr="001F6DDF" w:rsidRDefault="00080D18" w:rsidP="001F6DDF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4C5253"/>
          <w:sz w:val="24"/>
          <w:szCs w:val="24"/>
          <w:shd w:val="clear" w:color="auto" w:fill="FFFFFF"/>
        </w:rPr>
      </w:pPr>
      <w:r w:rsidRPr="003E7A15"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  <w:t>应用服务全周期管理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支持Tensor Serving、Torch Serving、Triton 推理引擎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支持离线测试，方便开发人员在模型发布前验证模型准确性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支持A/B测试与滚动发布进行模型迭代升级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支持服务弹性伸缩，根据流量自动调整服务实例数量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提供周期部署与定时部署的服务调度策略，解决不同时段的</w:t>
      </w:r>
      <w:proofErr w:type="gramStart"/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>业务算力需求</w:t>
      </w:r>
      <w:proofErr w:type="gramEnd"/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支持流量调节、批量处理、业务下线等操作</w:t>
      </w:r>
    </w:p>
    <w:p w:rsidR="00080D18" w:rsidRDefault="00080D18" w:rsidP="00A3292E">
      <w:pPr>
        <w:spacing w:line="220" w:lineRule="atLeast"/>
        <w:ind w:left="440" w:firstLine="42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>支持边缘场景下的推理服务部署，状态查看及管理操作</w:t>
      </w:r>
    </w:p>
    <w:p w:rsidR="00080D18" w:rsidRPr="003E7A15" w:rsidRDefault="00080D18" w:rsidP="001F6DDF">
      <w:pPr>
        <w:spacing w:line="220" w:lineRule="atLeast"/>
        <w:ind w:firstLineChars="200" w:firstLine="482"/>
        <w:rPr>
          <w:rFonts w:asciiTheme="minorEastAsia" w:eastAsiaTheme="minorEastAsia" w:hAnsiTheme="minorEastAsia" w:cs="Arial"/>
          <w:b/>
          <w:color w:val="4C5253"/>
          <w:sz w:val="24"/>
          <w:szCs w:val="24"/>
          <w:shd w:val="clear" w:color="auto" w:fill="FFFFFF"/>
        </w:rPr>
      </w:pPr>
      <w:r w:rsidRPr="003E7A15"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  <w:t>应用请求快速响应</w:t>
      </w:r>
    </w:p>
    <w:p w:rsidR="00080D18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</w:p>
    <w:p w:rsidR="00080D18" w:rsidRPr="00080D18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优化网络模型，减少网络代理延迟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深度调</w:t>
      </w:r>
      <w:proofErr w:type="gramStart"/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>优网络</w:t>
      </w:r>
      <w:proofErr w:type="gramEnd"/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>参数，减少网络延迟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服务延迟1ms，业内领先水平</w:t>
      </w:r>
    </w:p>
    <w:p w:rsidR="00080D18" w:rsidRPr="00080D18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lastRenderedPageBreak/>
        <w:t xml:space="preserve">　　</w:t>
      </w:r>
    </w:p>
    <w:p w:rsidR="00080D18" w:rsidRPr="003E7A15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4C5253"/>
          <w:sz w:val="24"/>
          <w:szCs w:val="24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</w:t>
      </w:r>
      <w:r w:rsidRPr="003E7A15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</w:t>
      </w:r>
      <w:r w:rsidRPr="003E7A15">
        <w:rPr>
          <w:rFonts w:asciiTheme="minorEastAsia" w:eastAsiaTheme="minorEastAsia" w:hAnsiTheme="minorEastAsia" w:cs="Arial" w:hint="eastAsia"/>
          <w:b/>
          <w:color w:val="4C5253"/>
          <w:sz w:val="24"/>
          <w:szCs w:val="24"/>
          <w:shd w:val="clear" w:color="auto" w:fill="FFFFFF"/>
        </w:rPr>
        <w:t>资源性能监控</w:t>
      </w:r>
    </w:p>
    <w:p w:rsidR="00080D18" w:rsidRPr="00080D18" w:rsidRDefault="00080D18" w:rsidP="00A3292E">
      <w:pPr>
        <w:spacing w:line="220" w:lineRule="atLeast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简介直观的集群监控界面，核心参数一目了然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强大的扩展能力，支持用户自定义页面</w:t>
      </w:r>
    </w:p>
    <w:p w:rsidR="00080D18" w:rsidRPr="00A3292E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丰富的日志检索能力，支持检索模版</w:t>
      </w:r>
    </w:p>
    <w:p w:rsidR="00080D18" w:rsidRPr="00080D18" w:rsidRDefault="00080D18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　日志分析能力出众，支持分析结果可视化</w:t>
      </w:r>
    </w:p>
    <w:p w:rsidR="00A3292E" w:rsidRPr="00A3292E" w:rsidRDefault="00A3292E" w:rsidP="00080D18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4C5253"/>
          <w:sz w:val="21"/>
          <w:szCs w:val="21"/>
          <w:shd w:val="clear" w:color="auto" w:fill="FFFFFF"/>
        </w:rPr>
      </w:pPr>
    </w:p>
    <w:p w:rsidR="001C4EA5" w:rsidRPr="00080D18" w:rsidRDefault="00080D18" w:rsidP="00080D18">
      <w:pPr>
        <w:spacing w:line="220" w:lineRule="atLeast"/>
        <w:ind w:left="440"/>
        <w:rPr>
          <w:rFonts w:asciiTheme="minorEastAsia" w:eastAsiaTheme="minorEastAsia" w:hAnsiTheme="minorEastAsia" w:cs="Arial"/>
          <w:color w:val="4C5253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</w:t>
      </w: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3E7A15" w:rsidRDefault="003E7A15" w:rsidP="001C4EA5">
      <w:pPr>
        <w:spacing w:line="220" w:lineRule="atLeast"/>
        <w:ind w:firstLineChars="200" w:firstLine="964"/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</w:pPr>
    </w:p>
    <w:p w:rsidR="007D6474" w:rsidRPr="007D6474" w:rsidRDefault="007D6474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586D35" w:rsidRPr="001C4EA5" w:rsidRDefault="00586D3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  <w:r w:rsidRPr="001C4EA5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lastRenderedPageBreak/>
        <w:t>3 OpenStation 技术</w:t>
      </w:r>
      <w:r w:rsidR="00C10E2A"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t>原理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080D18"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　</w:t>
      </w:r>
      <w:r>
        <w:rPr>
          <w:rFonts w:asciiTheme="minorEastAsia" w:eastAsiaTheme="minorEastAsia" w:hAnsiTheme="minorEastAsia" w:cs="Arial" w:hint="eastAsia"/>
          <w:color w:val="4C5253"/>
          <w:sz w:val="21"/>
          <w:szCs w:val="21"/>
          <w:shd w:val="clear" w:color="auto" w:fill="FFFFFF"/>
        </w:rPr>
        <w:t xml:space="preserve"> </w:t>
      </w: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 支持平台服务的健康监控及容错，自动感知服务资源异常情况，并为线上服务选取可用计算资源进行主动迁移。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</w:t>
      </w:r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 xml:space="preserve">　轻松部署推理服务，提速AI生产交付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　提供自动快捷的模型部署方式及服务调用方式，一键实现滚动发布、A/B测试、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服务回滚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等高级服务部署功能，模型部署上线从2-3天缩短到几分钟；</w:t>
      </w:r>
    </w:p>
    <w:p w:rsidR="00A3292E" w:rsidRPr="00876BB0" w:rsidRDefault="00A3292E" w:rsidP="00A3292E">
      <w:pPr>
        <w:spacing w:line="220" w:lineRule="atLeast"/>
        <w:ind w:left="440" w:firstLine="42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E0315F">
      <w:pPr>
        <w:spacing w:line="220" w:lineRule="atLeast"/>
        <w:ind w:leftChars="200" w:left="440" w:firstLineChars="200" w:firstLine="422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>灵活开放，ISV应用统一适配</w:t>
      </w:r>
    </w:p>
    <w:p w:rsidR="00A3292E" w:rsidRPr="00876BB0" w:rsidRDefault="00A3292E" w:rsidP="00A3292E">
      <w:pPr>
        <w:spacing w:line="220" w:lineRule="atLeast"/>
        <w:ind w:left="440" w:firstLine="42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　支持TensorFlow、Pytorch等主流深度学习框架，同时兼容用户自定义框架，无缝对接企业自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研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或外购AI模型，满足企业多样化的应用场景；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 xml:space="preserve">　　计算资源统一管理，敏捷高效调配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　支持英伟达、寒武纪、昆仑芯、高通等6家国际国内厂商的12款AI和GPU芯片的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多元算力支持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，针对不同AI应用的计算特点按需动态调配计算资源，支持GPU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单卡算力细粒度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切分，集群资源利用率从40% 提高到 80%；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　</w:t>
      </w:r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>低延迟高吞吐，秒级</w:t>
      </w:r>
      <w:proofErr w:type="gramStart"/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>响应线</w:t>
      </w:r>
      <w:proofErr w:type="gramEnd"/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>上业务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 xml:space="preserve">　　高并发高吞吐，服务响应平均延迟低于1ms；服务资源弹性扩缩，应对突发场景可在几分钟内自动完成服务扩容，提升整体性能；</w:t>
      </w: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</w:p>
    <w:p w:rsidR="00A3292E" w:rsidRPr="00876BB0" w:rsidRDefault="00A3292E" w:rsidP="00A3292E">
      <w:pPr>
        <w:spacing w:line="220" w:lineRule="atLeast"/>
        <w:ind w:left="440"/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b/>
          <w:color w:val="FF0000"/>
          <w:sz w:val="21"/>
          <w:szCs w:val="21"/>
          <w:shd w:val="clear" w:color="auto" w:fill="FFFFFF"/>
        </w:rPr>
        <w:t xml:space="preserve">　　智能容错，保障业务平稳运行</w:t>
      </w:r>
    </w:p>
    <w:p w:rsidR="00E0315F" w:rsidRPr="00876BB0" w:rsidRDefault="00E0315F" w:rsidP="00D81D41">
      <w:pPr>
        <w:spacing w:line="220" w:lineRule="atLeast"/>
        <w:ind w:left="440"/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在训练数据管理方面，统一管理个人数据及开发数据集，支持数据共享协同。对接企业数据存储系统，支持NFS、HDFS、BeeGFS等文件系统。支持文件上传、下载、压缩、解压、新建和删除等。支持用户访问及下载权限设置，保证数据安全可靠。</w:t>
      </w: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在AI计算资源集中管理调度方面，GPU服务器及GPU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卡池化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管理，使用状态一览展示。GPU资源使用情况实时统计分析。开发用户按需申请资源、动态分配。GPU多维细粒度调度。智能化资源调度策略。</w:t>
      </w: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lastRenderedPageBreak/>
        <w:t>在GPU性能监控方面，AI服务器性能及状态监控，CPU利用率、MEM利用率、网络IO、IB流量、磁盘分区、节点负载。GPU性能监控，GPU利用率、显存利用率、时钟频率、功耗、温度。存储系统及磁盘分区使用监控，各用户存储使用量监控。</w:t>
      </w: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在AI计算资源运</w:t>
      </w:r>
      <w:proofErr w:type="gramStart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维管理</w:t>
      </w:r>
      <w:proofErr w:type="gramEnd"/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方面，实时统计用户组/用户资源使用。实时查看计算节点资源占用情况。管理员控制各用户资源使用配额。管理员快速清理回收资源，再分配。</w:t>
      </w: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在交互式模型开发训练过程方面，集成主流AI开发框架。打通数据集、计算资源、框架工具。提供丰富完整的AI开发工具链。对接pycharm、vscode等IDE工具。</w:t>
      </w: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</w:p>
    <w:p w:rsidR="00D81D41" w:rsidRPr="00876BB0" w:rsidRDefault="00D81D41" w:rsidP="00D81D41">
      <w:pPr>
        <w:spacing w:line="220" w:lineRule="atLeast"/>
        <w:ind w:left="440"/>
        <w:rPr>
          <w:rFonts w:asciiTheme="minorEastAsia" w:eastAsiaTheme="minorEastAsia" w:hAnsiTheme="minorEastAsia" w:cs="Arial"/>
          <w:color w:val="FF0000"/>
          <w:sz w:val="21"/>
          <w:szCs w:val="21"/>
          <w:shd w:val="clear" w:color="auto" w:fill="FFFFFF"/>
        </w:rPr>
      </w:pPr>
      <w:r w:rsidRPr="00876BB0">
        <w:rPr>
          <w:rFonts w:asciiTheme="minorEastAsia" w:eastAsiaTheme="minorEastAsia" w:hAnsiTheme="minorEastAsia" w:cs="Arial" w:hint="eastAsia"/>
          <w:color w:val="FF0000"/>
          <w:sz w:val="21"/>
          <w:szCs w:val="21"/>
          <w:shd w:val="clear" w:color="auto" w:fill="FFFFFF"/>
        </w:rPr>
        <w:t>在分布式训练任务编排方面，不同深度学习框架模板，通过模板快速提交训练任务。多机分布式任务跨节点自动分配计算资源，自动编排计算进程。按需申请计算资源的CPU核数和GPU卡数内存和训练集等。提供CLI方式任务提交及管。</w:t>
      </w: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1C4EA5" w:rsidRDefault="001C4EA5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C10E2A" w:rsidRDefault="00C10E2A" w:rsidP="001C4EA5">
      <w:pPr>
        <w:spacing w:line="220" w:lineRule="atLeast"/>
        <w:ind w:firstLineChars="200" w:firstLine="964"/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</w:pPr>
    </w:p>
    <w:p w:rsidR="00E0315F" w:rsidRDefault="00E0315F" w:rsidP="001C4EA5">
      <w:pPr>
        <w:spacing w:line="220" w:lineRule="atLeast"/>
        <w:ind w:firstLineChars="200" w:firstLine="964"/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</w:pPr>
    </w:p>
    <w:p w:rsidR="00E0315F" w:rsidRDefault="00E0315F" w:rsidP="001C4EA5">
      <w:pPr>
        <w:spacing w:line="220" w:lineRule="atLeast"/>
        <w:ind w:firstLineChars="200" w:firstLine="964"/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</w:pPr>
    </w:p>
    <w:p w:rsidR="00E0315F" w:rsidRDefault="00E0315F" w:rsidP="001C4EA5">
      <w:pPr>
        <w:spacing w:line="220" w:lineRule="atLeast"/>
        <w:ind w:firstLineChars="200" w:firstLine="964"/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</w:pPr>
    </w:p>
    <w:p w:rsidR="00E0315F" w:rsidRDefault="00E0315F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</w:p>
    <w:p w:rsidR="002266C5" w:rsidRPr="001C4EA5" w:rsidRDefault="00667D51" w:rsidP="001C4EA5">
      <w:pPr>
        <w:spacing w:line="220" w:lineRule="atLeast"/>
        <w:ind w:firstLineChars="200" w:firstLine="964"/>
        <w:rPr>
          <w:rFonts w:asciiTheme="minorEastAsia" w:eastAsiaTheme="minorEastAsia" w:hAnsiTheme="minorEastAsia"/>
          <w:b/>
          <w:color w:val="0070C0"/>
          <w:sz w:val="48"/>
          <w:szCs w:val="48"/>
        </w:rPr>
      </w:pPr>
      <w:r>
        <w:rPr>
          <w:rFonts w:asciiTheme="minorEastAsia" w:eastAsiaTheme="minorEastAsia" w:hAnsiTheme="minorEastAsia" w:hint="eastAsia"/>
          <w:b/>
          <w:color w:val="0070C0"/>
          <w:sz w:val="48"/>
          <w:szCs w:val="48"/>
        </w:rPr>
        <w:lastRenderedPageBreak/>
        <w:t>4</w:t>
      </w:r>
      <w:r w:rsidR="00C22819" w:rsidRPr="001C4EA5">
        <w:rPr>
          <w:rFonts w:asciiTheme="minorEastAsia" w:eastAsiaTheme="minorEastAsia" w:hAnsiTheme="minorEastAsia"/>
          <w:b/>
          <w:color w:val="0070C0"/>
          <w:sz w:val="48"/>
          <w:szCs w:val="48"/>
        </w:rPr>
        <w:t xml:space="preserve"> 总结</w:t>
      </w:r>
    </w:p>
    <w:p w:rsidR="0065124F" w:rsidRDefault="00C22819" w:rsidP="0065124F">
      <w:pPr>
        <w:spacing w:line="220" w:lineRule="atLeast"/>
        <w:ind w:leftChars="200" w:left="440" w:firstLineChars="200" w:firstLine="440"/>
        <w:rPr>
          <w:rFonts w:asciiTheme="minorEastAsia" w:eastAsiaTheme="minorEastAsia" w:hAnsiTheme="minorEastAsia"/>
        </w:rPr>
      </w:pPr>
      <w:proofErr w:type="gramStart"/>
      <w:r w:rsidRPr="0007434F">
        <w:rPr>
          <w:rFonts w:asciiTheme="minorEastAsia" w:eastAsiaTheme="minorEastAsia" w:hAnsiTheme="minorEastAsia"/>
        </w:rPr>
        <w:t>元物质</w:t>
      </w:r>
      <w:proofErr w:type="gramEnd"/>
      <w:r w:rsidRPr="0007434F">
        <w:rPr>
          <w:rFonts w:asciiTheme="minorEastAsia" w:eastAsiaTheme="minorEastAsia" w:hAnsiTheme="minorEastAsia"/>
        </w:rPr>
        <w:t>秉承以客户为关注焦点，技术创新是原动力理念，关注客户需求，通过技术创新和产品创新，为客户提供完善的产品和方案，OpenStation即是</w:t>
      </w:r>
      <w:proofErr w:type="gramStart"/>
      <w:r w:rsidRPr="0007434F">
        <w:rPr>
          <w:rFonts w:asciiTheme="minorEastAsia" w:eastAsiaTheme="minorEastAsia" w:hAnsiTheme="minorEastAsia"/>
        </w:rPr>
        <w:t>元物质</w:t>
      </w:r>
      <w:proofErr w:type="gramEnd"/>
      <w:r w:rsidRPr="0007434F">
        <w:rPr>
          <w:rFonts w:asciiTheme="minorEastAsia" w:eastAsiaTheme="minorEastAsia" w:hAnsiTheme="minorEastAsia"/>
        </w:rPr>
        <w:t>众多产品的核心。通过本文档我们了解到通用虚拟化技术的原理，OpenStation的功能和架构，OpenStation在资源虚拟化、人工智能计算和开放性三个方面的技术特性。OpenStation是</w:t>
      </w:r>
      <w:proofErr w:type="gramStart"/>
      <w:r w:rsidRPr="0007434F">
        <w:rPr>
          <w:rFonts w:asciiTheme="minorEastAsia" w:eastAsiaTheme="minorEastAsia" w:hAnsiTheme="minorEastAsia"/>
        </w:rPr>
        <w:t>元物质</w:t>
      </w:r>
      <w:proofErr w:type="gramEnd"/>
      <w:r w:rsidRPr="0007434F">
        <w:rPr>
          <w:rFonts w:asciiTheme="minorEastAsia" w:eastAsiaTheme="minorEastAsia" w:hAnsiTheme="minorEastAsia"/>
        </w:rPr>
        <w:t>为客户倾力打造的</w:t>
      </w:r>
      <w:proofErr w:type="gramStart"/>
      <w:r w:rsidRPr="0007434F">
        <w:rPr>
          <w:rFonts w:asciiTheme="minorEastAsia" w:eastAsiaTheme="minorEastAsia" w:hAnsiTheme="minorEastAsia"/>
        </w:rPr>
        <w:t>战略级</w:t>
      </w:r>
      <w:proofErr w:type="gramEnd"/>
      <w:r w:rsidRPr="0007434F">
        <w:rPr>
          <w:rFonts w:asciiTheme="minorEastAsia" w:eastAsiaTheme="minorEastAsia" w:hAnsiTheme="minorEastAsia"/>
        </w:rPr>
        <w:t>产品，为客户提供应用向虚拟化平台的部署或迁移，构建人工智能计算数据中心的关键能力。</w:t>
      </w:r>
    </w:p>
    <w:p w:rsidR="00C22819" w:rsidRPr="0007434F" w:rsidRDefault="00C22819" w:rsidP="00745F50">
      <w:pPr>
        <w:spacing w:line="220" w:lineRule="atLeast"/>
        <w:ind w:left="440"/>
        <w:rPr>
          <w:rFonts w:asciiTheme="minorEastAsia" w:eastAsiaTheme="minorEastAsia" w:hAnsiTheme="minorEastAsia"/>
        </w:rPr>
      </w:pPr>
      <w:r w:rsidRPr="0007434F">
        <w:rPr>
          <w:rFonts w:asciiTheme="minorEastAsia" w:eastAsiaTheme="minorEastAsia" w:hAnsiTheme="minorEastAsia"/>
        </w:rPr>
        <w:t xml:space="preserve"> 关于更多 OpenStation的资料和内容，请联系相关行业和</w:t>
      </w:r>
      <w:proofErr w:type="gramStart"/>
      <w:r w:rsidRPr="0007434F">
        <w:rPr>
          <w:rFonts w:asciiTheme="minorEastAsia" w:eastAsiaTheme="minorEastAsia" w:hAnsiTheme="minorEastAsia"/>
        </w:rPr>
        <w:t>区域元物质</w:t>
      </w:r>
      <w:proofErr w:type="gramEnd"/>
      <w:r w:rsidR="0065124F">
        <w:rPr>
          <w:rFonts w:asciiTheme="minorEastAsia" w:eastAsiaTheme="minorEastAsia" w:hAnsiTheme="minorEastAsia"/>
        </w:rPr>
        <w:t>技术</w:t>
      </w:r>
      <w:r w:rsidRPr="0007434F">
        <w:rPr>
          <w:rFonts w:asciiTheme="minorEastAsia" w:eastAsiaTheme="minorEastAsia" w:hAnsiTheme="minorEastAsia"/>
        </w:rPr>
        <w:t>人员。</w:t>
      </w:r>
    </w:p>
    <w:p w:rsidR="00922E1F" w:rsidRPr="00A45F55" w:rsidRDefault="00922E1F" w:rsidP="00745F50">
      <w:pPr>
        <w:spacing w:line="220" w:lineRule="atLeast"/>
        <w:ind w:left="440"/>
      </w:pPr>
    </w:p>
    <w:sectPr w:rsidR="00922E1F" w:rsidRPr="00A45F55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59E" w:rsidRDefault="0002059E" w:rsidP="00707CD7">
      <w:pPr>
        <w:spacing w:after="0"/>
      </w:pPr>
      <w:r>
        <w:separator/>
      </w:r>
    </w:p>
  </w:endnote>
  <w:endnote w:type="continuationSeparator" w:id="0">
    <w:p w:rsidR="0002059E" w:rsidRDefault="0002059E" w:rsidP="00707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Antiqua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1241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D6D0A" w:rsidRDefault="00CD6D0A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C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CF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157A" w:rsidRDefault="008415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59E" w:rsidRDefault="0002059E" w:rsidP="00707CD7">
      <w:pPr>
        <w:spacing w:after="0"/>
      </w:pPr>
      <w:r>
        <w:separator/>
      </w:r>
    </w:p>
  </w:footnote>
  <w:footnote w:type="continuationSeparator" w:id="0">
    <w:p w:rsidR="0002059E" w:rsidRDefault="0002059E" w:rsidP="00707C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D7" w:rsidRDefault="00707CD7" w:rsidP="00707CD7">
    <w:pPr>
      <w:pStyle w:val="a5"/>
      <w:jc w:val="left"/>
    </w:pPr>
    <w:r>
      <w:rPr>
        <w:rFonts w:hint="eastAsia"/>
      </w:rPr>
      <w:t>OpenStation</w:t>
    </w:r>
    <w:r>
      <w:rPr>
        <w:rFonts w:hint="eastAsia"/>
      </w:rPr>
      <w:t>技术白皮书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EF8"/>
    <w:multiLevelType w:val="hybridMultilevel"/>
    <w:tmpl w:val="8062CBA4"/>
    <w:lvl w:ilvl="0" w:tplc="800022DA">
      <w:numFmt w:val="bullet"/>
      <w:lvlText w:val=""/>
      <w:lvlJc w:val="left"/>
      <w:pPr>
        <w:ind w:left="4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">
    <w:nsid w:val="19DC3791"/>
    <w:multiLevelType w:val="hybridMultilevel"/>
    <w:tmpl w:val="F278849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">
    <w:nsid w:val="2A2337B2"/>
    <w:multiLevelType w:val="hybridMultilevel"/>
    <w:tmpl w:val="B58C680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6686AA2"/>
    <w:multiLevelType w:val="hybridMultilevel"/>
    <w:tmpl w:val="46EE7292"/>
    <w:lvl w:ilvl="0" w:tplc="0409001B">
      <w:start w:val="1"/>
      <w:numFmt w:val="lowerRoman"/>
      <w:lvlText w:val="%1."/>
      <w:lvlJc w:val="righ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412977A7"/>
    <w:multiLevelType w:val="hybridMultilevel"/>
    <w:tmpl w:val="B5F4F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7F4060A">
      <w:numFmt w:val="bullet"/>
      <w:lvlText w:val=""/>
      <w:lvlJc w:val="left"/>
      <w:pPr>
        <w:ind w:left="780" w:hanging="360"/>
      </w:pPr>
      <w:rPr>
        <w:rFonts w:ascii="Symbol" w:eastAsia="微软雅黑" w:hAnsi="Symbol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F36308"/>
    <w:multiLevelType w:val="hybridMultilevel"/>
    <w:tmpl w:val="D2A2407A"/>
    <w:lvl w:ilvl="0" w:tplc="D9B6D228">
      <w:numFmt w:val="bullet"/>
      <w:lvlText w:val=""/>
      <w:lvlJc w:val="left"/>
      <w:pPr>
        <w:ind w:left="80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059E"/>
    <w:rsid w:val="00045F6D"/>
    <w:rsid w:val="00056D21"/>
    <w:rsid w:val="000675F5"/>
    <w:rsid w:val="0007434F"/>
    <w:rsid w:val="00080D18"/>
    <w:rsid w:val="000E1FFD"/>
    <w:rsid w:val="000F32A9"/>
    <w:rsid w:val="001667F0"/>
    <w:rsid w:val="001B030D"/>
    <w:rsid w:val="001C4EA5"/>
    <w:rsid w:val="001D67EA"/>
    <w:rsid w:val="001F6DDF"/>
    <w:rsid w:val="002266C5"/>
    <w:rsid w:val="002335E1"/>
    <w:rsid w:val="002345E4"/>
    <w:rsid w:val="0027396A"/>
    <w:rsid w:val="0029336A"/>
    <w:rsid w:val="002A756F"/>
    <w:rsid w:val="002E12D2"/>
    <w:rsid w:val="00323B43"/>
    <w:rsid w:val="00341CF2"/>
    <w:rsid w:val="00387883"/>
    <w:rsid w:val="003D37D8"/>
    <w:rsid w:val="003E62C4"/>
    <w:rsid w:val="003E7A15"/>
    <w:rsid w:val="00426133"/>
    <w:rsid w:val="0043249F"/>
    <w:rsid w:val="004358AB"/>
    <w:rsid w:val="00445DD2"/>
    <w:rsid w:val="00461FA0"/>
    <w:rsid w:val="00470340"/>
    <w:rsid w:val="0047305F"/>
    <w:rsid w:val="004A217E"/>
    <w:rsid w:val="004A2498"/>
    <w:rsid w:val="004A65E1"/>
    <w:rsid w:val="004C6FBA"/>
    <w:rsid w:val="004F789F"/>
    <w:rsid w:val="00586D35"/>
    <w:rsid w:val="00591320"/>
    <w:rsid w:val="005A2B2F"/>
    <w:rsid w:val="005C45E5"/>
    <w:rsid w:val="00601BF0"/>
    <w:rsid w:val="006217C2"/>
    <w:rsid w:val="006400DF"/>
    <w:rsid w:val="0065124F"/>
    <w:rsid w:val="00667D51"/>
    <w:rsid w:val="0069528F"/>
    <w:rsid w:val="006B1018"/>
    <w:rsid w:val="006B4616"/>
    <w:rsid w:val="006B65C9"/>
    <w:rsid w:val="00707B0E"/>
    <w:rsid w:val="00707CD7"/>
    <w:rsid w:val="00713477"/>
    <w:rsid w:val="00727A29"/>
    <w:rsid w:val="0073483A"/>
    <w:rsid w:val="00745F50"/>
    <w:rsid w:val="007A121D"/>
    <w:rsid w:val="007C30EA"/>
    <w:rsid w:val="007D3654"/>
    <w:rsid w:val="007D6474"/>
    <w:rsid w:val="007F4EDC"/>
    <w:rsid w:val="00811CC1"/>
    <w:rsid w:val="00820646"/>
    <w:rsid w:val="0084157A"/>
    <w:rsid w:val="0086291E"/>
    <w:rsid w:val="00865A07"/>
    <w:rsid w:val="0086760C"/>
    <w:rsid w:val="00876BB0"/>
    <w:rsid w:val="008A002D"/>
    <w:rsid w:val="008A5E48"/>
    <w:rsid w:val="008B7726"/>
    <w:rsid w:val="008E06EF"/>
    <w:rsid w:val="00906CDF"/>
    <w:rsid w:val="009226D6"/>
    <w:rsid w:val="00922E1F"/>
    <w:rsid w:val="00936766"/>
    <w:rsid w:val="00963EDA"/>
    <w:rsid w:val="00973637"/>
    <w:rsid w:val="00975FCE"/>
    <w:rsid w:val="00991B52"/>
    <w:rsid w:val="00A3292E"/>
    <w:rsid w:val="00A45F55"/>
    <w:rsid w:val="00A70931"/>
    <w:rsid w:val="00AC3336"/>
    <w:rsid w:val="00B3421B"/>
    <w:rsid w:val="00B41814"/>
    <w:rsid w:val="00B4358E"/>
    <w:rsid w:val="00B70568"/>
    <w:rsid w:val="00B733F1"/>
    <w:rsid w:val="00B94CDD"/>
    <w:rsid w:val="00BA7752"/>
    <w:rsid w:val="00BB0E92"/>
    <w:rsid w:val="00BD2B4D"/>
    <w:rsid w:val="00BD4E43"/>
    <w:rsid w:val="00BF1B57"/>
    <w:rsid w:val="00C10E2A"/>
    <w:rsid w:val="00C1222F"/>
    <w:rsid w:val="00C15295"/>
    <w:rsid w:val="00C22819"/>
    <w:rsid w:val="00C4142F"/>
    <w:rsid w:val="00C441F6"/>
    <w:rsid w:val="00C52321"/>
    <w:rsid w:val="00C613E4"/>
    <w:rsid w:val="00C6515F"/>
    <w:rsid w:val="00C967B8"/>
    <w:rsid w:val="00CC5BBB"/>
    <w:rsid w:val="00CD6D0A"/>
    <w:rsid w:val="00D235EB"/>
    <w:rsid w:val="00D31D50"/>
    <w:rsid w:val="00D5149E"/>
    <w:rsid w:val="00D71392"/>
    <w:rsid w:val="00D80085"/>
    <w:rsid w:val="00D81D41"/>
    <w:rsid w:val="00DC2FD7"/>
    <w:rsid w:val="00DD7059"/>
    <w:rsid w:val="00E0315F"/>
    <w:rsid w:val="00EC550E"/>
    <w:rsid w:val="00EC6913"/>
    <w:rsid w:val="00EF4418"/>
    <w:rsid w:val="00F72C21"/>
    <w:rsid w:val="00FB6096"/>
    <w:rsid w:val="00FC2EDF"/>
    <w:rsid w:val="00FD20E8"/>
    <w:rsid w:val="00FD4E8D"/>
    <w:rsid w:val="00FE0E35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1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4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3E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EDA"/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qFormat/>
    <w:rsid w:val="00B70568"/>
    <w:pPr>
      <w:spacing w:before="120" w:after="120"/>
    </w:pPr>
    <w:rPr>
      <w:rFonts w:asciiTheme="minorEastAsia" w:eastAsiaTheme="minorEastAsia" w:hAnsiTheme="minorEastAsia" w:cstheme="minorHAnsi"/>
      <w:b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7D3654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7D3654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D3654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D3654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D3654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D3654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D3654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D3654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a4">
    <w:name w:val="List Paragraph"/>
    <w:basedOn w:val="a"/>
    <w:uiPriority w:val="34"/>
    <w:qFormat/>
    <w:rsid w:val="00745F5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07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7CD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7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7CD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ED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4ED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292DF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F4ED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4ED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1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4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3E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EDA"/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qFormat/>
    <w:rsid w:val="00B70568"/>
    <w:pPr>
      <w:spacing w:before="120" w:after="120"/>
    </w:pPr>
    <w:rPr>
      <w:rFonts w:asciiTheme="minorEastAsia" w:eastAsiaTheme="minorEastAsia" w:hAnsiTheme="minorEastAsia" w:cstheme="minorHAnsi"/>
      <w:b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7D3654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7D3654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D3654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D3654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D3654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D3654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D3654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D3654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a4">
    <w:name w:val="List Paragraph"/>
    <w:basedOn w:val="a"/>
    <w:uiPriority w:val="34"/>
    <w:qFormat/>
    <w:rsid w:val="00745F5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07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7CD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7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7CD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EDC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4ED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292DF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F4ED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4E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元素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元素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36A745-7F0A-462F-9D34-E814A9F2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Jupeng Chen</dc:creator>
  <cp:lastModifiedBy>Jupeng Chen</cp:lastModifiedBy>
  <cp:revision>52</cp:revision>
  <dcterms:created xsi:type="dcterms:W3CDTF">2022-03-29T09:13:00Z</dcterms:created>
  <dcterms:modified xsi:type="dcterms:W3CDTF">2022-03-29T09:40:00Z</dcterms:modified>
</cp:coreProperties>
</file>