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APV Bitstream</w:t>
      </w:r>
      <w:r>
        <w:br/>
      </w:r>
      <w:r>
        <w:rPr>
          <w:rFonts w:ascii="Calibri" w:cs="Calibri" w:eastAsia="Calibri" w:hAnsi="Calibri"/>
          <w:b/>
          <w:bCs/>
          <w:color w:val="2E5F9B"/>
          <w:sz w:val="38"/>
          <w:szCs w:val="38"/>
        </w:rPr>
        <w:t xml:space="preserve">Header Fields Reference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55577"/>
          <w:sz w:val="18"/>
          <w:szCs w:val="18"/>
        </w:rPr>
        <w:t xml:space="preserve">ISO/IEC 23094-10  ·  RFC 9924  ·  UltraScale+ VHDL Implementation</w:t>
      </w:r>
    </w:p>
    <w:p>
      <w:pPr>
        <w:pBdr>
          <w:bottom w:val="single" w:color="2E5F9B" w:sz="12"/>
        </w:pBdr>
        <w:spacing w:after="260" w:before="40"/>
      </w:pPr>
    </w:p>
    <w:p>
      <w:pPr>
        <w:spacing w:after="200" w:before="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Each header structure is a separate NAL unit; bit offsets are relative to the first byte of that NAL unit (i.e. byte 0x00 = start-code byte 0).  The notation 0xBB.b means byte BB, starting at bit b within that byte (MSB = bit 0).  Fields marked ★ are of particular interest for the 10-bit UltraScale+ decoder target.</w:t>
      </w:r>
    </w:p>
    <w:tbl>
      <w:tblPr>
        <w:tblW w:type="dxa" w:w="13800"/>
        <w:tblBorders>
          <w:top w:val="single" w:color="2E5F9B" w:sz="4"/>
          <w:left w:val="single" w:color="2E5F9B" w:sz="4"/>
          <w:bottom w:val="single" w:color="2E5F9B" w:sz="4"/>
          <w:right w:val="single" w:color="2E5F9B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600"/>
        <w:gridCol w:w="1700"/>
        <w:gridCol w:w="1600"/>
        <w:gridCol w:w="6100"/>
      </w:tblGrid>
      <w:tr>
        <w:trPr>
          <w:tblHeader/>
        </w:trPr>
        <w:tc>
          <w:tcPr>
            <w:tcW w:type="dxa" w:w="1800"/>
            <w:shd w:fill="1B3A6B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shd w:fill="1B3A6B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Syntax Element</w:t>
            </w:r>
          </w:p>
        </w:tc>
        <w:tc>
          <w:tcPr>
            <w:tcW w:type="dxa" w:w="600"/>
            <w:shd w:fill="1B3A6B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Bits</w:t>
            </w:r>
          </w:p>
        </w:tc>
        <w:tc>
          <w:tcPr>
            <w:tcW w:type="dxa" w:w="1700"/>
            <w:shd w:fill="1B3A6B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Bit Offset</w:t>
            </w:r>
          </w:p>
        </w:tc>
        <w:tc>
          <w:tcPr>
            <w:tcW w:type="dxa" w:w="1600"/>
            <w:shd w:fill="1B3A6B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 / Range</w:t>
            </w:r>
          </w:p>
        </w:tc>
        <w:tc>
          <w:tcPr>
            <w:tcW w:type="dxa" w:w="6100"/>
            <w:shd w:fill="1B3A6B" w:color="auto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3800"/>
            <w:gridSpan w:val="6"/>
            <w:shd w:fill="1F7A8C" w:color="auto" w:val="clear"/>
            <w:vAlign w:val="center"/>
          </w:tcPr>
          <w:p>
            <w:pPr>
              <w:spacing w:after="65" w:before="6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Access Unit Delimiter (AUD)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AUD Start Code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aud_start_code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0x00000001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MPEG-style start code prefix marking the start of the AUD NAL unit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AUD NAL Type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aud_nal_unit_type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0x04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0x00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Identifies this as an Access Unit Delimiter unit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Primary Pic Type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primary_pic_type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0–7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Signals the slice types present in the AU (e.g. 0 = I-slices only)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Reserved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reserved_zero_5bits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0x05.3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0x00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Must be zero; reserved for future use</w:t>
            </w:r>
          </w:p>
        </w:tc>
      </w:tr>
      <w:tr>
        <w:tc>
          <w:tcPr>
            <w:tcW w:type="dxa" w:w="13800"/>
            <w:gridSpan w:val="6"/>
            <w:shd w:fill="1F7A8C" w:color="auto" w:val="clear"/>
            <w:vAlign w:val="center"/>
          </w:tcPr>
          <w:p>
            <w:pPr>
              <w:spacing w:after="65" w:before="6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Frame Parameter Set (FPS)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FPS Start Code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fps_start_code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0x00000001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Start code prefix for the FPS NAL unit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FPS NAL Type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fps_nal_unit_type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0x04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0x01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Identifies this as a Frame Parameter Set unit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FPS ID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frame_parameter_set_id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0–63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Identifies the FPS; referenced by all slice headers in the AU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Profile IDC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profile_idc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0x05.6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0–255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Specifies the APV coding profile (e.g. 0 = 422-10)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Level IDC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level_idc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0x06.6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0–255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Specifies the APV level, bounding processing and buffer demands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Band IDC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band_idc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0x07.6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0–15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Specifies the APV band (bitrate tier within the level)</w:t>
            </w:r>
          </w:p>
        </w:tc>
      </w:tr>
      <w:tr>
        <w:tc>
          <w:tcPr>
            <w:tcW w:type="dxa" w:w="1800"/>
            <w:shd w:fill="FFF3CD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000"/>
                <w:sz w:val="17"/>
                <w:szCs w:val="17"/>
              </w:rPr>
              <w:t xml:space="preserve">★ Bit Depth Minus 8</w:t>
            </w:r>
          </w:p>
        </w:tc>
        <w:tc>
          <w:tcPr>
            <w:tcW w:type="dxa" w:w="2000"/>
            <w:shd w:fill="FFF3CD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bit_depth_minus8</w:t>
            </w:r>
          </w:p>
        </w:tc>
        <w:tc>
          <w:tcPr>
            <w:tcW w:type="dxa" w:w="600"/>
            <w:shd w:fill="FFF3CD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shd w:fill="FFF3CD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7000"/>
                <w:sz w:val="16"/>
                <w:szCs w:val="16"/>
              </w:rPr>
              <w:t xml:space="preserve">0x08.2</w:t>
            </w:r>
          </w:p>
        </w:tc>
        <w:tc>
          <w:tcPr>
            <w:tcW w:type="dxa" w:w="1600"/>
            <w:shd w:fill="FFF3CD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0, 2 (→ 8/10-bit)</w:t>
            </w:r>
          </w:p>
        </w:tc>
        <w:tc>
          <w:tcPr>
            <w:tcW w:type="dxa" w:w="6100"/>
            <w:shd w:fill="FFF3CD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Luma &amp; chroma bit depth = value + 8.  0 → 8-bit;  2 → 10-bit (design target)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Chroma Format IDC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chroma_format_idc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0x08.6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1=4:2:0 / 2=4:2:2 / 3=4:4:4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Specifies the chroma subsampling format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Capture Time Distance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capture_time_distance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0x09.2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0–255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Nominal frame-to-frame capture time in units of 1/fps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Colour Primaries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colour_primaries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0x0A.2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ITU-T H.273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Specifies colour primaries per H.273 (e.g. 9 = BT.2020)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Transfer Characteristics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transfer_characteristics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0x0B.2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ITU-T H.273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Transfer function (e.g. 16 = ST 2084 / PQ;  18 = HLG)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Matrix Coefficients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matrix_coefficients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0x0C.2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ITU-T H.273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Luma/chroma derivation matrix (e.g. 9 = BT.2020 non-const)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Video Full Range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video_full_range_flag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0x0D.2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 / 1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0 = studio swing (limited);  1 = full range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FPS Extension Flag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fps_extension_flag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0x0D.3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 / 1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If 1, an fps_extension() structure follows immediately</w:t>
            </w:r>
          </w:p>
        </w:tc>
      </w:tr>
      <w:tr>
        <w:tc>
          <w:tcPr>
            <w:tcW w:type="dxa" w:w="13800"/>
            <w:gridSpan w:val="6"/>
            <w:shd w:fill="1F7A8C" w:color="auto" w:val="clear"/>
            <w:vAlign w:val="center"/>
          </w:tcPr>
          <w:p>
            <w:pPr>
              <w:spacing w:after="65" w:before="6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Frame Header (FH)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FH Start Code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fh_start_code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0x00000001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Start code prefix for the Frame Header NAL unit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FH NAL Type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fh_nal_unit_type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0x04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0x02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Identifies this as a Frame Header unit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FPS ID Ref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frame_parameter_set_id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0–63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References the active FPS for this frame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Spatial Reference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spatial_ref_info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0x05.6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var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Encodes spatial reference information for the tile layout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Frame Width Minus1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frame_width_minus1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0x06.6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0–65535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Luma frame width in samples, minus 1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Frame Height Minus1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frame_height_minus1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0x08.6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0–65535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Luma frame height in samples, minus 1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Width Minus1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tile_width_minus1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0x0A.6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0–4095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Tile width in luma samples minus 1 (must be aligned to 16 pels)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Height Minus1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tile_height_minus1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0x0C.2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0–4095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Tile height in luma samples minus 1 (must be aligned to 16 pels)</w:t>
            </w:r>
          </w:p>
        </w:tc>
      </w:tr>
      <w:tr>
        <w:tc>
          <w:tcPr>
            <w:tcW w:type="dxa" w:w="13800"/>
            <w:gridSpan w:val="6"/>
            <w:shd w:fill="1F7A8C" w:color="auto" w:val="clear"/>
            <w:vAlign w:val="center"/>
          </w:tcPr>
          <w:p>
            <w:pPr>
              <w:spacing w:after="65" w:before="6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Tile Header (TH) — per tile, offset relative to start of each TH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Header Size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tile_header_size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0–65535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Size in bytes of this tile header structure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Index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tile_idx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0x02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0–N−1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Raster-scan index of this tile within the frame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QP (Y)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qp_y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0x04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0–51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Quantisation parameter for the luma (Y) component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QP (Cb)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qp_cb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0x05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0–51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QP for the Cb chroma component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QP (Cr)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qp_cr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0–51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QP for the Cr chroma component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QP (Alpha)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qp_alpha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0x07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0–51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QP for the alpha channel (present when chroma_format_idc signals alpha)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Data Size (Y)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tile_data_size_y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0x08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bytes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Byte length of the sealed luma entropy-coded data block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Data Size (Cb)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tile_data_size_cb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0x0C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bytes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Byte length of the sealed Cb entropy-coded data block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Data Size (Cr)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tile_data_size_cr</w:t>
            </w:r>
          </w:p>
        </w:tc>
        <w:tc>
          <w:tcPr>
            <w:tcW w:type="dxa" w:w="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0x10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bytes</w:t>
            </w:r>
          </w:p>
        </w:tc>
        <w:tc>
          <w:tcPr>
            <w:tcW w:type="dxa" w:w="6100"/>
            <w:shd w:fill="FFFFFF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Byte length of the sealed Cr entropy-coded data block</w:t>
            </w:r>
          </w:p>
        </w:tc>
      </w:tr>
      <w:tr>
        <w:tc>
          <w:tcPr>
            <w:tcW w:type="dxa" w:w="18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9B"/>
                <w:sz w:val="17"/>
                <w:szCs w:val="17"/>
              </w:rPr>
              <w:t xml:space="preserve">Tile Data Size (A)</w:t>
            </w:r>
          </w:p>
        </w:tc>
        <w:tc>
          <w:tcPr>
            <w:tcW w:type="dxa" w:w="20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3355"/>
                <w:sz w:val="16"/>
                <w:szCs w:val="16"/>
              </w:rPr>
              <w:t xml:space="preserve">tile_data_size_alpha</w:t>
            </w:r>
          </w:p>
        </w:tc>
        <w:tc>
          <w:tcPr>
            <w:tcW w:type="dxa" w:w="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5577"/>
                <w:sz w:val="16"/>
                <w:szCs w:val="16"/>
              </w:rPr>
              <w:t xml:space="preserve">0x14</w:t>
            </w:r>
          </w:p>
        </w:tc>
        <w:tc>
          <w:tcPr>
            <w:tcW w:type="dxa" w:w="1600"/>
            <w:shd w:fill="D6E4F0" w:color="auto" w:val="clear"/>
            <w:vAlign w:val="center"/>
          </w:tcPr>
          <w:p>
            <w:pPr>
              <w:spacing w:after="45" w:before="4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bytes</w:t>
            </w:r>
          </w:p>
        </w:tc>
        <w:tc>
          <w:tcPr>
            <w:tcW w:type="dxa" w:w="6100"/>
            <w:shd w:fill="D6E4F0" w:color="auto" w:val="clear"/>
            <w:vAlign w:val="center"/>
          </w:tcPr>
          <w:p>
            <w:pPr>
              <w:spacing w:after="45" w:before="45"/>
              <w:ind w:left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Byte length of the alpha data block (when present)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2E5F9B"/>
          <w:sz w:val="16"/>
          <w:szCs w:val="16"/>
        </w:rPr>
        <w:t xml:space="preserve">Notes:  </w:t>
      </w:r>
      <w:r>
        <w:rPr>
          <w:rFonts w:ascii="Calibri" w:cs="Calibri" w:eastAsia="Calibri" w:hAnsi="Calibri"/>
          <w:i/>
          <w:iCs/>
          <w:color w:val="444466"/>
          <w:sz w:val="16"/>
          <w:szCs w:val="16"/>
        </w:rPr>
        <w:t xml:space="preserve">(1) bit_depth_minus8 sits at 0x08.2 within the FPS NAL unit, spanning bits 66–69.  For the 10-bit design target, its value is 2.  (2) Sub-byte bit offsets arise because the 6-bit fps_id field at 0x05.0 is not byte-aligned.  (3) Tile Header offsets reset to 0x00.0 for each individual tile.  (4) All reserved fields must be zero on write and silently ignored on read per RFC 9924.</w:t>
      </w:r>
    </w:p>
    <w:sectPr>
      <w:footerReference w:type="default" r:id="rId7"/>
      <w:pgSz w:w="11906" w:h="16838" w:orient="landscape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99"/>
        <w:sz w:val="16"/>
        <w:szCs w:val="16"/>
      </w:rPr>
      <w:t xml:space="preserve">APV Header Fields Reference  ·  ISO/IEC 23094-10 / RFC 9924  ·  Page </w:t>
    </w:r>
    <w:r>
      <w:rPr>
        <w:rFonts w:ascii="Calibri" w:cs="Calibri" w:eastAsia="Calibri" w:hAnsi="Calibri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99"/>
        <w:sz w:val="16"/>
        <w:szCs w:val="16"/>
      </w:rPr>
      <w:t xml:space="preserve"> of </w:t>
    </w:r>
    <w:r>
      <w:rPr>
        <w:rFonts w:ascii="Calibri" w:cs="Calibri" w:eastAsia="Calibri" w:hAnsi="Calibri"/>
        <w:color w:val="8888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2026-07-11T09:02:13.124Z</dcterms:created>
  <dcterms:modified xsi:type="dcterms:W3CDTF">2026-07-11T09:02:13.137Z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